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 to 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TriSalus Life Sciences,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tbl>
      <w:tblPr>
        <w:tblW w:w="4229" w:type="dxa"/>
        <w:jc w:val="left"/>
        <w:tblInd w:w="0" w:type="dxa"/>
        <w:tblLayout w:type="fixed"/>
        <w:tblCellMar>
          <w:top w:w="28" w:type="dxa"/>
          <w:left w:w="28" w:type="dxa"/>
          <w:bottom w:w="28" w:type="dxa"/>
          <w:right w:w="28" w:type="dxa"/>
        </w:tblCellMar>
      </w:tblPr>
      <w:tblGrid>
        <w:gridCol w:w="933"/>
        <w:gridCol w:w="819"/>
        <w:gridCol w:w="828"/>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85-3009869</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395" w:type="dxa"/>
        <w:jc w:val="left"/>
        <w:tblInd w:w="0" w:type="dxa"/>
        <w:tblLayout w:type="fixed"/>
        <w:tblCellMar>
          <w:top w:w="28" w:type="dxa"/>
          <w:left w:w="28" w:type="dxa"/>
          <w:bottom w:w="28" w:type="dxa"/>
          <w:right w:w="28" w:type="dxa"/>
        </w:tblCellMar>
      </w:tblPr>
      <w:tblGrid>
        <w:gridCol w:w="1218"/>
        <w:gridCol w:w="1068"/>
        <w:gridCol w:w="1074"/>
        <w:gridCol w:w="303"/>
        <w:gridCol w:w="303"/>
        <w:gridCol w:w="429"/>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6272 W 91st Ave, Westminster, CO</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80031</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(888) 321-5212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N/A (Former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02"/>
        <w:gridCol w:w="1969"/>
        <w:gridCol w:w="1989"/>
        <w:gridCol w:w="418"/>
        <w:gridCol w:w="418"/>
        <w:gridCol w:w="419"/>
        <w:gridCol w:w="728"/>
        <w:gridCol w:w="728"/>
        <w:gridCol w:w="1034"/>
      </w:tblGrid>
      <w:tr>
        <w:trPr/>
        <w:tc>
          <w:tcPr>
            <w:tcW w:w="250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64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t>
            </w:r>
          </w:p>
        </w:tc>
        <w:tc>
          <w:tcPr>
            <w:tcW w:w="24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r>
        <w:trPr/>
        <w:tc>
          <w:tcPr>
            <w:tcW w:w="64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Warrants, each whole warrant exercisable for one share of registrant's common stock at an exercise price of $11.50 per share</w:t>
            </w:r>
          </w:p>
        </w:tc>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TLSIW</w:t>
            </w:r>
          </w:p>
        </w:tc>
        <w:tc>
          <w:tcPr>
            <w:tcW w:w="24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Act).Yes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61,574,600 outstanding shares of common stock as of August 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927" w:type="dxa"/>
        <w:jc w:val="left"/>
        <w:tblInd w:w="0" w:type="dxa"/>
        <w:tblLayout w:type="fixed"/>
        <w:tblCellMar>
          <w:top w:w="28" w:type="dxa"/>
          <w:left w:w="28" w:type="dxa"/>
          <w:bottom w:w="28" w:type="dxa"/>
          <w:right w:w="28" w:type="dxa"/>
        </w:tblCellMar>
      </w:tblPr>
      <w:tblGrid>
        <w:gridCol w:w="369"/>
        <w:gridCol w:w="324"/>
        <w:gridCol w:w="328"/>
        <w:gridCol w:w="2454"/>
        <w:gridCol w:w="2454"/>
        <w:gridCol w:w="2457"/>
        <w:gridCol w:w="158"/>
        <w:gridCol w:w="158"/>
        <w:gridCol w:w="22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55" w:after="283"/>
              <w:jc w:val="left"/>
              <w:rPr/>
            </w:pPr>
            <w:hyperlink w:anchor="ifcf1b1459443451e8841f7b175110995_13">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55" w:after="283"/>
              <w:jc w:val="left"/>
              <w:rPr/>
            </w:pPr>
            <w:hyperlink w:anchor="ifcf1b1459443451e8841f7b175110995_13">
              <w:r>
                <w:rPr>
                  <w:rStyle w:val="InternetLink"/>
                  <w:rFonts w:ascii="Times New Roman;serif" w:hAnsi="Times New Roman;serif"/>
                  <w:b/>
                  <w:strike w:val="false"/>
                  <w:dstrike w:val="false"/>
                  <w:color w:val="000000"/>
                  <w:sz w:val="20"/>
                  <w:u w:val="none"/>
                  <w:effect w:val="none"/>
                </w:rPr>
                <w:t>FINANCIAL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6">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f1b1459443451e8841f7b175110995_19">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9">
              <w:r>
                <w:rPr>
                  <w:rStyle w:val="InternetLink"/>
                  <w:rFonts w:ascii="Times New Roman;serif" w:hAnsi="Times New Roman;serif"/>
                  <w:b w:val="false"/>
                  <w:strike w:val="false"/>
                  <w:dstrike w:val="false"/>
                  <w:color w:val="000000"/>
                  <w:sz w:val="20"/>
                  <w:u w:val="none"/>
                  <w:effect w:val="none"/>
                </w:rPr>
                <w:t>4</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f1b1459443451e8841f7b175110995_22">
              <w:r>
                <w:rPr>
                  <w:rStyle w:val="InternetLink"/>
                  <w:rFonts w:ascii="Times New Roman;serif" w:hAnsi="Times New Roman;serif"/>
                  <w:b w:val="false"/>
                  <w:strike w:val="false"/>
                  <w:dstrike w:val="false"/>
                  <w:color w:val="000000"/>
                  <w:sz w:val="20"/>
                  <w:u w:val="none"/>
                  <w:effect w:val="none"/>
                </w:rPr>
                <w:t>Condensed Consolidated Statements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22">
              <w:r>
                <w:rPr>
                  <w:rStyle w:val="InternetLink"/>
                  <w:rFonts w:ascii="Times New Roman;serif" w:hAnsi="Times New Roman;serif"/>
                  <w:b w:val="false"/>
                  <w:strike w:val="false"/>
                  <w:dstrike w:val="false"/>
                  <w:color w:val="000000"/>
                  <w:sz w:val="20"/>
                  <w:u w:val="none"/>
                  <w:effect w:val="none"/>
                </w:rPr>
                <w:t>5</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25">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w:t>
              </w:r>
            </w:hyperlink>
            <w:hyperlink w:anchor="ifcf1b1459443451e8841f7b175110995_25">
              <w:r>
                <w:rPr>
                  <w:rStyle w:val="InternetLink"/>
                  <w:rFonts w:ascii="Times New Roman;serif" w:hAnsi="Times New Roman;serif"/>
                  <w:b w:val="false"/>
                  <w:strike w:val="false"/>
                  <w:dstrike w:val="false"/>
                  <w:color w:val="000080"/>
                  <w:sz w:val="20"/>
                  <w:u w:val="single"/>
                  <w:effect w:val="none"/>
                </w:rPr>
                <w:t>Equity (</w:t>
              </w:r>
            </w:hyperlink>
            <w:hyperlink w:anchor="ifcf1b1459443451e8841f7b175110995_25">
              <w:r>
                <w:rPr>
                  <w:rStyle w:val="InternetLink"/>
                  <w:rFonts w:ascii="Times New Roman;serif" w:hAnsi="Times New Roman;serif"/>
                  <w:b w:val="false"/>
                  <w:strike w:val="false"/>
                  <w:dstrike w:val="false"/>
                  <w:color w:val="000080"/>
                  <w:sz w:val="20"/>
                  <w:u w:val="single"/>
                  <w:effect w:val="none"/>
                </w:rPr>
                <w:t>Deficit</w:t>
              </w:r>
            </w:hyperlink>
            <w:r>
              <w:rPr>
                <w:rFonts w:ascii="Times New Roman;serif" w:hAnsi="Times New Roman;serif"/>
                <w:b w:val="false"/>
                <w:color w:val="000000"/>
                <w:sz w:val="20"/>
              </w:rPr>
              <w: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25">
              <w:r>
                <w:rPr>
                  <w:rStyle w:val="InternetLink"/>
                  <w:rFonts w:ascii="Times New Roman;serif" w:hAnsi="Times New Roman;serif"/>
                  <w:b w:val="false"/>
                  <w:strike w:val="false"/>
                  <w:dstrike w:val="false"/>
                  <w:color w:val="000000"/>
                  <w:sz w:val="20"/>
                  <w:u w:val="none"/>
                  <w:effect w:val="none"/>
                </w:rPr>
                <w:t>6</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28">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28">
              <w:r>
                <w:rPr>
                  <w:rStyle w:val="InternetLink"/>
                  <w:rFonts w:ascii="Times New Roman;serif" w:hAnsi="Times New Roman;serif"/>
                  <w:b w:val="false"/>
                  <w:strike w:val="false"/>
                  <w:dstrike w:val="false"/>
                  <w:color w:val="000000"/>
                  <w:sz w:val="20"/>
                  <w:u w:val="none"/>
                  <w:effect w:val="none"/>
                </w:rPr>
                <w:t>8</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31">
              <w:r>
                <w:rPr>
                  <w:rStyle w:val="InternetLink"/>
                  <w:rFonts w:ascii="Times New Roman;serif" w:hAnsi="Times New Roman;serif"/>
                  <w:b w:val="false"/>
                  <w:strike w:val="false"/>
                  <w:dstrike w:val="false"/>
                  <w:color w:val="000080"/>
                  <w:sz w:val="20"/>
                  <w:u w:val="single"/>
                  <w:effect w:val="none"/>
                </w:rPr>
                <w:t>Notes to Condensed Co</w:t>
              </w:r>
            </w:hyperlink>
            <w:hyperlink w:anchor="ifcf1b1459443451e8841f7b175110995_31">
              <w:r>
                <w:rPr>
                  <w:rStyle w:val="InternetLink"/>
                  <w:rFonts w:ascii="Times New Roman;serif" w:hAnsi="Times New Roman;serif"/>
                  <w:b w:val="false"/>
                  <w:strike w:val="false"/>
                  <w:dstrike w:val="false"/>
                  <w:color w:val="000080"/>
                  <w:sz w:val="20"/>
                  <w:u w:val="single"/>
                  <w:effect w:val="none"/>
                </w:rPr>
                <w:t>nsolidated</w:t>
              </w:r>
            </w:hyperlink>
            <w:hyperlink w:anchor="ifcf1b1459443451e8841f7b175110995_31">
              <w:r>
                <w:rPr>
                  <w:rStyle w:val="InternetLink"/>
                  <w:rFonts w:ascii="Times New Roman;serif" w:hAnsi="Times New Roman;serif"/>
                  <w:b w:val="false"/>
                  <w:strike w:val="false"/>
                  <w:dstrike w:val="false"/>
                  <w:color w:val="000080"/>
                  <w:sz w:val="20"/>
                  <w:u w:val="single"/>
                  <w:effect w:val="none"/>
                </w:rPr>
                <w:t xml:space="preserve">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31">
              <w:r>
                <w:rPr>
                  <w:rStyle w:val="InternetLink"/>
                  <w:rFonts w:ascii="Times New Roman;serif" w:hAnsi="Times New Roman;serif"/>
                  <w:b w:val="false"/>
                  <w:strike w:val="false"/>
                  <w:dstrike w:val="false"/>
                  <w:color w:val="000000"/>
                  <w:sz w:val="20"/>
                  <w:u w:val="none"/>
                  <w:effect w:val="none"/>
                </w:rPr>
                <w:t>9</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94">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94">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94">
              <w:r>
                <w:rPr>
                  <w:rStyle w:val="InternetLink"/>
                  <w:rFonts w:ascii="Times New Roman;serif" w:hAnsi="Times New Roman;serif"/>
                  <w:b w:val="false"/>
                  <w:strike w:val="false"/>
                  <w:dstrike w:val="false"/>
                  <w:color w:val="000000"/>
                  <w:sz w:val="20"/>
                  <w:u w:val="none"/>
                  <w:effect w:val="none"/>
                </w:rPr>
                <w:t>29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3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36">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36">
              <w:r>
                <w:rPr>
                  <w:rStyle w:val="InternetLink"/>
                  <w:rFonts w:ascii="Times New Roman;serif" w:hAnsi="Times New Roman;serif"/>
                  <w:b w:val="false"/>
                  <w:strike w:val="false"/>
                  <w:dstrike w:val="false"/>
                  <w:color w:val="000000"/>
                  <w:sz w:val="20"/>
                  <w:u w:val="none"/>
                  <w:effect w:val="none"/>
                </w:rPr>
                <w:t>38</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42">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42">
              <w:r>
                <w:rPr>
                  <w:rStyle w:val="InternetLink"/>
                  <w:rFonts w:ascii="Times New Roman;serif" w:hAnsi="Times New Roman;serif"/>
                  <w:b w:val="false"/>
                  <w:strike w:val="false"/>
                  <w:dstrike w:val="false"/>
                  <w:color w:val="000000"/>
                  <w:sz w:val="20"/>
                  <w:u w:val="none"/>
                  <w:effect w:val="none"/>
                </w:rPr>
                <w:t>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42">
              <w:r>
                <w:rPr>
                  <w:rStyle w:val="InternetLink"/>
                  <w:rFonts w:ascii="Times New Roman;serif" w:hAnsi="Times New Roman;serif"/>
                  <w:b w:val="false"/>
                  <w:strike w:val="false"/>
                  <w:dstrike w:val="false"/>
                  <w:color w:val="000000"/>
                  <w:sz w:val="20"/>
                  <w:u w:val="none"/>
                  <w:effect w:val="none"/>
                </w:rPr>
                <w:t>39</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45">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45">
              <w:r>
                <w:rPr>
                  <w:rStyle w:val="InternetLink"/>
                  <w:rFonts w:ascii="Times New Roman;serif" w:hAnsi="Times New Roman;serif"/>
                  <w:b/>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48">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48">
              <w:r>
                <w:rPr>
                  <w:rStyle w:val="InternetLink"/>
                  <w:rFonts w:ascii="Times New Roman;serif" w:hAnsi="Times New Roman;serif"/>
                  <w:b w:val="false"/>
                  <w:strike w:val="false"/>
                  <w:dstrike w:val="false"/>
                  <w:color w:val="000000"/>
                  <w:sz w:val="20"/>
                  <w:u w:val="none"/>
                  <w:effect w:val="none"/>
                </w:rPr>
                <w:t>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48">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51">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51">
              <w:r>
                <w:rPr>
                  <w:rStyle w:val="InternetLink"/>
                  <w:rFonts w:ascii="Times New Roman;serif" w:hAnsi="Times New Roman;serif"/>
                  <w:b w:val="false"/>
                  <w:strike w:val="false"/>
                  <w:dstrike w:val="false"/>
                  <w:color w:val="000000"/>
                  <w:sz w:val="20"/>
                  <w:u w:val="none"/>
                  <w:effect w:val="none"/>
                </w:rPr>
                <w:t>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51">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54">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54">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r>
              <w:rPr>
                <w:rFonts w:ascii="Times New Roman;serif" w:hAnsi="Times New Roman;serif"/>
                <w:b w:val="false"/>
                <w:color w:val="000000"/>
                <w:sz w:val="20"/>
              </w:rPr>
              <w:t xml:space="preserve">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54">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5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57">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57">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0">
              <w:r>
                <w:rPr>
                  <w:rStyle w:val="InternetLink"/>
                  <w:rFonts w:ascii="Times New Roman;serif" w:hAnsi="Times New Roman;serif"/>
                  <w:b w:val="false"/>
                  <w:strike w:val="false"/>
                  <w:dstrike w:val="false"/>
                  <w:color w:val="000000"/>
                  <w:sz w:val="20"/>
                  <w:u w:val="none"/>
                  <w:effect w:val="none"/>
                </w:rPr>
                <w:t>Mine Safety Disclosures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60">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3">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3">
              <w:r>
                <w:rPr>
                  <w:rStyle w:val="InternetLink"/>
                  <w:rFonts w:ascii="Times New Roman;serif" w:hAnsi="Times New Roman;serif"/>
                  <w:b w:val="false"/>
                  <w:strike w:val="false"/>
                  <w:dstrike w:val="false"/>
                  <w:color w:val="000000"/>
                  <w:sz w:val="20"/>
                  <w:u w:val="none"/>
                  <w:effect w:val="none"/>
                </w:rPr>
                <w:t>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63">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6">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6">
              <w:bookmarkStart w:id="0" w:name="i9071315e0b044e6b80468c7c8d96d0ae_19-1-1"/>
              <w:bookmarkEnd w:id="0"/>
              <w:r>
                <w:rPr>
                  <w:rStyle w:val="InternetLink"/>
                  <w:rFonts w:ascii="Times New Roman;serif" w:hAnsi="Times New Roman;serif"/>
                  <w:b w:val="false"/>
                  <w:strike w:val="false"/>
                  <w:dstrike w:val="false"/>
                  <w:color w:val="000000"/>
                  <w:sz w:val="20"/>
                  <w:u w:val="none"/>
                  <w:effect w:val="none"/>
                </w:rPr>
                <w:t>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66">
              <w:r>
                <w:rPr>
                  <w:rStyle w:val="InternetLink"/>
                  <w:rFonts w:ascii="Times New Roman;serif" w:hAnsi="Times New Roman;serif"/>
                  <w:b w:val="false"/>
                  <w:strike w:val="false"/>
                  <w:dstrike w:val="false"/>
                  <w:color w:val="000000"/>
                  <w:sz w:val="20"/>
                  <w:u w:val="none"/>
                  <w:effect w:val="none"/>
                </w:rPr>
                <w:t>41</w:t>
              </w:r>
            </w:hyperlink>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75" w:after="283"/>
              <w:jc w:val="left"/>
              <w:rPr/>
            </w:pPr>
            <w:hyperlink w:anchor="ifcf1b1459443451e8841f7b175110995_169">
              <w:r>
                <w:rPr>
                  <w:rStyle w:val="InternetLink"/>
                  <w:rFonts w:ascii="Times New Roman;serif" w:hAnsi="Times New Roman;serif"/>
                  <w:b/>
                  <w:strike w:val="false"/>
                  <w:dstrike w:val="false"/>
                  <w:color w:val="000000"/>
                  <w:sz w:val="20"/>
                  <w:u w:val="none"/>
                  <w:effect w:val="none"/>
                </w:rPr>
                <w:t>Signatures</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cf1b1459443451e8841f7b175110995_169">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the plans and objectives of management for future operations, statements regarding future economic conditions or performance and statements of belief and any statement of assumptions underlying any of the foregoing.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these forward-looking statements are subject to numerous risks and uncertainties, most of which are difficult to predict and many of which are beyond our control. Some factors that could cause actual results to differ include: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service our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retain or recruit, or changes required in, our officers, key employees or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successfully commercialize any product candidates that we successfully develop and that are approved by applicable regulatory authorities;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for the timing and results of data from clinical trials and regulatory approval applications;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operations and financial performance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history of operating losses and expectations of significant expenses and continuing losses for the foreseeable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execute our business strategy, including the growth potential of the markets for our products and our ability to serve those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grow market share in our existing markets or any new markets we may enter;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develop and maintain our brand and reputation;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partner with other companies;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size of the addressable markets for our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regarding our ability to obtain and maintain intellectual property protection and not infringe on the rights of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the listing of our securities in the Nasdaq Global Market, and the potential liquidity and trading of such securities;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outcome of any legal proceedings that may be instituted against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conditions in our industry, the global economy or global supply chain, including financial and credit market fluctuations, international trade relations, pandemics, political turmoil, natural catastrophes, warfare and terrorist attacks.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pPr>
      <w:r>
        <w:rPr>
          <w:rFonts w:ascii="Times New Roman;serif" w:hAnsi="Times New Roman;serif"/>
          <w:b w:val="false"/>
          <w:color w:val="000000"/>
          <w:sz w:val="20"/>
        </w:rPr>
        <w:t>Given these risks and uncertainties, you should not place undue reliance on these forward-looking statements. Should one or more of the risks or uncertainties described in this Quarterly Report occur or should underlying 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and elsewhere in this Quarterly Report.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854"/>
        <w:gridCol w:w="2389"/>
        <w:gridCol w:w="2321"/>
        <w:gridCol w:w="216"/>
        <w:gridCol w:w="740"/>
        <w:gridCol w:w="111"/>
        <w:gridCol w:w="109"/>
        <w:gridCol w:w="109"/>
        <w:gridCol w:w="109"/>
        <w:gridCol w:w="241"/>
        <w:gridCol w:w="825"/>
        <w:gridCol w:w="181"/>
      </w:tblGrid>
      <w:tr>
        <w:trPr/>
        <w:tc>
          <w:tcPr>
            <w:tcW w:w="2854"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$98 and $24, respectively)</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 (Deficit)</w:t>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69,192 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0 shares issued and outstanding at June 30, 2026 and December 31, 2025, respectively</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400,000,000 shares authorized at June 30, 2026 and December 31, 2025, respectively; 61,469,572 shares and 49,997,836 shares issued and outstanding at June 30, 2026 and December 31, 2025, respectively</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 (deficit)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818"/>
        <w:gridCol w:w="1481"/>
        <w:gridCol w:w="1483"/>
        <w:gridCol w:w="222"/>
        <w:gridCol w:w="760"/>
        <w:gridCol w:w="114"/>
        <w:gridCol w:w="109"/>
        <w:gridCol w:w="109"/>
        <w:gridCol w:w="109"/>
        <w:gridCol w:w="222"/>
        <w:gridCol w:w="760"/>
        <w:gridCol w:w="114"/>
        <w:gridCol w:w="109"/>
        <w:gridCol w:w="109"/>
        <w:gridCol w:w="109"/>
        <w:gridCol w:w="222"/>
        <w:gridCol w:w="760"/>
        <w:gridCol w:w="114"/>
        <w:gridCol w:w="109"/>
        <w:gridCol w:w="109"/>
        <w:gridCol w:w="109"/>
        <w:gridCol w:w="211"/>
        <w:gridCol w:w="780"/>
        <w:gridCol w:w="163"/>
      </w:tblGrid>
      <w:tr>
        <w:trPr/>
        <w:tc>
          <w:tcPr>
            <w:tcW w:w="181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(18,661)</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78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78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58,296,711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54,936,862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30,713,375</w:t>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58,296,711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54,936,862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30,713,375</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Amounts presented in the three and six months ended June 30, 2025 have been revised to align expense classification for the 2025 fiscal year period.</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78510"/>
                <wp:effectExtent l="0" t="0" r="0" b="0"/>
                <wp:wrapNone/>
                <wp:docPr id="6" name="Frame6"/>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00"/>
        <w:gridCol w:w="332"/>
        <w:gridCol w:w="334"/>
        <w:gridCol w:w="203"/>
        <w:gridCol w:w="203"/>
        <w:gridCol w:w="196"/>
        <w:gridCol w:w="109"/>
        <w:gridCol w:w="109"/>
        <w:gridCol w:w="109"/>
        <w:gridCol w:w="211"/>
        <w:gridCol w:w="406"/>
        <w:gridCol w:w="109"/>
        <w:gridCol w:w="109"/>
        <w:gridCol w:w="109"/>
        <w:gridCol w:w="109"/>
        <w:gridCol w:w="540"/>
        <w:gridCol w:w="541"/>
        <w:gridCol w:w="348"/>
        <w:gridCol w:w="109"/>
        <w:gridCol w:w="109"/>
        <w:gridCol w:w="109"/>
        <w:gridCol w:w="246"/>
        <w:gridCol w:w="316"/>
        <w:gridCol w:w="129"/>
        <w:gridCol w:w="109"/>
        <w:gridCol w:w="109"/>
        <w:gridCol w:w="109"/>
        <w:gridCol w:w="211"/>
        <w:gridCol w:w="841"/>
        <w:gridCol w:w="109"/>
        <w:gridCol w:w="109"/>
        <w:gridCol w:w="109"/>
        <w:gridCol w:w="109"/>
        <w:gridCol w:w="211"/>
        <w:gridCol w:w="842"/>
        <w:gridCol w:w="109"/>
        <w:gridCol w:w="109"/>
        <w:gridCol w:w="109"/>
        <w:gridCol w:w="109"/>
        <w:gridCol w:w="211"/>
        <w:gridCol w:w="737"/>
        <w:gridCol w:w="158"/>
      </w:tblGrid>
      <w:tr>
        <w:trPr/>
        <w:tc>
          <w:tcPr>
            <w:tcW w:w="7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49,997,836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152,877 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44,127 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11,219,515 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61,414,355 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55,217 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(1)</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Short-swing profit settlement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61,469,572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344,776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(338,231)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6,550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Company records the issuance of the shares when they are recorded by the transfer agent and as such, there could be timing differences between when the expense is recorded and shares are transferred.</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78510"/>
                <wp:effectExtent l="0" t="0" r="0" b="0"/>
                <wp:wrapNone/>
                <wp:docPr id="7" name="Frame7"/>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tbl>
      <w:tblPr>
        <w:tblW w:w="10811" w:type="dxa"/>
        <w:jc w:val="left"/>
        <w:tblInd w:w="0" w:type="dxa"/>
        <w:tblLayout w:type="fixed"/>
        <w:tblCellMar>
          <w:top w:w="28" w:type="dxa"/>
          <w:left w:w="28" w:type="dxa"/>
          <w:bottom w:w="28" w:type="dxa"/>
          <w:right w:w="28" w:type="dxa"/>
        </w:tblCellMar>
      </w:tblPr>
      <w:tblGrid>
        <w:gridCol w:w="667"/>
        <w:gridCol w:w="296"/>
        <w:gridCol w:w="298"/>
        <w:gridCol w:w="495"/>
        <w:gridCol w:w="496"/>
        <w:gridCol w:w="313"/>
        <w:gridCol w:w="109"/>
        <w:gridCol w:w="109"/>
        <w:gridCol w:w="109"/>
        <w:gridCol w:w="211"/>
        <w:gridCol w:w="406"/>
        <w:gridCol w:w="109"/>
        <w:gridCol w:w="109"/>
        <w:gridCol w:w="109"/>
        <w:gridCol w:w="109"/>
        <w:gridCol w:w="546"/>
        <w:gridCol w:w="550"/>
        <w:gridCol w:w="348"/>
        <w:gridCol w:w="109"/>
        <w:gridCol w:w="109"/>
        <w:gridCol w:w="109"/>
        <w:gridCol w:w="246"/>
        <w:gridCol w:w="316"/>
        <w:gridCol w:w="129"/>
        <w:gridCol w:w="109"/>
        <w:gridCol w:w="109"/>
        <w:gridCol w:w="109"/>
        <w:gridCol w:w="211"/>
        <w:gridCol w:w="841"/>
        <w:gridCol w:w="109"/>
        <w:gridCol w:w="109"/>
        <w:gridCol w:w="109"/>
        <w:gridCol w:w="109"/>
        <w:gridCol w:w="211"/>
        <w:gridCol w:w="841"/>
        <w:gridCol w:w="109"/>
        <w:gridCol w:w="109"/>
        <w:gridCol w:w="109"/>
        <w:gridCol w:w="109"/>
        <w:gridCol w:w="211"/>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0"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31,279,264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(1)</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(1)</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55,670 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3,620,002 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32,272,462 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Exercise of options and vesting of restricted stock units </w:t>
            </w:r>
            <w:r>
              <w:rPr>
                <w:rFonts w:ascii="Times New Roman;serif" w:hAnsi="Times New Roman;serif"/>
                <w:b w:val="false"/>
                <w:color w:val="000000"/>
                <w:sz w:val="13"/>
              </w:rPr>
              <w:t>(1)</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Issuance of common stock through employee stock purchase plan </w:t>
            </w:r>
            <w:r>
              <w:rPr>
                <w:rFonts w:ascii="Times New Roman;serif" w:hAnsi="Times New Roman;serif"/>
                <w:b w:val="false"/>
                <w:color w:val="000000"/>
                <w:sz w:val="13"/>
              </w:rPr>
              <w:t>(1)</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w:t>
            </w:r>
            <w:r>
              <w:rPr>
                <w:rFonts w:ascii="Times New Roman;serif" w:hAnsi="Times New Roman;serif"/>
                <w:b w:val="false"/>
                <w:color w:val="000000"/>
                <w:sz w:val="13"/>
              </w:rPr>
              <w:t>(2)</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conversion</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3,594,002</w:t>
            </w: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37,983,259</w:t>
            </w: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278,786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(298,212)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(19,423)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1"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Company records the issuance of the shares when they are recorded by the transfer agent and as such, there could be timing differences between when the expense is recorded and shares are transferred.</w:t>
            </w:r>
          </w:p>
        </w:tc>
      </w:tr>
      <w:tr>
        <w:trPr/>
        <w:tc>
          <w:tcPr>
            <w:tcW w:w="10811"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Amount includes $0.6 million related to 2024 bonus paid in 2025 in the form of stock-based compensation.</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78510"/>
                <wp:effectExtent l="0" t="0" r="0" b="0"/>
                <wp:wrapNone/>
                <wp:docPr id="8" name="Frame8"/>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534" w:type="dxa"/>
        <w:jc w:val="left"/>
        <w:tblInd w:w="0" w:type="dxa"/>
        <w:tblLayout w:type="fixed"/>
        <w:tblCellMar>
          <w:top w:w="28" w:type="dxa"/>
          <w:left w:w="28" w:type="dxa"/>
          <w:bottom w:w="28" w:type="dxa"/>
          <w:right w:w="28" w:type="dxa"/>
        </w:tblCellMar>
      </w:tblPr>
      <w:tblGrid>
        <w:gridCol w:w="2503"/>
        <w:gridCol w:w="2198"/>
        <w:gridCol w:w="2213"/>
        <w:gridCol w:w="228"/>
        <w:gridCol w:w="779"/>
        <w:gridCol w:w="117"/>
        <w:gridCol w:w="109"/>
        <w:gridCol w:w="109"/>
        <w:gridCol w:w="109"/>
        <w:gridCol w:w="212"/>
        <w:gridCol w:w="802"/>
        <w:gridCol w:w="155"/>
      </w:tblGrid>
      <w:tr>
        <w:trPr/>
        <w:tc>
          <w:tcPr>
            <w:tcW w:w="250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 and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 for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through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Short-swing profit settlement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items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capital expenditures included in trade payables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purchased through exchange of finance lease right-of-use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Derecognition of finance lease right-of-use asset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warrants issued with OrbiMed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78510"/>
                <wp:effectExtent l="0" t="0" r="0" b="0"/>
                <wp:wrapNone/>
                <wp:docPr id="9" name="Frame9"/>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TriSalus Life Sciences, Inc.</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percentages,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10, 2023 (the "Closing Date"), TriSalus Life Sciences, Inc., a Delaware corporation (the “Company,” “TriSalus,” “we,” “us”), formerly known as MedTech Acquisition Corporation (“MTAC”), consummated the previously announced merger pursuant to the Agreement and Plan of Merger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In connection with the consummation of the Business Combination, on August 10, 2023, Legacy TriSalus changed its name from TriSalus Life Sciences, Inc. to TriSalus Operating Life Sciences, Inc., and MTAC changed its name from MedTech Acquisition Corporation to TriSalus Life Sciences, Inc., the surviving company. Legacy TriSalus was deemed to be the accounting acquirer and predecessor company in the Business Combination.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Generally Accepted Accounting Principles (“GAAP”). In management's opinion, the accompanying condensed consolidated financial statements include all adjustments, including normal recurring items, considered necessary for fair presentation. All intercompany accounts and transactions have been eliminated. Certain information required by GAAP has been condensed or omitted in accordance with the rules and regulations of the Securities and Exchange Commission ("SEC"). Certain reclassifications have been made to the condensed consolidated statements of stockholders’ equity (deficit) and condensed consolidated statements of cash flows for the six months ended June 30, 2025 to conform to current period and fiscal year 2025 presentation. Operating results for the six months ended June 30, 2026 are not necessarily indicative of the results that may be expected for any future period or for the year ending December 31, 2026. The accompanying condensed consolidated financial statements should be read in conjunction with the Annual Report on Form 10-K for the year ended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with original maturities of three months or less at the time of purchase to be cash equivalents. We invest excess cash primarily in money market funds. Restricted cash of $0.4 million was held in a separate account at our bank to support our corporate credit card program and was recorded in other assets on our condensed consolidated balance sheets as of December 31, 2025. This restricted cash account was closed during the first quarter of 2026 and the balance was transferred to our operating cash account. As of June 30, 2026, we had no restricted cash.</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 The most significant estimates relate to the valuation of the OrbiMed warrant liabilities (see Note 5), the contingent earnout liability (see Note 4), the revenue base redemption liability (see Note 9) and the valuation allowance on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60" w:after="283"/>
        <w:jc w:val="both"/>
        <w:rPr/>
      </w:pPr>
      <w:r>
        <w:rPr>
          <w:rFonts w:ascii="Times New Roman;serif" w:hAnsi="Times New Roman;serif"/>
          <w:b w:val="false"/>
          <w:color w:val="000000"/>
          <w:sz w:val="20"/>
        </w:rPr>
        <w:t xml:space="preserve">Accounts receivable are recorded at the invoiced amount and do not bear interest. Our payment terms are typically on net 30 day terms. Our opening accounts receivables balance as of January 1, 2025 was $5.1 million. In accordance with ASC Topic 326, </w:t>
      </w:r>
      <w:r>
        <w:rPr>
          <w:rFonts w:ascii="Times New Roman;serif" w:hAnsi="Times New Roman;serif"/>
          <w:b w:val="false"/>
          <w:i/>
          <w:color w:val="000000"/>
          <w:sz w:val="20"/>
        </w:rPr>
        <w:t>Financial Instruments-Credit Losses</w:t>
      </w:r>
      <w:r>
        <w:rPr>
          <w:rFonts w:ascii="Times New Roman;serif" w:hAnsi="Times New Roman;serif"/>
          <w:b w:val="false"/>
          <w:color w:val="000000"/>
          <w:sz w:val="20"/>
        </w:rPr>
        <w:t>, the allowance for credit losses is our best estimate of the amount of probable credit losses in our existing accounts receivable. We review our allowance for credit losses periodically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allowance for credit losses accounts activity for the six months ended June 30, 2026:</w:t>
      </w:r>
    </w:p>
    <w:tbl>
      <w:tblPr>
        <w:tblW w:w="5413" w:type="dxa"/>
        <w:jc w:val="left"/>
        <w:tblInd w:w="0" w:type="dxa"/>
        <w:tblLayout w:type="fixed"/>
        <w:tblCellMar>
          <w:top w:w="28" w:type="dxa"/>
          <w:left w:w="28" w:type="dxa"/>
          <w:bottom w:w="28" w:type="dxa"/>
          <w:right w:w="28" w:type="dxa"/>
        </w:tblCellMar>
      </w:tblPr>
      <w:tblGrid>
        <w:gridCol w:w="1483"/>
        <w:gridCol w:w="1302"/>
        <w:gridCol w:w="1309"/>
        <w:gridCol w:w="383"/>
        <w:gridCol w:w="656"/>
        <w:gridCol w:w="280"/>
      </w:tblGrid>
      <w:tr>
        <w:trPr/>
        <w:tc>
          <w:tcPr>
            <w:tcW w:w="14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charged (reversed) to costs and expenses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uncollectible receivables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jc w:val="both"/>
        <w:rPr/>
      </w:pPr>
      <w:r>
        <w:rPr>
          <w:rFonts w:ascii="Times New Roman;serif" w:hAnsi="Times New Roman;serif"/>
          <w:b w:val="false"/>
          <w:color w:val="000000"/>
          <w:sz w:val="20"/>
        </w:rPr>
        <w:t>Our revenue is derived from the shipments of our Pressure-Enabled Drug Delivery ("PEDD") infusion systems to our customers. Our customers are generally comprised of hospitals and clinics. Under ASC Topic 606, </w:t>
      </w:r>
      <w:r>
        <w:rPr>
          <w:rFonts w:ascii="Times New Roman;serif" w:hAnsi="Times New Roman;serif"/>
          <w:b w:val="false"/>
          <w:i/>
          <w:color w:val="000000"/>
          <w:sz w:val="20"/>
        </w:rPr>
        <w:t>Revenue Recognition</w:t>
      </w:r>
      <w:r>
        <w:rPr>
          <w:rFonts w:ascii="Times New Roman;serif" w:hAnsi="Times New Roman;serif"/>
          <w:b w:val="false"/>
          <w:color w:val="000000"/>
          <w:sz w:val="20"/>
        </w:rPr>
        <w:t>, we evaluate five steps to determine the appropriate timing and amount to recognize revenue. The five steps are: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2.Identify the performance obligation — Our performance obligation is to deliver the ordered products in accordance with the terms of the purchase order, which constitutes a single performance obligation. We do not have any on-going service obligation after delivery and only offer our customers an assurance-type warranty, which provides assurance the product will work as intended.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3.Determine the transaction price — We maintain a single sales price for each of our products, which is generally fixed. For customers with rebate or discount agreements, the rebates and discounts are accounted for within a contra-revenue account at the time the rebate milestone is achieved or discount is given. We do not have a history of any significant refunds, allowances or other concessions provided to our customers from the agreed-upon sales price after delivery of the product. Refunds, allowances or other concessions are accounted for as a reduction of revenue.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4.Allocate the transaction price — We do not have multiple performance obligations to complete when we fulfill a purchase order, as such, the transaction price is allocated fully to the units being sold.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5.Recognize revenue — We recognize revenue at the point-in-time when the units for a purchase order have been shipped and control of the units has transferred to the customer, as evidenced by the delivery terms on the shipping documents. Typically, we ship Freight on Board (FOB) Shipping Point. Therefore, we recognize revenue when the shipment leaves our premises. In certain cases, the purchase order ("P.O.") or contract specifies alternate shipping terms, usually FOB destination. In those cases, we defer revenue recognition until we are assured the units have been delivered and control has transferred to the customer. Our sales team is able to make in-person sales. When this occurs, the revenue is not recognized until we receive a P.O. from the customers, with the inventory treated as consignment until the time receiving the P.O. Shipping and handling activities are not considered to be a separate performance obligation. Therefore, the costs are considered to be a fulfillment cost and the expenses are accounted for within cost of goods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 We recognized $0.4 million and $0.6 million of rebates for the three and six months ended June 30, 2026, respectively, compared to $0.2 million and $0.4 million for the three and six months ended June 30, 2025,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costs include our engineering, regulatory, pre-clinical and clinical activities. R&amp;D costs are expensed as incurred. The costs are related to internal headcount and external services we purchase, such as pre-clinical supplies and materials, clinical study management and supplies, and consulting related to our R&amp;D. There were no development milestone payments to Dynavax for nelitolimod during the three and six months ended June 30, 2026 and 2025, respectively, (see Note 7).</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2021, we entered into a 5-year Alliance Program (the “MDACC Agreement”) with the University of Texas MD Anderson Cancer Center (“MDACC”) to serve as the lead investigators for the PERIO-01, PERIO-02, and PERIO-03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our payment terms. In Q1 2026, we obtained approval under the MDACC Agreement for a study related to the use of Yttrium-90 ("Y90") using our PEDD technology.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Nonrefundable advance payments for goods and services are deferred and recognized as expense in the period that the related goods are consumed or services are performed.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("CEO"), reviews our financial information on a consolidated basis for purposes of allocating resources and evaluating its financial performance. The CEO considers recommendations from the Chief Financial Officer ("CFO") and reviews the Monthly Financial Report ("MFR"), including financial information and the Company’s performance highlights, such as revenue, accounts receivable and inventory balances, cash flows and cash on-hand, operational expenditures and headcount. Based on the Company’s consolidated financial information, the CEO makes the key operating decisions and determines how resources should be allocated. The CODM also considers budget versus actual results and revenue trends to evaluate expenditures and allocate resources across the organization. Once the CEO has decided, the CEO and CFO are responsible for carrying out the CEO’s decisions. Since the Company operates as a single reporting segment, all required segment reporting disclosures can be found in the condensed consolidated financial statements. All of our customers and long-lived assets are located in the United States. Accordingly, we have determined we operate as a single reportable segment within a single geographic area.</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19, 2026, we entered into an underwriting agreement (the “Underwriting Agreement”) with Lake Street Capital Markets, LLC, as representative of the underwriters named therein (the “Underwriters”), relating to the public offering (the “Offering”) of 9,756,100 shares (the “Shares”) of common stock of the Company, par value $0.0001 per share (the “Common Stock”), at a price to the public of $4.10 per Share (the “Offering Price”). Pursuant to the terms of the Underwriting Agreement, the Company also granted the Underwriters a 30-day option to purchase up to an additional 1,463,415 shares of Common Stock (the “Option Shares”) to cover over-allotments, if any, at the Offering Price less the underwriting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23, 2026, the Offering closed, which resulted in the issuance of the Shares for net proceeds of approximately $37.0 million. On February 25, 2026, the Underwriters purchased the Option Shares which resulted in additional net proceeds of approximately $5.6 million. The Company recognized $3.4 million in offering costs directly attributable to the Offering, which were recorded as a reduction of additional paid-in capital on the condensed consolidated balance sheets.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xml:space="preserve">, which amends ASC 470-20, </w:t>
      </w:r>
      <w:r>
        <w:rPr>
          <w:rFonts w:ascii="Times New Roman;serif" w:hAnsi="Times New Roman;serif"/>
          <w:b w:val="false"/>
          <w:i/>
          <w:color w:val="000000"/>
          <w:sz w:val="20"/>
        </w:rPr>
        <w:t>Debt: Debt With Conversion and Other Options</w:t>
      </w:r>
      <w:r>
        <w:rPr>
          <w:rFonts w:ascii="Times New Roman;serif" w:hAnsi="Times New Roman;serif"/>
          <w:b w:val="false"/>
          <w:color w:val="000000"/>
          <w:sz w:val="20"/>
        </w:rPr>
        <w:t xml:space="preserve">, to clarify the requirements related to accounting for the settlement of a debt instrument as an induced conversion. Based primarily on the consensus-for-exposure reached on Issue 23-A, Induced Conversion of Convertible Debt Instruments, by the Emerging Issues Task Force on September 14, 2023. The ASU is intended to “improve the relevance and consistency in application of the induced conversion guidance in Subtopic 470-20 for (a) convertible debt instruments with cash conversion features and (b) debt instruments that are not currently convertible.” The amendments are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Update 2020-06, </w:t>
      </w:r>
      <w:r>
        <w:rPr>
          <w:rFonts w:ascii="Times New Roman;serif" w:hAnsi="Times New Roman;serif"/>
          <w:b w:val="false"/>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serif" w:hAnsi="Times New Roman;serif"/>
          <w:b w:val="false"/>
          <w:color w:val="000000"/>
          <w:sz w:val="20"/>
        </w:rPr>
        <w:t>We adopted ASU 2024-04 on January 1, 2026. The adoption of this standard had no impact on our condensed consolidated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lineRule="auto" w:line="288" w:before="160" w:after="283"/>
        <w:jc w:val="both"/>
        <w:rPr/>
      </w:pPr>
      <w:r>
        <w:rPr>
          <w:rFonts w:ascii="Times New Roman;serif" w:hAnsi="Times New Roman;serif"/>
          <w:b w:val="false"/>
          <w:color w:val="000000"/>
          <w:sz w:val="20"/>
        </w:rPr>
        <w:t>In October 2023, the FASB issued ASU No. 2023-06, D</w:t>
      </w:r>
      <w:r>
        <w:rPr>
          <w:rFonts w:ascii="Times New Roman;serif" w:hAnsi="Times New Roman;serif"/>
          <w:b w:val="false"/>
          <w:i/>
          <w:color w:val="000000"/>
          <w:sz w:val="20"/>
        </w:rPr>
        <w:t>isclosure Improvements: Codification Amendments in Response to the SEC’s Disclosure Update and Simplification Initiative</w:t>
      </w:r>
      <w:r>
        <w:rPr>
          <w:rFonts w:ascii="Times New Roman;serif" w:hAnsi="Times New Roman;serif"/>
          <w:b w:val="false"/>
          <w:color w:val="000000"/>
          <w:sz w:val="20"/>
        </w:rPr>
        <w:t>. The amendments in ASU 2023-06 update requirements in various disclosure areas, including the statement of cash flows, earnings per share, debt and equity.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and in January 2025,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2024-03 requires additional disclosure of the nature of expenses included in the income statement as well as disclosures about specific types of expenses included in the expense captions presented in the income statement. ASU 2024-03, as clarified by ASU 2025-01. The amendment applies to all public business entities and is effective for annual reporting periods beginning after December 15, 2026 and interim reporting periods beginning after December 15, 2027. The requirements will be applied prospectively with the option for retrospective application. Early adoption is permitted.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May 2025, the FASB issued ASU 2025-04, </w:t>
      </w:r>
      <w:r>
        <w:rPr>
          <w:rFonts w:ascii="Times New Roman;serif" w:hAnsi="Times New Roman;serif"/>
          <w:b w:val="false"/>
          <w:i/>
          <w:color w:val="000000"/>
          <w:sz w:val="20"/>
        </w:rPr>
        <w:t>Compensation - Stock Compensation and Revenue from Contracts with Customers</w:t>
      </w:r>
      <w:r>
        <w:rPr>
          <w:rFonts w:ascii="Times New Roman;serif" w:hAnsi="Times New Roman;serif"/>
          <w:b w:val="false"/>
          <w:color w:val="000000"/>
          <w:sz w:val="20"/>
        </w:rPr>
        <w:t>, which clarifies the guidance for accounting for stock-based payments to customers, including the treatment of vesting conditions tied to customer purchases and the requirement to estimate forfeitures. ASU 2025-04 will become effective for us for annual periods beginning after December 15, 2026, with early adoption permitted.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clarifies the applicability of interim reporting guidance and interim disclosure requirements under ASC Topic 270, including the addition of a disclosure principle requiring disclosure of material events occurring since the most recent annual reporting period. ASU 2025-11 will become effective for us for interim periods within annual periods beginning after December 15, 2027, with early adoption permitted. We are currently evaluating the impact the adoption of this ASU will have on our consolidated financial statements.</w:t>
      </w:r>
    </w:p>
    <w:p>
      <w:pPr>
        <w:pStyle w:val="TextBody"/>
        <w:bidi w:val="0"/>
        <w:spacing w:lineRule="auto" w:line="288" w:before="160" w:after="283"/>
        <w:jc w:val="both"/>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makes targeted amendments to various topics within the ASC intended to clarify existing guidance and correct minor inconsistencies. ASU 2025-12 will become effective for us for annual periods beginning after December 15, 2026, with early adoption permitted. We are currently evaluating the impact the adoption of this ASU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Financial Instruments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financial instruments consist of warrant liabilities, the contingent earnout liability, a Standby Equity Purchase Agreement ("SEPA") liability, and the revenue based redemption liability related to the Credit Agreement we entered into with OrbiMed (the "OrbiMed Credit Agreement"). The carrying values of cash and cash equivalents, accounts receivable, net and trade payables approximate fair value through the use of publicly available market prices as of June 30, 2026 and December 31, 2025. In general, asset and liability fair values are determined using the following categories: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1 — Inputs utilize quoted prices in active markets for identical assets or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2 — Inputs include quoted prices for similar assets or liabilities in active markets, and inputs other than quoted prices that are observable for the asset or liability, either directly or indirectly.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contingent earnout liability, warrant liabilities, SEPA liability and revenue base redemption liability are measured at fair value on a recurring basis (see Notes 4, 5, 8, and 9, respectively).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OrbiMed Warrants (defined in Note 5), contingent earnout liability and SEPA liability represent the remeasurement to fair value each reporting period based on unobservable, or Level 3 inputs, using assumptions made by us, including the market price of our common stock and the observed volatility of peer group companies.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Public Warrants has been measured based on the quoted price of such warrants on the Nasdaq Global Market (the "Nasdaq"). The Private Placement Warrants and Working Capital Warrants are similar to the Public Warrants and therefore, use the same fair value as the Public Warrants (see Note 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use a Black-Scholes option pricing model to estimate the fair value of the OrbiMed Warrants (defined in Note 5),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a potential change in control. A significant change in one or more of these inputs used in the calculation of the fair value may cause a significant change to the fair value of the warrant liabilities, which could also result in material non-cash gains or losses being reported in the condensed consolidated statement of operations. The expected volatility was implied from a blend of the Company's own common shares and the average historical share volatilities of several public companies within the Company's industry that the Company considers to be comparable to its own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contingent earnout liability was determined using a Monte Carlo simulation valuation model using a distribution of potential outcomes. The inputs and assumptions utilized in the calculation require management to apply judgment and make estimates as further described in Note 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repayment of the loans under the OrbiMed Credit Agreement is referred to as the "revenue base redemption liability" (see Note 9). We determine the value of the revenue base redemption liability using a Monte Carlo simulation of future revenue and valuing the Term Loan (as defined in Note 9) using the with and without method. The fair value of our long-term debt was estimated using a discounted cash flow model, which utilizes Level 3 inputs. The fair value of our long-term debt was $34.6 million and $34.7 million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there was no outstanding SEPA liability as the agreement expired on November 1, 2025. The following tables summarize the changes in fair value of our outstanding warrant liabilities, contingent earnout liability and revenue base redemption liability for the six months ended June 30, 2026:</w:t>
      </w:r>
    </w:p>
    <w:tbl>
      <w:tblPr>
        <w:tblW w:w="9685"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86"/>
        <w:gridCol w:w="839"/>
        <w:gridCol w:w="150"/>
        <w:gridCol w:w="109"/>
        <w:gridCol w:w="109"/>
        <w:gridCol w:w="109"/>
        <w:gridCol w:w="275"/>
        <w:gridCol w:w="902"/>
        <w:gridCol w:w="142"/>
        <w:gridCol w:w="109"/>
        <w:gridCol w:w="109"/>
        <w:gridCol w:w="109"/>
        <w:gridCol w:w="344"/>
        <w:gridCol w:w="662"/>
        <w:gridCol w:w="179"/>
        <w:gridCol w:w="109"/>
        <w:gridCol w:w="109"/>
        <w:gridCol w:w="109"/>
        <w:gridCol w:w="109"/>
        <w:gridCol w:w="109"/>
        <w:gridCol w:w="274"/>
        <w:gridCol w:w="801"/>
        <w:gridCol w:w="200"/>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Issuances</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at</w:t>
              <w:br/>
              <w:t>June 30,</w:t>
              <w:br/>
              <w:t>2026</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bl>
    <w:tbl>
      <w:tblPr>
        <w:tblW w:w="9767"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58"/>
        <w:gridCol w:w="883"/>
        <w:gridCol w:w="133"/>
        <w:gridCol w:w="109"/>
        <w:gridCol w:w="109"/>
        <w:gridCol w:w="109"/>
        <w:gridCol w:w="275"/>
        <w:gridCol w:w="902"/>
        <w:gridCol w:w="142"/>
        <w:gridCol w:w="109"/>
        <w:gridCol w:w="109"/>
        <w:gridCol w:w="109"/>
        <w:gridCol w:w="344"/>
        <w:gridCol w:w="662"/>
        <w:gridCol w:w="179"/>
        <w:gridCol w:w="109"/>
        <w:gridCol w:w="109"/>
        <w:gridCol w:w="109"/>
        <w:gridCol w:w="109"/>
        <w:gridCol w:w="109"/>
        <w:gridCol w:w="109"/>
        <w:gridCol w:w="109"/>
        <w:gridCol w:w="284"/>
        <w:gridCol w:w="829"/>
        <w:gridCol w:w="207"/>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Issuances </w:t>
              <w:b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June 30,</w:t>
              <w:br/>
              <w:t>2026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fair value of our outstanding warrant liabilities, contingent earnout liability, SEPA liability and revenue base redemption liability for the six months ended June 30, 2025:</w:t>
      </w:r>
    </w:p>
    <w:tbl>
      <w:tblPr>
        <w:tblW w:w="9686" w:type="dxa"/>
        <w:jc w:val="left"/>
        <w:tblInd w:w="0" w:type="dxa"/>
        <w:tblLayout w:type="fixed"/>
        <w:tblCellMar>
          <w:top w:w="28" w:type="dxa"/>
          <w:left w:w="28" w:type="dxa"/>
          <w:bottom w:w="28" w:type="dxa"/>
          <w:right w:w="28" w:type="dxa"/>
        </w:tblCellMar>
      </w:tblPr>
      <w:tblGrid>
        <w:gridCol w:w="1124"/>
        <w:gridCol w:w="987"/>
        <w:gridCol w:w="994"/>
        <w:gridCol w:w="109"/>
        <w:gridCol w:w="109"/>
        <w:gridCol w:w="109"/>
        <w:gridCol w:w="286"/>
        <w:gridCol w:w="839"/>
        <w:gridCol w:w="150"/>
        <w:gridCol w:w="109"/>
        <w:gridCol w:w="109"/>
        <w:gridCol w:w="109"/>
        <w:gridCol w:w="354"/>
        <w:gridCol w:w="783"/>
        <w:gridCol w:w="183"/>
        <w:gridCol w:w="109"/>
        <w:gridCol w:w="109"/>
        <w:gridCol w:w="109"/>
        <w:gridCol w:w="344"/>
        <w:gridCol w:w="662"/>
        <w:gridCol w:w="179"/>
        <w:gridCol w:w="109"/>
        <w:gridCol w:w="109"/>
        <w:gridCol w:w="109"/>
        <w:gridCol w:w="109"/>
        <w:gridCol w:w="109"/>
        <w:gridCol w:w="274"/>
        <w:gridCol w:w="801"/>
        <w:gridCol w:w="200"/>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Issuances</w:t>
              <w:b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at</w:t>
              <w:br/>
              <w:t>June 30,</w:t>
              <w:br/>
              <w:t>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 - 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 -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9"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86"/>
        <w:gridCol w:w="839"/>
        <w:gridCol w:w="150"/>
        <w:gridCol w:w="109"/>
        <w:gridCol w:w="109"/>
        <w:gridCol w:w="109"/>
        <w:gridCol w:w="323"/>
        <w:gridCol w:w="830"/>
        <w:gridCol w:w="167"/>
        <w:gridCol w:w="109"/>
        <w:gridCol w:w="109"/>
        <w:gridCol w:w="109"/>
        <w:gridCol w:w="318"/>
        <w:gridCol w:w="702"/>
        <w:gridCol w:w="165"/>
        <w:gridCol w:w="109"/>
        <w:gridCol w:w="109"/>
        <w:gridCol w:w="109"/>
        <w:gridCol w:w="109"/>
        <w:gridCol w:w="109"/>
        <w:gridCol w:w="109"/>
        <w:gridCol w:w="109"/>
        <w:gridCol w:w="284"/>
        <w:gridCol w:w="829"/>
        <w:gridCol w:w="207"/>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in</w:t>
              <w:br/>
              <w:t>Fair Value</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Issuances </w:t>
              <w:b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at </w:t>
              <w:br/>
              <w:t>June 30,</w:t>
              <w:b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SEPA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base redemption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Inventory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summarized as follows:</w:t>
      </w:r>
    </w:p>
    <w:tbl>
      <w:tblPr>
        <w:tblW w:w="5979" w:type="dxa"/>
        <w:jc w:val="left"/>
        <w:tblInd w:w="0" w:type="dxa"/>
        <w:tblLayout w:type="fixed"/>
        <w:tblCellMar>
          <w:top w:w="28" w:type="dxa"/>
          <w:left w:w="28" w:type="dxa"/>
          <w:bottom w:w="28" w:type="dxa"/>
          <w:right w:w="28" w:type="dxa"/>
        </w:tblCellMar>
      </w:tblPr>
      <w:tblGrid>
        <w:gridCol w:w="945"/>
        <w:gridCol w:w="828"/>
        <w:gridCol w:w="836"/>
        <w:gridCol w:w="287"/>
        <w:gridCol w:w="839"/>
        <w:gridCol w:w="148"/>
        <w:gridCol w:w="109"/>
        <w:gridCol w:w="109"/>
        <w:gridCol w:w="109"/>
        <w:gridCol w:w="380"/>
        <w:gridCol w:w="1110"/>
        <w:gridCol w:w="279"/>
      </w:tblGrid>
      <w:tr>
        <w:trPr/>
        <w:tc>
          <w:tcPr>
            <w:tcW w:w="9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obsolete inventory</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MTAC entered into a sponsor support agreement (the "Sponsor Support Agreement"). Pursuant to the Sponsor Support Agreement, the 3,125,000 Sponsor Earnout Share (the "Sponsor Earnout Shares") become unvested and subject to potential forfeiture if certain triggering events are not achieved prior to the fifth anniversary of the Closing Date. Pursuant to the Sponsor Support Agreement, for any 20 trading days within a period of 30 consecutive trading days, (i) 25% of the shares of the unvested Common Stock held by the Sponsor Holders will vest if the volume weighted average price of our Common Stock equals or exceeds $15.00, (ii) 25% of the shares of the unvested Common Stock held by the Sponsor Holders will vest if the volume weighted average price of our Common Stock equals or exceeds $20.00, (iii) 25% of the shares of the unvested Common Stock held by the Sponsor Holders will vest if the volume weighted average price of our Common Stock equals or exceeds $25.00, and (iv) 25% of the shares of the unvested Common Stock held by the Sponsor Holders will vest if the volume weighted average price of our Common Stock equals or exceeds $30.00. Additionally, the Sponsor Earnout Shares will vest if there is a change in control of our company on or before the fifth anniversary of the Closing Date that results in the holders of our Common Stock receiving a price per share equal to or in excess of the applicable earnout targets. Any such shares held by the Sponsor Holders that remain unvested after the fifth anniversary of the Closing Date will be forfeited.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earnout liability was remeasured to its fair value of $3.7 million and $10.1 million as of June 30, 2026 and December 31, 2025, respectively, based on a Monte Carlo simulation valuation model. This remeasurement resulted in recording a loss of $1.0 million and a gain of $6.4 million for the three and six months ended June 30, 2026, respectively, compared to a gain of $0.7 million and a loss of $0.1 million for the three and six months ended June 30, 2025, respectively, classified as change in fair value of contingent earnout liability in the condensed consolidated statements of operations. Assumptions used in the valuation are described below: </w:t>
      </w:r>
    </w:p>
    <w:tbl>
      <w:tblPr>
        <w:tblW w:w="5050" w:type="dxa"/>
        <w:jc w:val="left"/>
        <w:tblInd w:w="0" w:type="dxa"/>
        <w:tblLayout w:type="fixed"/>
        <w:tblCellMar>
          <w:top w:w="28" w:type="dxa"/>
          <w:left w:w="28" w:type="dxa"/>
          <w:bottom w:w="28" w:type="dxa"/>
          <w:right w:w="28" w:type="dxa"/>
        </w:tblCellMar>
      </w:tblPr>
      <w:tblGrid>
        <w:gridCol w:w="944"/>
        <w:gridCol w:w="829"/>
        <w:gridCol w:w="837"/>
        <w:gridCol w:w="269"/>
        <w:gridCol w:w="269"/>
        <w:gridCol w:w="271"/>
        <w:gridCol w:w="109"/>
        <w:gridCol w:w="109"/>
        <w:gridCol w:w="109"/>
        <w:gridCol w:w="381"/>
        <w:gridCol w:w="381"/>
        <w:gridCol w:w="542"/>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stock price</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dividend yield</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liability was determined using a Monte Carlo simulation valuation model using a distribution of potential outcomes. The inputs and assumptions utilized in the calculation require management to apply judgment and make estimates including: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(a)expected volatility, which is based on the historical equity volatility of the Company for a term equal to the expected term of the earnout period;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(b)expected term, which we based on the earnout period per the agreement;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(c)risk-free interest rate, which was determined by reference to the U.S. Treasury yield curve for time periods commensurate with the expected term of the earnout period;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(d)expected dividend yield, which we estimate to be 0% based on the fact that we have never paid or declared dividends.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estimates may be subjective in nature and involve uncertainties and matters of judgment and therefore cannot be determined with exact precision.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Warrants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Warrants that have not been tendered for exchange and outstanding as of June 30, 2026 and December 31, 2025, are as follows:</w:t>
      </w:r>
    </w:p>
    <w:tbl>
      <w:tblPr>
        <w:tblW w:w="5431" w:type="dxa"/>
        <w:jc w:val="left"/>
        <w:tblInd w:w="0" w:type="dxa"/>
        <w:tblLayout w:type="fixed"/>
        <w:tblCellMar>
          <w:top w:w="28" w:type="dxa"/>
          <w:left w:w="28" w:type="dxa"/>
          <w:bottom w:w="28" w:type="dxa"/>
          <w:right w:w="28" w:type="dxa"/>
        </w:tblCellMar>
      </w:tblPr>
      <w:tblGrid>
        <w:gridCol w:w="846"/>
        <w:gridCol w:w="745"/>
        <w:gridCol w:w="748"/>
        <w:gridCol w:w="488"/>
        <w:gridCol w:w="488"/>
        <w:gridCol w:w="271"/>
        <w:gridCol w:w="109"/>
        <w:gridCol w:w="109"/>
        <w:gridCol w:w="109"/>
        <w:gridCol w:w="488"/>
        <w:gridCol w:w="488"/>
        <w:gridCol w:w="542"/>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1,751,825 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4,428,648 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OrbiMed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222,068 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warrants</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Public, Private Placement and Working Capital Warrant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consummation of the Business Combination, the Company assumed the warrant liabilities associated with 8,333,272 Public Warrants. Each Public Warrant is exercisable to purchase one share of common stock at a price of $11.50 per share, subject to adjustment. As of June 30, 2026 and December 31, 2025, there were 1,751,825 Public Warrants outstanding. The Public Warrants expire on August 10, 2028 or earlier upon redemption or liquidation. The Public Warrants expire five years after the completion of the Business Combination or earlier upon redemption or liquidation. We may redeem for cash the outstanding Public Warrants: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whole and not in part;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b.at a price of $0.01 per Warrant;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c.upon not less than 30 days’ prior written notice of redemption to each warrant holder;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and when the Public Warrants become redeemable, we may exercise its redemption right even if it is unable to register or qualify the underlying securities for sale under all applicable state securities laws.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24, 2024, we entered into Amendment No. 1 to Warrant Agreement (the "Warrant Amendment") with respect to the Public Warrants. As a result all of the outstanding Public Warrants may be exchanged, at our option, at any time while they are exercisable and prior to their expiration, at the office of the warrant agent, upon notice to the holders of the then outstanding Public Warrants, at the exchange rate of 0.27 shares of Common Stock per Public Warrant (subject to equitable adjustment by us in the event of any stock splits, stock dividends, recapitalizations or similar transaction with respect to the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June 30, 2026 and December 31, 2025, there were 4,428,648 Private Placement Warrants and 1,000,000 Working Capital Warrants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pPr>
      <w:r>
        <w:rPr>
          <w:rFonts w:ascii="Times New Roman;serif" w:hAnsi="Times New Roman;serif"/>
          <w:b w:val="false"/>
          <w:color w:val="000000"/>
          <w:sz w:val="20"/>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these warrants include a provision that could allow cash settlement upon an event outside our control, and such event may not result in a change in control of the Company. As a result, the Public Warrants, Private Placement Warrants and Working Capital Warrants do not meet the criteria for equity classification.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values of the Public Warrants, Private Placement Warrants and Working Capital Warrants were $1.4 million, $3.5 million, and $0.8 million, respectively. As of December 31, 2025, the fair values of the Public Warrants, Private Placement Warrants and Working Capital Warrants were $2.9 million, $7.4 million, and $1.7 million, respectively. The fair value of the Public Warrants has been measured based on the quoted price of such warrants on the Nasdaq.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Warrants is equivalent to that of each Public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was no activity related to the Public Warrants, Private Placement Warrants and Working Capital Warrants for the six months ended June 30, 2026 and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OrbiMed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our initial $25.0 million borrowing under the OrbiMed Credit Agreement, we also issued OrbiMed a warrant to purchase 130,805 shares of our common stock (the "Warrant Shares"), with the initial exercise price of $9.5562, (as adjusted from time to time the "Exercise Price") per share, or approximately $1.3 million in the aggregate. As of June 30, 2026, the Exercise Price was $8.1604 per share pursuant to the terms of the Initial OrbiMed Warrant, or approximately $1.1 million in the aggregate. The Initial OrbiMed Warrant expires on April 30, 2031 (the "Expiration Date"). On each of the closings of the Delayed Draw Commitment Amounts (see Note 9), if any, we agreed to issue additional warrants to purchase a number of shares of our common stock determined by dividing 5.0% of the applicable borrowed amount by the 10-day volume weighted average sale price of our common stock as of the issue date (the “Subsequent OrbiMed Warrants” and collectively, with the Initial OrbiMed Warrant, the “OrbiMed Warrants” and together with the SPAC Warrants, the “Warrants”). The Subsequent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In connection with the First Delayed Draw Term Loan Commitment draw (see Note 9) on February 18, 2025, we issued the OrbiMed operating entities a warrant to purchase 64,748 and 26,515 shares of our common stock (the "Subsequent OrbiMed Warrants"), with the initial exercise price of $5.4787, or approximately $0.5 million. As of June 30, 2026, the Exercise Price was $5.1556 per share pursuant to the terms of the Subsequent OrbiMed Warrant, or approximately $0.5 million in the aggregate. The Subsequent OrbiMed Warrant expires on February 18, 2032 (the "Expiration Date").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OrbiMed Warrant may be exercised in whole or in part, at any time prior to the Expiration Date (the "Exercise Period"), by either: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a.making a payment to the Company, in an amount in immediately available funds equal to the aggregate Exercise Price to be paid upon the exercise of the OrbiMed Warrant; or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b.instructing the Company to withhold a number of Warrant Shares then issuable upon exercise of the OrbiMed Warrant with an aggregate fair market value as of the exercise date equal to such aggregate Exercise Price to be paid upon the exercise of the OrbiMed Warrant (the “Cashless Exercise”).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either upon (i) the occurrence of the Expiration Date, or (ii) the date on which a Sale of the Company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OrbiMed Warrant that remains unexercised on such date shall be deemed to have been exercised automatically pursuant to a Cashless Exercise (the “Automatic Cashless Exercise”).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Ownership Cap</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holder in any circumstance cannot exercise the OrbiMed Warrant if such exercise would result in the holder and its affiliates to own more than 9.99% of the Company's common stock (the “Ownership Cap”).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Adjustments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current Exercise Price and the number of Warrant Shares underlying the OrbiMed Warrants are subject to certain anti-dilutive protections and adjustments. These are triggered by events such as stock splits, reclassification of shares, combinations or substitutions. Additionally, the Exercise Price will be adjusted downward if shares, which include options and convertible securities settled in common stock) are issued at a price per share less than the current Exercise Price. These adjustments are collectively referred to as "Warrant Adjustments.” The amount of proceeds we receive from the exercise of the OrbiMed Warrants would be less than the amount we would receive immediately prior to such adjustment. As a result of the Offering Price being lower than the Exercise Price for shares issued in the Offering on February 23, 2026, the Exercise Price for the Initial OrbiMed Warrant was adjusted to $8.1604 per share and the Exercise Price of the Subsequent OrbiMed Warrant was adjusted to $5.1556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we declare or pay a dividend or distribution on our outstanding common shares payable in cash, capital securities or other property, the OrbiMed Warrant Holder shall be entitled to receive, at the time such dividend or distribution is paid, without additional cost to the OrbiMed Warrant Holder, the total number and kind of cash, capital securities or other property which the OrbiMed Warrant Holder would have received had the OrbiMed Warrant Holder owned the Warrant Shares of record as of the date such dividend or distribution was paid (the “Pro-Rata Distribution”).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Transfers of OrbiMed 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OrbiMed Warrant may be transferred or assigned in whole or in part, subject to compliance with applicable federal and state securities laws.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Allocation of Proceeds and Issuance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agreement explicitly permits the settlement of the OrbiMed Warrants in a cashless manner (i.e., net share settlement) and not indexed to the Company's own stock. Therefore, it is considered as a derivative instrument under ASC 815 and will be classified as a liability and is subsequently measured at fair value with changes reported within the change in fair value of SEPA, warrant and revenue base redemption liabilities of the condensed consolidated statement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OrbiMed Warrant liabilities were determined using the Black-Scholes option pricing model. The inputs and assumptions utilized in the calculation require management to apply judgment and make estimates including: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(a)expected term, based on the Initial Term Loan maturity date;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(b)risk-free interest rate, which was determined by reference to the U.S. Treasury yield curve for time periods commensurate with the expected term;</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(c)expected volatility, which is based on the historical equity volatility of the Company and publicly traded peer companies for a term equal to the expected term;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(d)expected dividend yield, which we estimate to be 0% based on the fact that we have never paid or declared dividends on the Company's common stock;</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(e)exercise price, which we calculate as prescribed by the OrbiMed Credit Agreement;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(f)our stock price, as of the closing price per the Nasdaq on the last day of the reporting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key inputs used in the valuation of the Initial OrbiMed Warrant were as follows:</w:t>
      </w:r>
    </w:p>
    <w:tbl>
      <w:tblPr>
        <w:tblW w:w="4315" w:type="dxa"/>
        <w:jc w:val="left"/>
        <w:tblInd w:w="0" w:type="dxa"/>
        <w:tblLayout w:type="fixed"/>
        <w:tblCellMar>
          <w:top w:w="28" w:type="dxa"/>
          <w:left w:w="28" w:type="dxa"/>
          <w:bottom w:w="28" w:type="dxa"/>
          <w:right w:w="28" w:type="dxa"/>
        </w:tblCellMar>
      </w:tblPr>
      <w:tblGrid>
        <w:gridCol w:w="679"/>
        <w:gridCol w:w="597"/>
        <w:gridCol w:w="599"/>
        <w:gridCol w:w="269"/>
        <w:gridCol w:w="269"/>
        <w:gridCol w:w="271"/>
        <w:gridCol w:w="109"/>
        <w:gridCol w:w="109"/>
        <w:gridCol w:w="109"/>
        <w:gridCol w:w="381"/>
        <w:gridCol w:w="381"/>
        <w:gridCol w:w="5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$8.8398</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key inputs used in the valuation of the Subsequent OrbiMed Warrant were as follows:</w:t>
      </w:r>
    </w:p>
    <w:tbl>
      <w:tblPr>
        <w:tblW w:w="4315" w:type="dxa"/>
        <w:jc w:val="left"/>
        <w:tblInd w:w="0" w:type="dxa"/>
        <w:tblLayout w:type="fixed"/>
        <w:tblCellMar>
          <w:top w:w="28" w:type="dxa"/>
          <w:left w:w="28" w:type="dxa"/>
          <w:bottom w:w="28" w:type="dxa"/>
          <w:right w:w="28" w:type="dxa"/>
        </w:tblCellMar>
      </w:tblPr>
      <w:tblGrid>
        <w:gridCol w:w="679"/>
        <w:gridCol w:w="597"/>
        <w:gridCol w:w="599"/>
        <w:gridCol w:w="269"/>
        <w:gridCol w:w="269"/>
        <w:gridCol w:w="271"/>
        <w:gridCol w:w="109"/>
        <w:gridCol w:w="109"/>
        <w:gridCol w:w="109"/>
        <w:gridCol w:w="381"/>
        <w:gridCol w:w="381"/>
        <w:gridCol w:w="5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Times New Roman;serif" w:hAnsi="Times New Roman;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$5.3322</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estimates may be subjective in nature and involve uncertainties and matters of judgment and therefore cannot be determined with exact precision.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full pretax loss for the three and six months ended June 30, 2026 and 2025 was from U.S. domestic operations. The Company's effective tax rate ("ETR") from continuing operations was (0.04)% and (0.11)% for the three and six months ended June 30, 2026, respectively, and 0.04% and (0.01)% for the three and six months ended June 30, 2025, respectively. The discrete items recorded for the quarter primarily related to the tax impact of the change in the fair value of warrant and revenue base redemption liabilities and the change in fair value of contingent earnout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Dynavax Purchase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purchased all of the intellectual property and trial drug substance for nelitolimod from Dynavax Technologies (“Dynavax”) in 2020. This was a purchase of in-process research and development. Nelitolimod, an investigational agent in development, is a TLR9 agonist which is believed to bind to the TLR9 receptors found on suppressive immune cells including myeloid-derived suppressor cells and antigen-presenting immune cells. We believe that nelitolimod, when delivered using our PEDD devices, can improve therapeutic distribution to solid tumors and improve outcomes for liver metastases and Locally Advanced Pancreatic Ductal Adenocarcinoma ("LA-PDAC").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Payments under the Dynavax purchase agreement consist of: (a) one upfront payment of $9.0 million, (b) milestone payments upon the achievement of certain development and commercial milestones, and (c) royalty payments based on aggregate annual net sales after nelitolimod receives Food and Drug Administration ("FDA") approval to be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development milestone payments range from $1.0 million to $10.0 million, triggered by development achievements for each of up to four indications. The development milestone payments cannot exceed $170.0 million. We made a milestone payment of $1.0 million in September 2021, after initiating our clinical study of uveal melanoma liver metastases, $1.0 million in June 2022, after initiating our clinical study for primary liver tumors, and $1.0 million in August 2023, after initiating our clinical study for LA-PDAC. In aggregate, the commercial milestones shall not exceed $80.0 million. We will also pay annual royalties at the rate of 10% for aggregate annual net sales less than or equal to $1.0 billion and 12% for aggregate annual net sales above that amount.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 the milestone payments in R&amp;D expense when they are incurred. The milestone payments and royalty payments are contingent upon future events and therefore will also be recorded as expense when it is probable that a milestone has been achieved or when royalties are due. During the three and six months ended June 30, 2026 and 2025, we made no payments to Dynavax.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Standby Equity Purchase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October 2023, we entered into a SEPA with Yorkville Advisors Global, LP ("Yorkville"). Pursuant to the SEPA, the Company had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(the "Commitment Period"), which was November 1, 2025. Each issuance and sale to Yorkville under the SEPA (an “Advance”) was subject to a maximum limit equal to the greater of: (i) an amount equal to 100% of the average of the daily volume of the Common Stock on the Nasdaq for the 10 trading days immediately preceding an Advance notice, or (ii) 1,000,000 shares of Common Stock. During the Commitment Period, the Company had the option to issue and sell shares to Yorkville at a per-share price equal to: (i) 96% of the Market Price (as defined below) for any period commencing on the receipt of the Advance notice by Yorkville and ending on 4:00 p.m. New York City time on the applicable Advance notice date (the “Option 1 Pricing Period”), or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were subject to certain limitations, including that Yorkville could not purchase any shares that would result in it beneficially owning more than 4.99% of the outstanding voting power or Common Stock. Further, Yorkville could not purchase shares that would result in it acquiring more than 5,260,704 shares of Common Stock, which represented 19.99% of the outstanding Common Stock, as of the effective date of SEPA. The SEPA expired on November 1, 2025.</w:t>
      </w:r>
    </w:p>
    <w:p>
      <w:pPr>
        <w:pStyle w:val="TextBody"/>
        <w:bidi w:val="0"/>
        <w:spacing w:lineRule="auto" w:line="288" w:before="160" w:after="283"/>
        <w:jc w:val="both"/>
        <w:rPr/>
      </w:pPr>
      <w:r>
        <w:rPr>
          <w:rFonts w:ascii="Times New Roman;serif" w:hAnsi="Times New Roman;serif"/>
          <w:b w:val="false"/>
          <w:color w:val="000000"/>
          <w:sz w:val="20"/>
        </w:rPr>
        <w:t xml:space="preserve">The SEPA contract was accounted for as a derivative as it was an equity-linked contract that did not qualify for equity classification under ASC 815. Therefore, the SEPA was recognized as a liability measured each period at fair value in accordance with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on the condensed consolidated balance sheets and the change in fair value of the SEPA liability is recorded on the condensed consolidated statements of operations. As of June 30, 2026 and December 31, 2025, there was no outstanding liability as the SEPA expired. See Note 2 for information regarding changes in fair value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2024 (the "OrbiMed Closing Date"), we entered into the Credit Agreement with OrbiMed, a healthcare investment firm, and certain of its affiliates to support the execution of strategic expansion plans, fuel continued growth and provide financial flexibility.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OrbiMed Credit Agreement, OrbiMed agreed to provide a term loan facility to the borrower, in an aggregate principal amount of $50.0 million, as follows: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a.$25.0 million funded on the OrbiMed Closing Date (the “Initial Term Loan”).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b.$10.0 million term loan available at the election of the Company, provided that Product Revenue Base (defined below) for the trailing 12-months ending on the last day of the month immediately prior to the funding of such loan was at least $30.0 million (the “First Delayed Draw Term Loan Commitment”). The First Delayed Draw Term Loan Commitment expired on June 30, 2025.</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c.An additional $15.0 million term loan available at the election of the Company, provided that Product Revenue Base for the trailing 12-months ending on the last day of the month immediately prior to the funding of such loan was at least $50.0 million (the “Second Delayed Draw Term Loan Commitment” and together with the First Delayed Draw Term Loan Commitment, the “DDTL Commitments”). The Second Delayed Draw Term Loan Commitment expired on December 31,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30, 2024, we borrowed the Initial Term Loan, resulting in gross proceeds of $25.0 million. On February 18, 2025, we borrowed the First Delayed Draw Term Loan Commitment resulting in gross proceeds of $10.0 million based on achieving the trailing 12-month Product Revenue Base of $30.0 million in January 2025. The Initial Term Loan and the First Delayed Draw Term Loan (collectively, the "Term Loan") mature on April 30, 2029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OrbiMed Credit Agreement includes a subjective acceleration clause whereby an event of default, including a material adverse change in the business, operations or conditions, could result in the acceleration of the obligations under the OrbiMed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the First Amendment to the OrbiMed Credit Agreement and Registration Rights Agreement, effective March 20, 2025, we received a waiver for the prior default events related to the Series A Convertible Preferred Stock conversions and the OrbiMed Credit Agreement was amended to allow for these conversions going forward. In addition, we received a waiver on March 31, 2025 to extend the timing for the required audited financial statements to occur on or before April 15, 2025. Effective on April 30, 2025, the Second Amendment to the OrbiMed Credit Agreement allowed for the Company to accelerate payment of the Series A Preferred Stock dividends in cash payments in lieu of fractional shares upon conversion of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10, 2025, we entered into the Third Amendment to the OrbiMed Credit Agreement ("OrbiMed Third Amendment"), which lowered the minimum cash requirement for the liquidity covenant from $10.0 million to $5.0 million. In addition, we received a waiver for the prior default related to the 30 days written notice of the change in our CFO.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March 26, 2026, we entered into the Fourth Amendment to the OrbiMed Credit Agreement (the "OrbiMed Fourth Amendment"), which reduced two of the Product Revenue Base thresholds. On May 28, 2026, we entered into the Fifth Amendment to the OrbiMed Credit Agreement (the "OrbiMed Fifth Amendment"), which further reduced two of the Product Revenue Base thresholds.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Repayment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the Product Revenue Base (i.e., with respect to any period, the net revenues for such period from sales of TriNav) on a trailing 12-month basis does not equal or exceed the specified amount as stipulated in table below, the Company will start repaying the outstanding principal amount on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of the principal amount of the loans under the OrbiMed Credit Agreement shall be repaid on the Maturity Date. The repayments include the applicable Repayment Premium and the Exit Fee (each as defined below). The repayment of the loans under the OrbiMed Credit Agreement as aforementioned, is referred to as the “revenue base redemption liability.” The OrbiMed Fifth Amendment modified the Product Revenue Base thresholds to the following:</w:t>
      </w:r>
    </w:p>
    <w:tbl>
      <w:tblPr>
        <w:tblW w:w="9220" w:type="dxa"/>
        <w:jc w:val="left"/>
        <w:tblInd w:w="0" w:type="dxa"/>
        <w:tblLayout w:type="fixed"/>
        <w:tblCellMar>
          <w:top w:w="28" w:type="dxa"/>
          <w:left w:w="28" w:type="dxa"/>
          <w:bottom w:w="28" w:type="dxa"/>
          <w:right w:w="28" w:type="dxa"/>
        </w:tblCellMar>
      </w:tblPr>
      <w:tblGrid>
        <w:gridCol w:w="1843"/>
        <w:gridCol w:w="1617"/>
        <w:gridCol w:w="1624"/>
        <w:gridCol w:w="109"/>
        <w:gridCol w:w="109"/>
        <w:gridCol w:w="109"/>
        <w:gridCol w:w="1115"/>
        <w:gridCol w:w="1115"/>
        <w:gridCol w:w="1579"/>
      </w:tblGrid>
      <w:tr>
        <w:trPr/>
        <w:tc>
          <w:tcPr>
            <w:tcW w:w="184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Test Dates (fiscal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Product Revenue Base for 12 Month Period</w:t>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09"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$44,250</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$48,750</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2026 and Each Fiscal Quarter ending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$50,000</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Product Revenue Base requirement and no repayments were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Repayment Premium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All repayments and prepayments of the loans under the OrbiMed Credit Agreement (other than on Maturity Date) shall be accompanied by the payment of the premium, which shall be determined based on the timing of the repayment as follows (the “Repayment Premium”):</w:t>
      </w:r>
    </w:p>
    <w:tbl>
      <w:tblPr>
        <w:tblW w:w="10205" w:type="dxa"/>
        <w:jc w:val="left"/>
        <w:tblInd w:w="0" w:type="dxa"/>
        <w:tblLayout w:type="fixed"/>
        <w:tblCellMar>
          <w:top w:w="28" w:type="dxa"/>
          <w:left w:w="28" w:type="dxa"/>
          <w:bottom w:w="28" w:type="dxa"/>
          <w:right w:w="28" w:type="dxa"/>
        </w:tblCellMar>
      </w:tblPr>
      <w:tblGrid>
        <w:gridCol w:w="2574"/>
        <w:gridCol w:w="2263"/>
        <w:gridCol w:w="2275"/>
        <w:gridCol w:w="109"/>
        <w:gridCol w:w="109"/>
        <w:gridCol w:w="109"/>
        <w:gridCol w:w="821"/>
        <w:gridCol w:w="821"/>
        <w:gridCol w:w="1124"/>
      </w:tblGrid>
      <w:tr>
        <w:trPr/>
        <w:tc>
          <w:tcPr>
            <w:tcW w:w="257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Time of 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Premium Rate</w:t>
            </w:r>
          </w:p>
        </w:tc>
      </w:tr>
      <w:tr>
        <w:trPr/>
        <w:tc>
          <w:tcPr>
            <w:tcW w:w="7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the first 12 months from the funding date of each respective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3.0% plus the Make-Whole Amount</w:t>
            </w:r>
            <w:r>
              <w:rPr>
                <w:color w:val="000000"/>
              </w:rPr>
              <w:t xml:space="preserve"> </w:t>
            </w:r>
            <w:r>
              <w:rPr>
                <w:rFonts w:ascii="Times New Roman;serif" w:hAnsi="Times New Roman;serif"/>
                <w:b w:val="false"/>
                <w:color w:val="000000"/>
                <w:sz w:val="13"/>
              </w:rPr>
              <w:t>(1)</w:t>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first 12 months but before the 24-month anniversary of the funding date of each respective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24-month anniversary but before the 36-month anniversary of the funding date of each respective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36-month anniversary but before the 48-month anniversary of the funding date of each respective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After the 48-month anniversary of the funding date of each respective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60" w:after="283"/>
        <w:jc w:val="both"/>
        <w:rPr/>
      </w:pPr>
      <w:r>
        <w:rPr>
          <w:rFonts w:ascii="Times New Roman;serif" w:hAnsi="Times New Roman;serif"/>
          <w:b w:val="false"/>
          <w:i/>
          <w:color w:val="000000"/>
          <w:sz w:val="13"/>
        </w:rPr>
        <w:t xml:space="preserve">(1) </w:t>
      </w:r>
      <w:r>
        <w:rPr>
          <w:color w:val="000000"/>
        </w:rPr>
        <w:t>“</w:t>
      </w:r>
      <w:r>
        <w:rPr>
          <w:rFonts w:ascii="Times New Roman;serif" w:hAnsi="Times New Roman;serif"/>
          <w:b w:val="false"/>
          <w:i/>
          <w:color w:val="000000"/>
          <w:sz w:val="18"/>
        </w:rPr>
        <w:t>Make-Whole Amount” is equal to the sum of the remaining scheduled interest payments through the 12-month anniversary of the closing date of each respective loan</w:t>
      </w:r>
      <w:r>
        <w:rPr>
          <w:rFonts w:ascii="Times New Roman;serif" w:hAnsi="Times New Roman;serif"/>
          <w:b w:val="false"/>
          <w:color w:val="000000"/>
          <w:sz w:val="18"/>
        </w:rPr>
        <w:t>.</w:t>
      </w:r>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Rate and Payment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interest rate is calculated as Secured Overnight Financing Rate for the interest period (which shall not be less than 4.0% (the “Floor”)) plus 8.5% (the “Interest Rate”). Until the first full interest period after the 15 month anniversary of the OrbiMed Closing Date, 3.5% of the Interest Rate was designated as paid-in-kind interest, which was added to the outstanding principal amount of the loans under the OrbiMed Credit Agreement (the “PIK Interest”). However, the borrower upon written notice could elect to pay all interest in cash, or to pay a percentage less than 3.5% as PIK Interest.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and after occurrence of any event of default, until such event of default is cured, the borrower is obligated to pay 4.0% in addition to the otherwise applicable Interest Rate (the “Default Rate”).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payments (except PIK Interest) are due on the last day of the month. Whenever a prepayment is made on the principal of the Term Loans, the accrued interest and any applicable Repayment Premium on the amount prepaid is also due on such date.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Warrant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OrbiMed Credit Agreement, we issued OrbiMed the Initial OrbiMed Warrant. Subsequent to achieving the First Delayed Draw Term Loan Commitment revenue requirement, the Subsequent OrbiMed Warrants were issued (see Note 5) for further discussion.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Related Fees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Exit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borrower on the repayment of the loans under the OrbiMed Credit Agreement is obligated to pay an additional fee equal to 4.0% of the of the principal amount being repaid. This applies whether the repayment is made on the Maturity Date, or under any other conditions specified in the Agreement (the “Exit Fee”). The Exit Fee is amortized over the term of the Term Loans.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Commitment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borrower on the funding date of the loans under the OrbiMed Credit Agreement, shall pay a commitment fee to the Lender, equal to 2.0% of the principal amount drawn (the “Commitment Fee”). The Commitment Fee was recorded as a debt discount and amortized over the life of the Term Loans.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Undrawn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Every month, the borrower is obligated to remit a fee to the lender, calculated as 0.25% per annum of the total undrawn amount under the DDTL Commitments. The Undrawn Fee is accounted for as a service fee, which is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Administrative Fee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borrower will pay to the agent under the OrbiMed Credit Agreement for its own account a quarterly loan administration fee, payable in advance, with the first payment due and payable upon the OrbiMed Closing Date.</w:t>
      </w:r>
    </w:p>
    <w:p>
      <w:pPr>
        <w:pStyle w:val="TextBody"/>
        <w:bidi w:val="0"/>
        <w:spacing w:lineRule="auto" w:line="288" w:before="160" w:after="283"/>
        <w:jc w:val="both"/>
        <w:rPr/>
      </w:pPr>
      <w:r>
        <w:rPr>
          <w:rFonts w:ascii="Times New Roman;serif" w:hAnsi="Times New Roman;serif"/>
          <w:b w:val="false"/>
          <w:color w:val="000000"/>
          <w:sz w:val="20"/>
        </w:rPr>
        <w:t xml:space="preserve">In 2024, we recorded the Initial Term Loan as long-term debt, and recorded the issuance costs incurred to obtain the loan as contra-debt, in accordance with ASC 470, </w:t>
      </w:r>
      <w:r>
        <w:rPr>
          <w:rFonts w:ascii="Times New Roman;serif" w:hAnsi="Times New Roman;serif"/>
          <w:b w:val="false"/>
          <w:i/>
          <w:color w:val="000000"/>
          <w:sz w:val="20"/>
        </w:rPr>
        <w:t>Debt</w:t>
      </w:r>
      <w:r>
        <w:rPr>
          <w:rFonts w:ascii="Times New Roman;serif" w:hAnsi="Times New Roman;serif"/>
          <w:b w:val="false"/>
          <w:color w:val="000000"/>
          <w:sz w:val="20"/>
        </w:rPr>
        <w:t>. We incurred $2.6 million in legal, origination and other fees to acquire the OrbiMed Credit Agreement. In 2025, we recorded the First Delay Draw Term Loan as long-term debt and incurred $0.5 million in issuance costs, which were deferred financing costs on the condensed consolidated balance sheets. In connection with the OrbiMed Fourth Amendment and Fifth Amendment, we incurred $0.3 million and $0.3 million, respectively, in fees which were deferred and will be amortized over the life of the Term Loans.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recorded interest expense of $1.5 million related to borrowings under the OrbiMed Credit Agreement on the condensed consolidated statements of operations, of which $1.2 million was cash interest and $0.3 million was amortization of debt issuance costs and debt discount. During the six months ended June 30, 2026, we recorded interest expense of $2.9 million related to borrowings under the OrbiMed Credit Agreement on the condensed consolidated statements of operations, of which $2.3 million was cash interest and $0.6 million was amortization of debt issuance costs and debt discount.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recorded interest expense of $1.4 million related to borrowings under the OrbiMed Credit Agreement on the condensed consolidated statements of operations, of which $0.3 million was recorded as PIK Interest, $0.8 million was cash interest and $0.3 million was amortization of debt issuance costs and debt discount. During the six months ended June 30, 2025, we recorded interest expense of $2.6 million related to borrowings under the OrbiMed Credit Agreement on the condensed consolidated statements of operations, of which $0.6 million was recorded as PIK Interest, $1.5 million was cash interest and $0.5 million was amortization of debt issuance costs and debt discount.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within the Term Loan for the six months ended June 30, 2026 and for the year ended December 31, 2025:</w:t>
      </w:r>
    </w:p>
    <w:tbl>
      <w:tblPr>
        <w:tblW w:w="4805" w:type="dxa"/>
        <w:jc w:val="left"/>
        <w:tblInd w:w="0" w:type="dxa"/>
        <w:tblLayout w:type="fixed"/>
        <w:tblCellMar>
          <w:top w:w="28" w:type="dxa"/>
          <w:left w:w="28" w:type="dxa"/>
          <w:bottom w:w="28" w:type="dxa"/>
          <w:right w:w="28" w:type="dxa"/>
        </w:tblCellMar>
      </w:tblPr>
      <w:tblGrid>
        <w:gridCol w:w="1340"/>
        <w:gridCol w:w="1180"/>
        <w:gridCol w:w="1184"/>
        <w:gridCol w:w="211"/>
        <w:gridCol w:w="73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OrbiMed Debt</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22,084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First Delayed Draw Term Loan Commitment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costs: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PIK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exit fee liability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33,065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Convertible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3,594,002 shares of Series A Convertible Preferred Stock ("Preferred Stock") outstanding. The original issue price of the Series A Convertible Preferred Stock was $10.00. The Series A Convertible Preferred Stock accrues cumulative dividends at the rate of 8.00% per annum on the original issue price. As of June 30, 2025, total undeclared cumulative dividends were $5.4 million. We have not recorded the undeclared dividends in our condensed consolidated financial statements, except actual undeclared dividends of $1.4 million as a reconciling item for net loss attributable to common stockholders on the condensed consolidated statements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23, 2025, the Company commenced an offer (the “Offer”) to all holders of Preferred Stock to exchange their shares of Preferred Stock for Common Stock equal to the sum of the liquidation preference per share price of $10.00 and all accrued and unpaid dividends per share outstanding through August 10, 2027, divided by a $4.00 conversion price per share. The Offer expired at one minute after 11:59 p.m., Eastern Daylight Time, on July 23, 2025. For any Preferred Stock holders that did not participate in the Offer, the Company had the right to call their Preferred Stock shares for conversion into Common Stock shares equal to the sum of the liquidation preference per share price of $10.00 and all accrued and unpaid dividends per share outstanding through the conversion date, divided by a $5.227 conversion price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98.8% of the outstanding shares of Preferred Stock shares were tendered through the Offer and were accepted for exchange, resulting in 3,551,502 shares of Preferred Stock converted to 11,719,956 shares of Common Stock. For the holders of Preferred Stock that did not participate in the Offer, the Company called their Preferred Stock and 42,500 shares of Preferred Stock were converted to 93,103 shares of Common Stock. All shares of Preferred Stock were converted for common stock shares on July 31, 2025, resulting in the issuance of 11,813,059 Common Stock shares.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are no outstanding shares of Preferred Stock. The Company is authorized to issue up to 10,000,000 shares of preferred stock with 10,000,000 shares available for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 earnings per share during periods of income. During periods where we incur net losses, we do not allocate a loss to participating securities because they have no contractual obligation to share in our losses.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computed diluted loss per common share after giving consideration to the dilutive effect of stock options, restricted stock units ("RSUs"), performance stock units ("PSUs") and warrants that are outstanding during the period, as well as potential common shares issuable under our Employee Stock Purchase Plan ("ESPP"), except where such nonparticipating securities would be antidilutive. As we reported a net loss for the three and six months ended June 30, 2026 and June 30, 2025, diluted net loss per common share is the same as basic net loss per common share for these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 of basic and diluted net loss per share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03"/>
        <w:gridCol w:w="1304"/>
        <w:gridCol w:w="1316"/>
        <w:gridCol w:w="266"/>
        <w:gridCol w:w="864"/>
        <w:gridCol w:w="133"/>
        <w:gridCol w:w="109"/>
        <w:gridCol w:w="109"/>
        <w:gridCol w:w="109"/>
        <w:gridCol w:w="266"/>
        <w:gridCol w:w="864"/>
        <w:gridCol w:w="133"/>
        <w:gridCol w:w="109"/>
        <w:gridCol w:w="109"/>
        <w:gridCol w:w="109"/>
        <w:gridCol w:w="266"/>
        <w:gridCol w:w="864"/>
        <w:gridCol w:w="133"/>
        <w:gridCol w:w="109"/>
        <w:gridCol w:w="109"/>
        <w:gridCol w:w="109"/>
        <w:gridCol w:w="240"/>
        <w:gridCol w:w="896"/>
        <w:gridCol w:w="176"/>
      </w:tblGrid>
      <w:tr>
        <w:trPr/>
        <w:tc>
          <w:tcPr>
            <w:tcW w:w="150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Undeclared dividends on Series A Preferred Stock</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(20,089)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58,296,711 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32,899,297 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54,936,862 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30,713,375 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awards outstanding</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58,296,711 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32,899,297 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54,936,862 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30,713,375 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(in common stock equivalent shares) have been excluded from the computation of diluted loss per share because such securities have an antidilutive impact:</w:t>
      </w:r>
    </w:p>
    <w:tbl>
      <w:tblPr>
        <w:tblW w:w="9298" w:type="dxa"/>
        <w:jc w:val="left"/>
        <w:tblInd w:w="0" w:type="dxa"/>
        <w:tblLayout w:type="fixed"/>
        <w:tblCellMar>
          <w:top w:w="28" w:type="dxa"/>
          <w:left w:w="28" w:type="dxa"/>
          <w:bottom w:w="28" w:type="dxa"/>
          <w:right w:w="28" w:type="dxa"/>
        </w:tblCellMar>
      </w:tblPr>
      <w:tblGrid>
        <w:gridCol w:w="965"/>
        <w:gridCol w:w="850"/>
        <w:gridCol w:w="854"/>
        <w:gridCol w:w="425"/>
        <w:gridCol w:w="425"/>
        <w:gridCol w:w="425"/>
        <w:gridCol w:w="208"/>
        <w:gridCol w:w="208"/>
        <w:gridCol w:w="208"/>
        <w:gridCol w:w="425"/>
        <w:gridCol w:w="425"/>
        <w:gridCol w:w="425"/>
        <w:gridCol w:w="109"/>
        <w:gridCol w:w="109"/>
        <w:gridCol w:w="109"/>
        <w:gridCol w:w="425"/>
        <w:gridCol w:w="425"/>
        <w:gridCol w:w="425"/>
        <w:gridCol w:w="178"/>
        <w:gridCol w:w="178"/>
        <w:gridCol w:w="178"/>
        <w:gridCol w:w="386"/>
        <w:gridCol w:w="386"/>
        <w:gridCol w:w="547"/>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6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22,590,869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22,590,869</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7,402,541</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and PSUs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2,070,748</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2,070,748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671,803</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9,189,434</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5,434,039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9,189,434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5,434,039</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SEPA</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3,468,998</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ESPP</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69,678</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69,678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49,939</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18,732,401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39,618,189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18,732,401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39,618,189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currently maintain the 2023 Equity Incentive Plan (the “2023 Plan”), which our Board of Directors (the "Board") and stockholders approved in connection with the Business Combination, for purposes of granting equity-based incentive awards to our employees, executive officers, directors and consultants. Prior to the Business Combination, TriSalus granted equity incentive awards under the 2009 Amended and Restated Equity Incentive Plan (the “2009 Plan”). The 2009 Plan has not been used following the Business Combination. However, any awards granted under the 2009 Plan remain subject to the terms of the 2009 Plan and the applicable award agreement. As of June 30, 2026, there were 1,141,590 awards outstanding and no shares available for future grant under the 2009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Initially, 5,585,008 shares were authorized under the 2023 Plan. In addition, the share reserve will automatically increase on January 1 of each year for a period of ten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2025 and 2026, the authorized shares under the 2023 Plan increased by 2,383,545 shares and 3,331,683 shares, respectively. The 2023 Plan will expire on August 10, 2033, unless modified by the Board of Directors or a duty authorized committee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Board delegated the authority to administer the 2009 Plan and the 2023 Plan our CEO and CFO, who act on the recommendation of managers of the Company to select the individuals to whom the awards will be granted and to determine the amount and vesting period for the grants. All grants are subject to approval by the Board.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balances under the 2023 Plan were as follows:</w:t>
      </w:r>
    </w:p>
    <w:tbl>
      <w:tblPr>
        <w:tblW w:w="6307" w:type="dxa"/>
        <w:jc w:val="left"/>
        <w:tblInd w:w="0" w:type="dxa"/>
        <w:tblLayout w:type="fixed"/>
        <w:tblCellMar>
          <w:top w:w="28" w:type="dxa"/>
          <w:left w:w="28" w:type="dxa"/>
          <w:bottom w:w="28" w:type="dxa"/>
          <w:right w:w="28" w:type="dxa"/>
        </w:tblCellMar>
      </w:tblPr>
      <w:tblGrid>
        <w:gridCol w:w="342"/>
        <w:gridCol w:w="300"/>
        <w:gridCol w:w="302"/>
        <w:gridCol w:w="540"/>
        <w:gridCol w:w="541"/>
        <w:gridCol w:w="351"/>
        <w:gridCol w:w="109"/>
        <w:gridCol w:w="109"/>
        <w:gridCol w:w="109"/>
        <w:gridCol w:w="540"/>
        <w:gridCol w:w="541"/>
        <w:gridCol w:w="456"/>
        <w:gridCol w:w="109"/>
        <w:gridCol w:w="109"/>
        <w:gridCol w:w="109"/>
        <w:gridCol w:w="508"/>
        <w:gridCol w:w="508"/>
        <w:gridCol w:w="72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Outstanding</w:t>
            </w:r>
            <w:r>
              <w:rPr>
                <w:color w:val="000000"/>
              </w:rPr>
              <w:t xml:space="preserve">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 for Issue</w:t>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2023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13,685,930 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10,118,592 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2,987,138 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(1)Outstanding excludes RSU releases and option exercises under the 2023 plan.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Historically, we have used stock options as an incentive for long-term compensation to our executive officers because options allow our executive officers to realize value from this form of equity compensation only if the value of the underlying equity securities increase relative to the option’s exercise price. Stock options are granted with an exercise price equal to the fair market value of our common stock on the grant date. Stock options generally have a ten-year contractual term and typically vest in one year or have graded vesting over three to four years. We may grant stock options with a performance condition. The performance stock options vest upon meeting the stated performance metric(s) during the stated performance period(s). We assess the probability of the performance stock options meeting the performance metric(s), and if probable, we recognize compensation expense over the requisite service period. As of June 30, 2026, we had one performance stock option award outstanding.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for stock options under the 2009 Plan and 2023 Plan for the six months ended June 30, 2026:</w:t>
      </w:r>
    </w:p>
    <w:tbl>
      <w:tblPr>
        <w:tblW w:w="10205" w:type="dxa"/>
        <w:jc w:val="left"/>
        <w:tblInd w:w="0" w:type="dxa"/>
        <w:tblLayout w:type="fixed"/>
        <w:tblCellMar>
          <w:top w:w="28" w:type="dxa"/>
          <w:left w:w="28" w:type="dxa"/>
          <w:bottom w:w="28" w:type="dxa"/>
          <w:right w:w="28" w:type="dxa"/>
        </w:tblCellMar>
      </w:tblPr>
      <w:tblGrid>
        <w:gridCol w:w="546"/>
        <w:gridCol w:w="479"/>
        <w:gridCol w:w="482"/>
        <w:gridCol w:w="717"/>
        <w:gridCol w:w="383"/>
        <w:gridCol w:w="384"/>
        <w:gridCol w:w="109"/>
        <w:gridCol w:w="109"/>
        <w:gridCol w:w="109"/>
        <w:gridCol w:w="510"/>
        <w:gridCol w:w="1237"/>
        <w:gridCol w:w="265"/>
        <w:gridCol w:w="109"/>
        <w:gridCol w:w="109"/>
        <w:gridCol w:w="109"/>
        <w:gridCol w:w="837"/>
        <w:gridCol w:w="837"/>
        <w:gridCol w:w="838"/>
        <w:gridCol w:w="109"/>
        <w:gridCol w:w="109"/>
        <w:gridCol w:w="109"/>
        <w:gridCol w:w="330"/>
        <w:gridCol w:w="1130"/>
        <w:gridCol w:w="249"/>
      </w:tblGrid>
      <w:tr>
        <w:trPr/>
        <w:tc>
          <w:tcPr>
            <w:tcW w:w="5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Weighted-Average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7,406,664 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2,481,981 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(16,808)</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(381,491)</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(300,912)</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9,189,434 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1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3,400,150 </w:t>
            </w:r>
          </w:p>
        </w:tc>
        <w:tc>
          <w:tcPr>
            <w:tcW w:w="3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granted during the six months ended June 30, 2026 was determined using the Black-Scholes option pricing model.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recorded compensation expense for stock options during the three and six months ended June 30, 2026 of $1.7 million and $3.2 million, respectively, and during the three and six months ended June 30, 2025 of $1.3 million and $2.4 million, respectively. As of June 30, 2026, there was $14.5 million of unrecognized compensation expense related to stock options and will be expensed over a weighted average period of 2.7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and Performance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both the 2009 and 2023 Plans, we issue restricted stock unit awards ("RSUs") and performance stock unit awards ("PSUs"). The estimated fair value of the awards at the time of grant was determined using the price of our common stock on the grant date for the RSUs and PSUs. All such grants are satisfied through the issuance of new shares. RSUs are share awards that, upon vesting, will deliver to the holder shares of our common stock at specified vesting dates. Typically, RSUs vest in one year or have graded vesting over one or four years from the grant date. PSUs are share awards that vest upon meeting the stated performance metric(s) during the stated performance period(s). We assess the probability of PSUs meeting the performance metric(s), and if probable, we recognize compensation expense over the requisite service period. As of June 30, 2026, we had two PSU awards outstanding.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 activity for RSUs and PSUs under the 2009 Plan and 2023 Plan for the six months ended June 30, 2026:</w:t>
      </w:r>
    </w:p>
    <w:p>
      <w:pPr>
        <w:pStyle w:val="TextBody"/>
        <w:bidi w:val="0"/>
        <w:spacing w:before="0" w:after="0"/>
        <w:jc w:val="both"/>
        <w:rPr/>
      </w:pPr>
      <w:r>
        <w:rPr/>
      </w:r>
    </w:p>
    <w:tbl>
      <w:tblPr>
        <w:tblW w:w="9310" w:type="dxa"/>
        <w:jc w:val="left"/>
        <w:tblInd w:w="0" w:type="dxa"/>
        <w:tblLayout w:type="fixed"/>
        <w:tblCellMar>
          <w:top w:w="28" w:type="dxa"/>
          <w:left w:w="28" w:type="dxa"/>
          <w:bottom w:w="28" w:type="dxa"/>
          <w:right w:w="28" w:type="dxa"/>
        </w:tblCellMar>
      </w:tblPr>
      <w:tblGrid>
        <w:gridCol w:w="875"/>
        <w:gridCol w:w="768"/>
        <w:gridCol w:w="771"/>
        <w:gridCol w:w="664"/>
        <w:gridCol w:w="664"/>
        <w:gridCol w:w="667"/>
        <w:gridCol w:w="109"/>
        <w:gridCol w:w="109"/>
        <w:gridCol w:w="109"/>
        <w:gridCol w:w="1101"/>
        <w:gridCol w:w="2667"/>
        <w:gridCol w:w="806"/>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Grant-Date Fair Value per Share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9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recorded compensation expense for RSUs and PSUs during the three and six months ended June 30, 2026 of $0.9 million and $1.8 million, respectively, and during the three and six months ended June 30, 2025 of $0.5 million and $1.0 million, respectively. As of June 30, 2026, there was $8.4 million of unrecognized compensation expense related to RSUs and PSUs and will be expensed over a weighted-average period of 2.5 years.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maintain an Employee Stock Purchase Plan ("ESPP"), which provides our eligible employees and certain designated companies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There were 2,350,530 shares of Common Stock initially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2025 and 2026, the authorized shares under ESPP increased by 953,418 shares and 1,332,673 shares,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recognized compensation expense related to the ESPP of $0.1 million during the six months ended June 30, 2026, and 2025,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69,678 shares were purchased under the ESPP. We record the issuance of shares when they are recorded by the transfer agent and, as such, there could be timing differences between when the expense is recorded and shares are transferred.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have certain contingent liabilities, including litigation, which arise in the ordinary course of business activities. We accrue contingent liabilities when it is probable that future expenditures will be made and such expenditures can be reasonably estimated. In the opinion of management, there are no legal proceedings or pending claims for which the outcome is expected to result in a material adverse effect on our condensed consolidated balance sheets, statements of operations or statements of cash flows. The outcome of any litigation or claims against us cannot be predicted with certainty, and the resolution of such claims could materially affect our financial position, results of operations or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the Business Combination, we entered into the Amended and Restated Registration Rights Agreement with certain investors in MTAC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(14)</w:t>
      </w:r>
      <w:r>
        <w:rPr>
          <w:color w:val="000000"/>
        </w:rPr>
        <w:t xml:space="preserve"> </w:t>
      </w:r>
      <w:r>
        <w:rPr>
          <w:rFonts w:ascii="Times New Roman;serif" w:hAnsi="Times New Roman;serif"/>
          <w:b/>
          <w:color w:val="000000"/>
          <w:sz w:val="20"/>
        </w:rPr>
        <w:t>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two property leases in effect as of June 30, 2026, which we account for as operating leases. We lease office, manufacturing and warehouse space under these leases. Both leases contain options to extend the respective lease terms, which were excluded in determining the expected lease term as it was not reasonably certain we would exercise these options. We also have three finance leases for copier equipment and computers in our facilities, including one entered into during the six months ended June 30,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2026 and 2025, were as follows:</w:t>
      </w:r>
    </w:p>
    <w:tbl>
      <w:tblPr>
        <w:tblW w:w="8529" w:type="dxa"/>
        <w:jc w:val="left"/>
        <w:tblInd w:w="0" w:type="dxa"/>
        <w:tblLayout w:type="fixed"/>
        <w:tblCellMar>
          <w:top w:w="28" w:type="dxa"/>
          <w:left w:w="28" w:type="dxa"/>
          <w:bottom w:w="28" w:type="dxa"/>
          <w:right w:w="28" w:type="dxa"/>
        </w:tblCellMar>
      </w:tblPr>
      <w:tblGrid>
        <w:gridCol w:w="858"/>
        <w:gridCol w:w="753"/>
        <w:gridCol w:w="758"/>
        <w:gridCol w:w="395"/>
        <w:gridCol w:w="676"/>
        <w:gridCol w:w="204"/>
        <w:gridCol w:w="121"/>
        <w:gridCol w:w="121"/>
        <w:gridCol w:w="121"/>
        <w:gridCol w:w="395"/>
        <w:gridCol w:w="676"/>
        <w:gridCol w:w="204"/>
        <w:gridCol w:w="109"/>
        <w:gridCol w:w="109"/>
        <w:gridCol w:w="109"/>
        <w:gridCol w:w="342"/>
        <w:gridCol w:w="756"/>
        <w:gridCol w:w="176"/>
        <w:gridCol w:w="109"/>
        <w:gridCol w:w="109"/>
        <w:gridCol w:w="109"/>
        <w:gridCol w:w="335"/>
        <w:gridCol w:w="740"/>
        <w:gridCol w:w="24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ROU assets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TriSalus Life Sciences, Inc. (for purposes of this section, the “Company,” “TriSalus,” “we,” “us” and “our”) should be read together with TriSalus’ condensed consolidated financial statements and the related notes thereto included elsewhere in this Quarterly Report on Form 10-Q ("Quarterly Report") and for our audited financial statements and related notes thereto as of and for the year ended December 31, 2025 included in our Annual Report on Form 10-K, filed with the SEC, on March 5, 2026 ("Annual Report"). Some of the information contained in this discussion and analysis includes forward-looking statements that involves risks and uncertainties. You should review the section titled “Cautionary Note Regarding Forward-Looking Statements.” As a result of many factors, including those factors set forth in the section captioned "Item 1A. Risk Factors" of our Annual Report,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dedicated to the research, development and commercialization of an innovative drug delivery technology platform and an immuno-oncology therapeutic, aimed at improving outcomes for patients with difficult-to-treat liver and pancreatic cancers. Our advanced technology is designed for use by interventional radiologists to enhance the delivery of therapeutics and improve patient outcomes.</w:t>
      </w:r>
    </w:p>
    <w:p>
      <w:pPr>
        <w:pStyle w:val="TextBody"/>
        <w:bidi w:val="0"/>
        <w:spacing w:lineRule="auto" w:line="288" w:before="160" w:after="283"/>
        <w:jc w:val="both"/>
        <w:rPr/>
      </w:pPr>
      <w:r>
        <w:rPr>
          <w:rFonts w:ascii="Times New Roman;serif" w:hAnsi="Times New Roman;serif"/>
          <w:b w:val="false"/>
          <w:color w:val="000000"/>
          <w:sz w:val="20"/>
        </w:rPr>
        <w:t>We market our cutting-edge PEDD infusion systems, which optimize therapeutic delivery for hepatocellular carcinoma, pancreatic cancer and other solid liver tumors. Additionally, we are pursuing the development of nelitolimod to illustrate how an immunotherapeutic when administered via PEDD in combination with systemic treatment can enhance the effectiveness of other therapeutics, ultimately leading to better patient responses. The combination of our PEDD technology with nelitolimod is focused on solving the two main barriers in the tumor microenvironment that inhibits the success of immunotherapy. The first barrier (mechanical)</w:t>
      </w:r>
      <w:r>
        <w:rPr>
          <w:color w:val="000000"/>
        </w:rPr>
        <w:t xml:space="preserve"> </w:t>
      </w:r>
      <w:r>
        <w:rPr>
          <w:rFonts w:ascii="Times New Roman;serif" w:hAnsi="Times New Roman;serif"/>
          <w:b w:val="false"/>
          <w:color w:val="000000"/>
          <w:sz w:val="20"/>
        </w:rPr>
        <w:t>is comprised of high intratumoral pressure within tumors that limits drug uptake and the second barrier (biological) is the reversal of intratumoral immunosuppression.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2020, we launched TriNav, which is our newest liver therapy delivery device with SmartValve technology for our proprietary PEDD approach.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code became effective on January 1, 2024, and may be reported by hospital outpatient departments ("HOPDs") and ambulatory surgical centers ("ASCs") to obtain reimbursement for TriNav device. Effective April 1, 2025, TriNav received a second unique and permanent HCPCS code from CMS. This new code provides reimbursement clarity for mapping procedures conducted prior to transarterial radioembolization ("TARE"). On June 17, 2026, CMS created a permanent HCPCS G Code ("G-code") for vascular embolization or occlusion procedure with use of a pressure-generating catheter, inclusive of all radiological supervision and interpretation, intraprocedural roadmapping, and imaging guidance necessary to complete the intervention for tumors, organ ischemia or infarction performed in the non-facility setting. This code became effective on July 1, 2026, and may be reported by outpatient-based labs ("OBLs") to obtain reimbursement for the TriNav device.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2025, we expanded our portfolio of PEDD devices with the commercial launch of the TriNav® FLX Infusion System and the TriNav XP Infusion System, further broadening the TriNav product family. These systems complement the Company’s existing TriNav Infusion System, TriNav LV Infusion System and TriGuide Guiding Catheter and are designed to support therapeutic delivery across a broader range anatomical complexity. The TriNav FLX Infusion System incorporates a more flexible distal tip, intended to improve trackability and navigation in tortuous vasculature. While the TriNav XP Infusion System also includes the more flexible distal tip, it is also designed to support delivery of larger embolic particles, expanding procedural versatility across embolization applications. Together with TriNav LV, which is suitable for vessels 3.5 mm to 5.0 mm in diameter, these products are intended to increase the addressable embolization market. TriNav FLX and TriNav XP are eligible for the same HCPCS reimbursement codes as previously commercialized TriNav products, allowing for integration into existing reimbursement framework.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initiated a registry study called PROTECT (Pressure Enabled Retrograde Occlusive Therapy with Embolization for Control of Thyroid Disease) and intend to enroll 100 patients at approximately 10 sites. It is estimated that approximately 5% of adults have multinodular goiters, and the prevalence in adults over 50 is estimated to be up to 50%. We estimate that this could expand the addressable market by approximately 50,000 procedures, representing an incremental $400 million market opportunity. This new procedure utilizing TriNav is also eligible for the same HCPCS reimbursement code allowing for seamless integration into current billing approaches.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 high growth, high margin company approaching a level of revenues that can generate sufficient cash flow to sustain our operations. Beginning in 2020, our mission was to improve the delivery of therapeutics to solid tumors across a range of different diseases and tumor types. Additionally, we acquired an immune-oncology drug, nelitolimod, in July 2020, and conducted several Phase I clinical trials to study the ability and value of our PEDD technology. We conducted two Phase I dose escalation (UMLM and LA-PDAC) and Phase Ib (ICC/HCC) clinical trials for nelitolimod. These trials have now concluded. Due to physician and investigator interest, we are supporting two Investigator Initiated Trials of nelitolimod, one in patients with advanced HCC in combination with cryoablation, durvalumab and tremelimumab and another in patients with resectable colorectal liver metastases. Due to the excessive cost of capital, we do not intend to proceed to Phase II trials for that indication on our own, but we are looking for potential partners to advance that indication. We anticipate releasing a consolidated clinical update in the second half of 2026 and will begin discussions for a pharmaceutical partner for further clinical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160" w:after="283"/>
        <w:jc w:val="both"/>
        <w:rPr/>
      </w:pPr>
      <w:r>
        <w:rPr>
          <w:rFonts w:ascii="Times New Roman;serif" w:hAnsi="Times New Roman;serif"/>
          <w:b w:val="false"/>
          <w:color w:val="000000"/>
          <w:sz w:val="20"/>
        </w:rPr>
        <w:t>We believe that our performance and future success depend on several factors that present significant opportunities for us but also pose risks and challenges, including those discussed below and in the section of our Annual Report titled “</w:t>
      </w:r>
      <w:r>
        <w:rPr>
          <w:rFonts w:ascii="Times New Roman;serif" w:hAnsi="Times New Roman;serif"/>
          <w:b w:val="false"/>
          <w:i/>
          <w:color w:val="000000"/>
          <w:sz w:val="20"/>
        </w:rPr>
        <w:t>Risk Factors</w:t>
      </w:r>
      <w:r>
        <w:rPr>
          <w:rFonts w:ascii="Times New Roman;serif" w:hAnsi="Times New Roman;serif"/>
          <w:b w:val="false"/>
          <w:color w:val="000000"/>
          <w:sz w:val="20"/>
        </w:rPr>
        <w:t>.” In particular, our performance is affected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continued acceptance and growth of TriNav in the marketplace</w:t>
      </w:r>
      <w:r>
        <w:rPr>
          <w:rFonts w:ascii="Times New Roman;serif" w:hAnsi="Times New Roman;serif"/>
          <w:b w:val="false"/>
          <w:color w:val="000000"/>
          <w:sz w:val="20"/>
        </w:rPr>
        <w:t>. While we believe TriNav to be a superior technology for the delivery of therapies to tumors, particularly high-density tumors, there are other technologies with which we compete. Our ability to increase TriNav sales depends on the skills of our sales force and the willingness of the marketplace to use TriNav.</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attract and retain skilled sales representatives and commercial personnel is central to our performance. </w:t>
      </w:r>
      <w:r>
        <w:rPr>
          <w:rFonts w:ascii="Times New Roman;serif" w:hAnsi="Times New Roman;serif"/>
          <w:b w:val="false"/>
          <w:color w:val="000000"/>
          <w:sz w:val="20"/>
        </w:rPr>
        <w:t>We have invested in building an organizational structure designed to support both our core market and our expanding portfolio of embolization applications. The market for qualified medical device sales talent is highly competitive, and any difficulty in recruiting or retaining personnel with the requisite clinical knowledge and commercial expertise could impair our ability to execute on our growth strategy and achieve category leadership in embolization.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maintain our current TriNav pricing and gross margins to help fund the rest of our activities. </w:t>
      </w:r>
      <w:r>
        <w:rPr>
          <w:rFonts w:ascii="Times New Roman;serif" w:hAnsi="Times New Roman;serif"/>
          <w:b w:val="false"/>
          <w:color w:val="000000"/>
          <w:sz w:val="20"/>
        </w:rPr>
        <w:t>Our current pricing allows us to 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but there can be no assurance that continuing reimbursement will be available at similar reimbursement rates or at all. Effective April 1, 2025, TriNav received a second unique and permanent HCPCS code from CMS, C8004, which has been assigned to APC 5193 (Level 3 Endovascular Procedures). This new code provides reimbursement clarity for mapping procedures conducted prior to TARE.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success of our clinical trials of nelitolimod</w:t>
      </w:r>
      <w:r>
        <w:rPr>
          <w:rFonts w:ascii="Times New Roman;serif" w:hAnsi="Times New Roman;serif"/>
          <w:b w:val="false"/>
          <w:color w:val="000000"/>
          <w:sz w:val="20"/>
        </w:rPr>
        <w:t>. Nelitolimod is in Phase 1 human trials to determine if, when delivered via TriNav, it is safe and effective in treating certain cancers. As with all drug candidates, the cost of operating clinical trials can be substantial, with no guarantee that the trials will result in favorable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Obtaining FDA approval of nelitolimod for sale</w:t>
      </w:r>
      <w:r>
        <w:rPr>
          <w:rFonts w:ascii="Times New Roman;serif" w:hAnsi="Times New Roman;serif"/>
          <w:b w:val="false"/>
          <w:color w:val="000000"/>
          <w:sz w:val="20"/>
        </w:rPr>
        <w:t>. Our clinical trials are still in early stages, and there is no certainty that we will generate favorable data or that, upon review, the FDA will approve nelitolimod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sets forth certain components of our condensed consolidated statements of operations as well as factors that impact those items.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primary end-user customers for our products are hospitals and clinics, to which we sell directly.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provide certain customers with rebates that are explicitly stated in our contracts and are recorded as a reduction of revenue in the period the conditions for the rebates are achieved.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raw materials, direct labor, manufacturing overhead and depreciation costs related to production of TriNav.</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R&amp;D expenses include engineering, regulatory, pre-clinical and clinical activities, including salaries, travel and materials purchased for R&amp;D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includes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is for interest earned on our cash and cash equivalents.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includes mainly the interest incurred on our outstanding indebtedness, as well as amortization of deferred financing costs, mainly exit and commitment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SEPA, Warrant and Revenue Base Redemption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 represents the change in fair value at each reporting period of the SEPA, the change in fair value of the Public Warrants, Private Placement Warrants and Working Capital Warrants (the "Exchange Warrants"), the change in fair value of the OrbiMed Warrants and the change in fair value of the revenue base redemption liability.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 represents the fair value remeasurement of the contingent earnout liability at each reporting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 represents miscellaneous income and expenses that historically have been immaterial.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data for each of the periods indicated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tbl>
      <w:tblPr>
        <w:tblW w:w="10205" w:type="dxa"/>
        <w:jc w:val="left"/>
        <w:tblInd w:w="0" w:type="dxa"/>
        <w:tblLayout w:type="fixed"/>
        <w:tblCellMar>
          <w:top w:w="28" w:type="dxa"/>
          <w:left w:w="28" w:type="dxa"/>
          <w:bottom w:w="28" w:type="dxa"/>
          <w:right w:w="28" w:type="dxa"/>
        </w:tblCellMar>
      </w:tblPr>
      <w:tblGrid>
        <w:gridCol w:w="1886"/>
        <w:gridCol w:w="1558"/>
        <w:gridCol w:w="1561"/>
        <w:gridCol w:w="465"/>
        <w:gridCol w:w="343"/>
        <w:gridCol w:w="343"/>
        <w:gridCol w:w="136"/>
        <w:gridCol w:w="136"/>
        <w:gridCol w:w="136"/>
        <w:gridCol w:w="465"/>
        <w:gridCol w:w="343"/>
        <w:gridCol w:w="343"/>
        <w:gridCol w:w="109"/>
        <w:gridCol w:w="109"/>
        <w:gridCol w:w="109"/>
        <w:gridCol w:w="391"/>
        <w:gridCol w:w="259"/>
        <w:gridCol w:w="264"/>
        <w:gridCol w:w="109"/>
        <w:gridCol w:w="109"/>
        <w:gridCol w:w="109"/>
        <w:gridCol w:w="268"/>
        <w:gridCol w:w="268"/>
        <w:gridCol w:w="386"/>
      </w:tblGrid>
      <w:tr>
        <w:trPr/>
        <w:tc>
          <w:tcPr>
            <w:tcW w:w="188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(9,813)</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2,569</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(9,183)</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5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Amounts presented in the three months ended June 30, 2025 have been revised to align expense classification for the 2025 fiscal year period.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 represented by a percentage change equal to or greater than 100%, favorable or unfavorable.</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was relatively consistent with the prior comparative period with an increase of $0.2 million, or 1.7%, for the three months ended June 30, 2026, as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decreased by $0.3 million, or 16.3%, for the three months ended June 30, 2026, as compared to the three months ended June 30, 2025. The decrease in cost of goods sold was primarily due to a reduction in cost per TriNav unit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increased by $0.5 million, or 5.2%, for the three months ended June 30, 2026, as compared to the three months ended June 30, 2025, and gross margin increased from 83.9% to 86.8% year over year. The increase in gross profit and gross margin was primarily due to a reduction in cost per TriNav unit.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R&amp;D expenses decreased by $0.5 million, or 14.5%, for the three months ended June 30, 2026, as compared to the three months ended June 30, 2025. The decrease was primarily due to lower professional services costs and clinical trial expenses related to nelitolimod that did not recur during the three months ended June 30,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$4.3 million, or 59.4%, for the three months ended June 30, 2026, as compared to the three months ended June 30, 2025. The increase was primarily due to increased investment in marketing and our sales organization expansion during the three months ended June 30,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$0.8 million, or 12.7%, for the three months ended June 30, 2026, as compared to the three months ended June 30, 2025. The decrease was primarily due to lower professional services costs related to legal and audit related expenses.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$0.3 million for the three months ended June 30, 2026 compared to the three months ended June 30, 2025. The increase was due to interest earned on a higher cash and cash equivalents balance during the three months ended June 30,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$0.1 million or 4.7% for the three months ended June 30, 2026, as compared to the three months ended June 30, 2025. The increase was primarily due to a slight increase in the effective interest rate and additional debt discount amortization for the lender fees incurred for the OrbiMed Fourth and Fifth Amendments during the three months ended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SEPA, Warrant and Revenue Base Redemption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SEPA, warrant and revenue base redemption liabilities resulted in a gain of $2.6 million in the three months ended June 30, 2026, compared to a loss of $0.3 million in the three months ended June 30, 2025, a difference of $2.9 million. The change was primarily due to the decrease in the Company's warrant stock price during the three months ended June 30, 2026 as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contingent earnout liability resulted in a loss of $1.0 million for the three months ended June 30, 2026 compared to a gain of $0.7 million for the three months ended June 30, 2025. The change in the fair value of the contingent earnout liability during the three months ended June 30, 2026 was primarily driven by the increase in the Company's stock price and increase in stock price volatility.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 increased by $0.1 million of income for the three months ended June 30, 2026, as compared to the three months ended June 30, 2025. The increase in other income is primarily driven by a one-time credit received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tbl>
      <w:tblPr>
        <w:tblW w:w="10205" w:type="dxa"/>
        <w:jc w:val="left"/>
        <w:tblInd w:w="0" w:type="dxa"/>
        <w:tblLayout w:type="fixed"/>
        <w:tblCellMar>
          <w:top w:w="28" w:type="dxa"/>
          <w:left w:w="28" w:type="dxa"/>
          <w:bottom w:w="28" w:type="dxa"/>
          <w:right w:w="28" w:type="dxa"/>
        </w:tblCellMar>
      </w:tblPr>
      <w:tblGrid>
        <w:gridCol w:w="1831"/>
        <w:gridCol w:w="1496"/>
        <w:gridCol w:w="1498"/>
        <w:gridCol w:w="454"/>
        <w:gridCol w:w="342"/>
        <w:gridCol w:w="342"/>
        <w:gridCol w:w="122"/>
        <w:gridCol w:w="122"/>
        <w:gridCol w:w="122"/>
        <w:gridCol w:w="454"/>
        <w:gridCol w:w="388"/>
        <w:gridCol w:w="388"/>
        <w:gridCol w:w="109"/>
        <w:gridCol w:w="109"/>
        <w:gridCol w:w="109"/>
        <w:gridCol w:w="391"/>
        <w:gridCol w:w="337"/>
        <w:gridCol w:w="339"/>
        <w:gridCol w:w="109"/>
        <w:gridCol w:w="109"/>
        <w:gridCol w:w="109"/>
        <w:gridCol w:w="268"/>
        <w:gridCol w:w="268"/>
        <w:gridCol w:w="389"/>
      </w:tblGrid>
      <w:tr>
        <w:trPr/>
        <w:tc>
          <w:tcPr>
            <w:tcW w:w="183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17,568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SEPA, warrant and revenue base redemption liabilities</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earnout liability</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6,406</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Amounts presented in the six months ended June 30, 2025 have been revised to align expense classification for the 2025 fiscal year period.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 represented by a percentage change equal to or greater than 100%, favorable or unfavorable.</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was relatively consistent with the prior comparative period with a decrease of $0.1 million, or 0.4%, for the six months ended June 30, 2026, as compared to the six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decreased by $0.6 million, or 17.0%, for the six months ended June 30, 2026, as compared to the six months ended June 30, 2025. The decrease in cost of goods sold was primarily due to a reduction in cost per TriNav unit sold.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increased by $0.5 million, or 2.8%, for the six months ended June 30, 2026, as compared to the six months ended June 30, 2025, and gross margin increased from 83.8% to 86.5% year over year. The increase in gross profit and gross margin was primarily due to a reduction in cost per TriNav unit.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R&amp;D expenses decreased by $0.3 million, or 5.1%, for the six months ended June 30, 2026, as compared to the six months ended June 30, 2025. The decrease was primarily due to lower professional services costs and clinical trial expenses related to nelitolimod that did not recur during the six months ended June 30,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by $4.9 million, or 35.5%, for the six months ended June 30, 2026, as compared to the six months ended June 30, 2025. The increase was primarily due to increased investment in marketing and our sales organization expansion during the six months ended June 30, 2026 compared to prior year.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$0.5 million, or 4.9%, for the six months ended June 30, 2026, as compared to the six months ended June 30, 2025. The decrease was primarily due to lower professional services costs related to a decrease in legal and audit related expenses, partially offset by an increase in corporate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$0.4 million for the six months ended June 30, 2026 compared to the six months ended June 30, 2025. The increase was due to interest earned on a higher cash and cash equivalents balance during the six months ended June 30, 2026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$0.3 million or 11.2% for the six months ended June 30, 2026, as compared to the six months ended June 30, 2025. The increase was due to interest on borrowings under the First Delayed Draw Term Loan that was only outstanding for a portion of the six months ended June 30, 2025, a slight increase in the effective interest rate and additional debt discount amortization for the lender fees incurred for the OrbiMed Fourth and Fifth Amendments during the six months ended June 30,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SEPA, Warrant and Revenue Base Redemption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SEPA, warrant and revenue base redemption liabilities resulted in a gain of $6.5 million in the six months ended June 30, 2026, compared to a loss of $1.2 million in the six months ended June 30, 2025, a difference of $7.6 million. The change was primarily due to the decrease in the Company's warrant stock price during the six months ended June 30, 2026 as compared to prior year.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Fair Value of Contingent Earnout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contingent earnout liability resulted in a gain of $6.4 million for the six months ended June 30, 2026 compared to a loss of $0.1 million for the six months ended June 30, 2025. The change in the fair value of the contingent earnout liability during the period was primarily driven by the decrease in the Company's stock price.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net, decreased by $0.3 million of expense for the six months ended June 30, 2026, as compared to the six months ended June 30, 2025. The decrease in expense was primarily driven by the retirement of lease assets that did not recur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Since inception, we have incurred significant operating losses and expect to continue to incur operating losses for the foreseeable future due to the investments we will continue to make in R&amp;D and sales and marketing, and due to additional general and administrative costs we expect to incur as a public company. We incurred operating losses of $18.2 million and $14.7 million for the six months ended June 30, 2026 and 2025, respectively. We had cash and cash equivalents of approximately $46.3 million and $20.4 million as of June 30, 2026 and December 31, 2025, respectively. Since inception, we have financed operations primarily through the issuance of and sales of common and preferred stock, convertible notes, term loans and proceeds from the exercise of warrants. We are still in our early stages of development and have yet to generate revenues sufficient to fund cash flows from operations. Our ability to fund future operations and execute our long-term business plan and strategy will require that we raise additional capital through the issuance of additional equity and/or debt. There can be no assurance that we will be able to raise such additional financing on satisfactory terms, if at all. If additional capital is not secured when required, we may need to delay or curtail our operations until such funding is received.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23, 2026 and February 25, 2026, we raised net proceeds of $42.6 million through a public offering of shares of our Common Stock, including the purchase of optional shares as per the Underwriting Agreement. On March 26, 2026 and May 28, 2026, we entered into the OrbiMed Fourth Amendment and OrbiMed Fifth Amendment, respectively, which reduced two of the Product Revenue Base thresholds (see Note 9). As of June 30, 2026, we were in compliance with the Product Revenue Base requirement and no repayments were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60" w:after="283"/>
        <w:jc w:val="both"/>
        <w:rPr/>
      </w:pPr>
      <w:r>
        <w:rPr>
          <w:rFonts w:ascii="Times New Roman;serif" w:hAnsi="Times New Roman;serif"/>
          <w:b/>
          <w:i/>
          <w:color w:val="000000"/>
          <w:sz w:val="20"/>
        </w:rPr>
        <w:t>Comparison of the Six Months Ended June 30, 2026 and 2025</w:t>
      </w:r>
      <w:r>
        <w:rPr>
          <w:rFonts w:ascii="Times New Roman;serif" w:hAnsi="Times New Roman;serif"/>
          <w:b w:val="false"/>
          <w:color w:val="000000"/>
          <w:sz w:val="20"/>
        </w:rPr>
        <w: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cash from operating activities, investing activities and financing activities (in thousands):</w:t>
      </w:r>
    </w:p>
    <w:tbl>
      <w:tblPr>
        <w:tblW w:w="7330" w:type="dxa"/>
        <w:jc w:val="left"/>
        <w:tblInd w:w="0" w:type="dxa"/>
        <w:tblLayout w:type="fixed"/>
        <w:tblCellMar>
          <w:top w:w="28" w:type="dxa"/>
          <w:left w:w="28" w:type="dxa"/>
          <w:bottom w:w="28" w:type="dxa"/>
          <w:right w:w="28" w:type="dxa"/>
        </w:tblCellMar>
      </w:tblPr>
      <w:tblGrid>
        <w:gridCol w:w="1704"/>
        <w:gridCol w:w="1501"/>
        <w:gridCol w:w="1505"/>
        <w:gridCol w:w="212"/>
        <w:gridCol w:w="803"/>
        <w:gridCol w:w="109"/>
        <w:gridCol w:w="109"/>
        <w:gridCol w:w="109"/>
        <w:gridCol w:w="109"/>
        <w:gridCol w:w="212"/>
        <w:gridCol w:w="802"/>
        <w:gridCol w:w="155"/>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Used in Operating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operating activities was $16.6 million. The net cash used in operating activities consisted of net loss of $7.6 million, adjusted for non-cash activity totaling $6.7 million, primarily related to gains on the change in the fair value of the contingent earnout liability and the fair value of the SEPA, warrant and revenue base redemption liabilities of $6.4 million and $6.5 million, respectively, partially offset by stock-based compensation of $5.1 million, depreciation of $0.3 million and amortization of debt issuance costs of $0.6 million. Net operating assets increased by $2.2 million, primarily due to increases in inventory, net and prepaid expenses and a decrease in accrued liabilities, partially offset by an increase in trade payables.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operating activities was $11.8 million. The net cash used in operating activities consisted of net loss of $18.7 million adjusted for non-cash activity totaling $6.6 million, primarily related to stock-based compensation of $3.5 million, changes in the fair value of the contingent earnout liability and SEPA, warrant and revenue base redemption liabilities of $0.1 million and $1.2 million, respectively, and debt expenses of $1.1 million related to paid-in-kind interest and amortization of debt issuance costs. The change in net operating assets and liabilities decreased $0.2 million, due primarily to a decrease in prepaid expenses offset by an increase in accounts receivable.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$0.2 million for the six months ended June 30, 2026 was primarily due to purchases of property and equipment of $0.2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of $0.6 million for the six months ended June 30, 2025 was primarily due to purchases of property and equipment of $0.7 million.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$42.3 million for the six months ended June 30, 2026, consisted primarily of $42.6 million of net proceeds raised from the issuance of Common Stock through a public offering and $0.3 million in proceeds from the issuance of Common Stock through ESPP, offset by $0.6 million of debt issuance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$30.4 million for the six months ended June 30, 2025, consisted primarily of $20.5 million, net of expenses, from the April 30, 2025 Private Placement and $9.5 million, net of expenses, from the First Delayed draw under the OrbiMed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primary use of cash is to fund our operating expenses, which consist of sales and marketing expenses related to the growth of our sole commercial product TriNav, research, development and clinical expenses related to both TriNav and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may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expect to continue to incur significant expenses in connection with our ongoing activities related to TriNav, including sales and marketing expenses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may require additional capital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continuation as a going concern is dependent on our ability to generate sufficient cash flows from operations and/or obtain additional capital through equity or debt financings, partnerships,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There can be no assurances that we will be successful in any of these respects, or that we will be able to continue to obtain outside capital in the future or do so on terms that are acceptable to us.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as of June 30, 2026, include lease obligations of $1.9 million, reflecting the minimum commitments for our principal administrative and production facility, other office spaces and computers.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Asset Purchase Agreement, dated July 31, 2020, between TriSalus and Dynavax, we have paid Dynavax $12.0 million as of June 30, 2026, and may be required to pay Dynavax up to an additional $170.0 million upon the achievement of certain development and regulatory milestones with respect to nelitolimod. We will also be required to pay up to $80.0 million upon achieving certain commercial milestones for nelitolimod.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and currently, we do not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jc w:val="both"/>
        <w:rPr/>
      </w:pPr>
      <w:r>
        <w:rPr>
          <w:rFonts w:ascii="Times New Roman;serif" w:hAnsi="Times New Roman;serif"/>
          <w:b w:val="false"/>
          <w:color w:val="000000"/>
          <w:sz w:val="20"/>
        </w:rPr>
        <w:t xml:space="preserve">Our significant accounting policies and estimates are described in Note 2 to our consolidated financial statements and </w:t>
      </w:r>
      <w:r>
        <w:rPr>
          <w:rFonts w:ascii="Times New Roman;serif" w:hAnsi="Times New Roman;serif"/>
          <w:b w:val="false"/>
          <w:i/>
          <w:color w:val="000000"/>
          <w:sz w:val="20"/>
        </w:rPr>
        <w:t>Management’s Discussion and Analysis of Financial Condition and Results of Operation</w:t>
      </w:r>
      <w:r>
        <w:rPr>
          <w:rFonts w:ascii="Times New Roman;serif" w:hAnsi="Times New Roman;serif"/>
          <w:b w:val="false"/>
          <w:color w:val="000000"/>
          <w:sz w:val="20"/>
        </w:rPr>
        <w:t xml:space="preserve">s, respectively, in our Annual Report on Form 10-K for the year ended December 31, 2025. Also refer to Note 1, </w:t>
      </w:r>
      <w:r>
        <w:rPr>
          <w:rFonts w:ascii="Times New Roman;serif" w:hAnsi="Times New Roman;serif"/>
          <w:b w:val="false"/>
          <w:i/>
          <w:color w:val="000000"/>
          <w:sz w:val="20"/>
        </w:rPr>
        <w:t>Nature Of Business And Basis Of Presentation</w:t>
      </w:r>
      <w:r>
        <w:rPr>
          <w:rFonts w:ascii="Times New Roman;serif" w:hAnsi="Times New Roman;serif"/>
          <w:b w:val="false"/>
          <w:color w:val="000000"/>
          <w:sz w:val="20"/>
        </w:rPr>
        <w:t xml:space="preserve">, in this report. There have been no significant changes in our critical accounting policies during the six months ended June 30, 2026, as compared to the critical accounting policies disclosed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year ended December 31, 2025, filed with the SEC on March 5, 2026.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use a greater degree of judgment and/or estimation. Actual results may differ from those estimates. Additionally, changes in accounting estimates could occur in the future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Not Applicable for a "smaller reporting company" as defined under Item 10(f)(1) of Regulation S-K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Exchange Act Rule 13a-15(e)) and 15d-15(e) are designed only to provide reasonable assurance that information to be disclosed in our Exchange Act reports is recorded, processed, summarized and reported within the time periods specified in the SEC’s rules and forms, and that such information is accumulated and communicated to management as appropriate to allow timely decisions regarding required disclosure. As of the end of the period covered by this report, we carried out an evaluation, under the supervision and with the participation of our management, including our Chief Executive Officer (our principal executive officer) and Chief Financial Officer (our principal financial and accounting officer), of the effectiveness of our disclosure controls and procedures pursuant to Exchange Act Rule 13a-15(b). Based upon that evaluation, our Chief Executive Officer ("CEO") and Chief Financial Officer ("CFO") have concluded that our disclosure controls and procedures were not effective as a result of the material weakness in our internal control over financial reporting previously identified, which continues to exist as of June 30, 2026, as discussed below. Management’s assessment of the effectiveness of our disclosure controls and procedures is expressed at a level of reasonable assurance because management recognizes that any controls and procedures, no matter how well designed and operated, can provide only reasonable assurance of achieving their objectives.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by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CEO and CFO, assessed the effectiveness of our internal control over financial reporting as of June 30, 2026, based upon the framework presented in "Internal Control-Integrated Framework" (2013) issued by the Committee of Sponsoring Organizations of the Treadway Commission ("COSO"). Based upon our assessment, our management concluded that our internal control over financial reporting was not effective as of June 30, 2026, due to the material weakness discussed below.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Remediation of Previously Disclosed Material Weaknesses</w:t>
      </w:r>
    </w:p>
    <w:p>
      <w:pPr>
        <w:pStyle w:val="TextBody"/>
        <w:bidi w:val="0"/>
        <w:spacing w:lineRule="auto" w:line="288" w:before="160" w:after="283"/>
        <w:jc w:val="both"/>
        <w:rPr/>
      </w:pPr>
      <w:r>
        <w:rPr>
          <w:rFonts w:ascii="Times New Roman;serif" w:hAnsi="Times New Roman;serif"/>
          <w:b w:val="false"/>
          <w:color w:val="000000"/>
          <w:sz w:val="20"/>
        </w:rPr>
        <w:t>A material weakness is a deficiency, or combination of defi</w:t>
      </w:r>
      <w:r>
        <w:rPr>
          <w:rFonts w:ascii="Times New Roman;serif" w:hAnsi="Times New Roman;serif"/>
          <w:b w:val="false"/>
          <w:color w:val="000000"/>
          <w:sz w:val="20"/>
          <w:shd w:fill="FFFFFF" w:val="clear"/>
        </w:rPr>
        <w:t xml:space="preserve">ciencies, in internal control over financial reporting such that there is a reasonable possibility that a material misstatement of our consolidated financial statements would not be prevented or detected on a timely basis. </w:t>
      </w:r>
      <w:r>
        <w:rPr>
          <w:rFonts w:ascii="Times New Roman;serif" w:hAnsi="Times New Roman;serif"/>
          <w:b w:val="false"/>
          <w:color w:val="231F20"/>
          <w:sz w:val="20"/>
        </w:rPr>
        <w:t xml:space="preserve">In connection with our consolidated financial statements for the year ended </w:t>
      </w:r>
      <w:r>
        <w:rPr>
          <w:rFonts w:ascii="Times New Roman;serif" w:hAnsi="Times New Roman;serif"/>
          <w:b w:val="false"/>
          <w:color w:val="000000"/>
          <w:sz w:val="20"/>
        </w:rPr>
        <w:t xml:space="preserve">December 31, 2025, </w:t>
      </w:r>
      <w:r>
        <w:rPr>
          <w:rFonts w:ascii="Times New Roman;serif" w:hAnsi="Times New Roman;serif"/>
          <w:b w:val="false"/>
          <w:color w:val="231F20"/>
          <w:sz w:val="20"/>
        </w:rPr>
        <w:t>management identified a material weakness in our internal control over financial reporting with respect to accounting for significant transactions.</w:t>
      </w:r>
    </w:p>
    <w:p>
      <w:pPr>
        <w:pStyle w:val="TextBody"/>
        <w:bidi w:val="0"/>
        <w:spacing w:lineRule="auto" w:line="288" w:before="160" w:after="283"/>
        <w:jc w:val="both"/>
        <w:rPr/>
      </w:pPr>
      <w:r>
        <w:rPr>
          <w:rFonts w:ascii="Times New Roman;serif" w:hAnsi="Times New Roman;serif"/>
          <w:b w:val="false"/>
          <w:color w:val="231F20"/>
          <w:sz w:val="20"/>
        </w:rPr>
        <w:t xml:space="preserve">During the six months ended </w:t>
      </w:r>
      <w:r>
        <w:rPr>
          <w:rFonts w:ascii="Times New Roman;serif" w:hAnsi="Times New Roman;serif"/>
          <w:b w:val="false"/>
          <w:color w:val="000000"/>
          <w:sz w:val="20"/>
        </w:rPr>
        <w:t xml:space="preserve">June 30, 2026, we have taken measures to address the material weakness identified in the 2025 Annual Report and enhance our internal control over financial reporting. We have: </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hired additional accounting and financial reporting personnel with U.S. GAAP and SEC reporting experience to facilitate management level reviews, and financial reporting oversight;</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designed and implemented review processes that ensure segregation of duties within the accounting and finance function;</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adequately reviewed the assumptions and inputs into accounting estimates;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implemented protocols and controls over financial reporting and period end close processes;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established effective monitoring and oversight controls for non-recurring and complex transactions to ensure the accuracy and completeness of our financial statements and related disclosures;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realigned existing personnel and added both internal and external personnel to strengthen management’s review and documentation over internal control over financial reporting.</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engaged third-party consulting firm to review technical accounting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60" w:after="283"/>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one material weakness remains unremediated related to accounting for significant transactions. While management implemented revised processes and hired additional resources, sufficient time has not elapsed to demonstrate operating effectiveness. The material weakness will be considered remediated when the controls we have implemented operate for a sufficient period of time and management has concluded, through testing, that these controls are effective. Our management will continue to monitor the effectiveness of the remediation plan and will make the changes it determines to be appropriate.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other than the remediation actions described above, there were no changes to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pPr>
      <w:r>
        <w:rPr>
          <w:rFonts w:ascii="Times New Roman;serif" w:hAnsi="Times New Roman;serif"/>
          <w:b w:val="false"/>
          <w:color w:val="000000"/>
          <w:sz w:val="20"/>
        </w:rPr>
        <w:t xml:space="preserve">Information regarding legal proceedings is available in Note 13,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condensed consolidated financial statements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pPr>
      <w:r>
        <w:rPr>
          <w:rFonts w:ascii="Times New Roman;serif" w:hAnsi="Times New Roman;serif"/>
          <w:b w:val="false"/>
          <w:color w:val="000000"/>
          <w:sz w:val="20"/>
        </w:rPr>
        <w:t xml:space="preserve">There have been no material changes in our risk factors from those disclosed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7"/>
        <w:gridCol w:w="215"/>
        <w:gridCol w:w="217"/>
        <w:gridCol w:w="109"/>
        <w:gridCol w:w="109"/>
        <w:gridCol w:w="109"/>
        <w:gridCol w:w="1666"/>
        <w:gridCol w:w="1549"/>
        <w:gridCol w:w="1564"/>
        <w:gridCol w:w="109"/>
        <w:gridCol w:w="109"/>
        <w:gridCol w:w="109"/>
        <w:gridCol w:w="384"/>
        <w:gridCol w:w="302"/>
        <w:gridCol w:w="306"/>
        <w:gridCol w:w="109"/>
        <w:gridCol w:w="109"/>
        <w:gridCol w:w="109"/>
        <w:gridCol w:w="252"/>
        <w:gridCol w:w="252"/>
        <w:gridCol w:w="253"/>
        <w:gridCol w:w="109"/>
        <w:gridCol w:w="109"/>
        <w:gridCol w:w="109"/>
        <w:gridCol w:w="230"/>
        <w:gridCol w:w="230"/>
        <w:gridCol w:w="231"/>
        <w:gridCol w:w="109"/>
        <w:gridCol w:w="109"/>
        <w:gridCol w:w="109"/>
        <w:gridCol w:w="191"/>
        <w:gridCol w:w="191"/>
        <w:gridCol w:w="280"/>
      </w:tblGrid>
      <w:tr>
        <w:trPr/>
        <w:tc>
          <w:tcPr>
            <w:tcW w:w="2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101orbimed-trisalusxfift.htm">
              <w:r>
                <w:rPr>
                  <w:rStyle w:val="InternetLink"/>
                  <w:rFonts w:ascii="Times New Roman;serif" w:hAnsi="Times New Roman;serif"/>
                  <w:b w:val="false"/>
                  <w:color w:val="000080"/>
                  <w:sz w:val="20"/>
                  <w:u w:val="single"/>
                </w:rPr>
                <w:t>Fifth</w:t>
              </w:r>
            </w:hyperlink>
            <w:hyperlink w:anchor="ex101orbimed-trisalusxfift.htm">
              <w:r>
                <w:rPr>
                  <w:rStyle w:val="InternetLink"/>
                  <w:rFonts w:ascii="Times New Roman;serif" w:hAnsi="Times New Roman;serif"/>
                  <w:b w:val="false"/>
                  <w:color w:val="000080"/>
                  <w:sz w:val="20"/>
                  <w:u w:val="single"/>
                </w:rPr>
                <w:t xml:space="preserve"> Amendment to Credit Agreement by and among TriSalus Operating Life Sciences, Inc., TriSalus Life Sciences, Inc. and OrbiMed Royalty &amp; Credit Opportunities IV,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2executiveemploymentag.htm">
              <w:r>
                <w:rPr>
                  <w:rStyle w:val="InternetLink"/>
                  <w:rFonts w:ascii="Times New Roman;serif" w:hAnsi="Times New Roman;serif"/>
                  <w:b w:val="false"/>
                  <w:color w:val="000080"/>
                  <w:sz w:val="20"/>
                  <w:u w:val="single"/>
                </w:rPr>
                <w:t>Executive</w:t>
              </w:r>
            </w:hyperlink>
            <w:hyperlink w:anchor="ex102executiveemploymentag.htm">
              <w:r>
                <w:rPr>
                  <w:rStyle w:val="InternetLink"/>
                  <w:rFonts w:ascii="Times New Roman;serif" w:hAnsi="Times New Roman;serif"/>
                  <w:b w:val="false"/>
                  <w:color w:val="000080"/>
                  <w:sz w:val="20"/>
                  <w:u w:val="single"/>
                </w:rPr>
                <w:t xml:space="preserve"> Employment Agreement by and between TriSalus Life S</w:t>
              </w:r>
            </w:hyperlink>
            <w:hyperlink w:anchor="ex102executiveemploymentag.htm">
              <w:r>
                <w:rPr>
                  <w:rStyle w:val="InternetLink"/>
                  <w:rFonts w:ascii="Times New Roman;serif" w:hAnsi="Times New Roman;serif"/>
                  <w:b w:val="false"/>
                  <w:color w:val="000080"/>
                  <w:sz w:val="20"/>
                  <w:u w:val="single"/>
                </w:rPr>
                <w:t>ciences, Inc. and Dr. Richard Marshall</w:t>
              </w:r>
            </w:hyperlink>
            <w:hyperlink w:anchor="ex102executiveemploymentag.htm">
              <w:r>
                <w:rPr>
                  <w:rStyle w:val="InternetLink"/>
                  <w:rFonts w:ascii="Times New Roman;serif" w:hAnsi="Times New Roman;serif"/>
                  <w:b w:val="false"/>
                  <w:color w:val="000080"/>
                  <w:sz w:val="20"/>
                  <w:u w:val="single"/>
                </w:rPr>
                <w:t xml:space="preserve">, </w:t>
              </w:r>
            </w:hyperlink>
            <w:hyperlink w:anchor="ex102executiveemploymentag.htm">
              <w:r>
                <w:rPr>
                  <w:rStyle w:val="InternetLink"/>
                  <w:rFonts w:ascii="Times New Roman;serif" w:hAnsi="Times New Roman;serif"/>
                  <w:b w:val="false"/>
                  <w:color w:val="000080"/>
                  <w:sz w:val="20"/>
                  <w:u w:val="single"/>
                </w:rPr>
                <w:t>dated</w:t>
              </w:r>
            </w:hyperlink>
            <w:hyperlink w:anchor="ex102executiveemploymentag.htm">
              <w:r>
                <w:rPr>
                  <w:rStyle w:val="InternetLink"/>
                  <w:rFonts w:ascii="Times New Roman;serif" w:hAnsi="Times New Roman;serif"/>
                  <w:b w:val="false"/>
                  <w:color w:val="000080"/>
                  <w:sz w:val="20"/>
                  <w:u w:val="single"/>
                </w:rPr>
                <w:t xml:space="preserve"> April 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3sign-onbonusagreement.htm">
              <w:r>
                <w:rPr>
                  <w:rStyle w:val="InternetLink"/>
                  <w:rFonts w:ascii="Times New Roman;serif" w:hAnsi="Times New Roman;serif"/>
                  <w:b w:val="false"/>
                  <w:color w:val="000080"/>
                  <w:sz w:val="20"/>
                  <w:u w:val="single"/>
                </w:rPr>
                <w:t>S</w:t>
              </w:r>
            </w:hyperlink>
            <w:hyperlink w:anchor="ex103sign-onbonusagreement.htm">
              <w:r>
                <w:rPr>
                  <w:rStyle w:val="InternetLink"/>
                  <w:rFonts w:ascii="Times New Roman;serif" w:hAnsi="Times New Roman;serif"/>
                  <w:b w:val="false"/>
                  <w:color w:val="000080"/>
                  <w:sz w:val="20"/>
                  <w:u w:val="single"/>
                </w:rPr>
                <w:t>ign-on Bonus Agreement by and be</w:t>
              </w:r>
            </w:hyperlink>
            <w:hyperlink w:anchor="ex103sign-onbonusagreement.htm">
              <w:r>
                <w:rPr>
                  <w:rStyle w:val="InternetLink"/>
                  <w:rFonts w:ascii="Times New Roman;serif" w:hAnsi="Times New Roman;serif"/>
                  <w:b w:val="false"/>
                  <w:color w:val="000080"/>
                  <w:sz w:val="20"/>
                  <w:u w:val="single"/>
                </w:rPr>
                <w:t xml:space="preserve">tween TriSalus Life Sciences, Inc. and </w:t>
              </w:r>
            </w:hyperlink>
            <w:hyperlink w:anchor="ex103sign-onbonusagreement.htm">
              <w:r>
                <w:rPr>
                  <w:rStyle w:val="InternetLink"/>
                  <w:rFonts w:ascii="Times New Roman;serif" w:hAnsi="Times New Roman;serif"/>
                  <w:b w:val="false"/>
                  <w:color w:val="000080"/>
                  <w:sz w:val="20"/>
                  <w:u w:val="single"/>
                </w:rPr>
                <w:t>Dr. Richard Marshall, dated April 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ceo302certificationju.htm">
              <w:r>
                <w:rPr>
                  <w:rStyle w:val="InternetLink"/>
                  <w:rFonts w:ascii="Times New Roman;serif" w:hAnsi="Times New Roman;serif"/>
                  <w:b w:val="false"/>
                  <w:color w:val="0000FF"/>
                  <w:sz w:val="20"/>
                  <w:u w:val="single"/>
                </w:rPr>
                <w:t>Certification of the Principal Executive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cfo302certificationju.htm">
              <w:r>
                <w:rPr>
                  <w:rStyle w:val="InternetLink"/>
                  <w:rFonts w:ascii="Times New Roman;serif" w:hAnsi="Times New Roman;serif"/>
                  <w:b w:val="false"/>
                  <w:color w:val="0000FF"/>
                  <w:sz w:val="20"/>
                  <w:u w:val="single"/>
                </w:rPr>
                <w:t>Certification of the Principal Financial Officer pursuant to Rule 13a-14(a) and Rule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ceo906certificationju.htm">
              <w:r>
                <w:rPr>
                  <w:rStyle w:val="InternetLink"/>
                  <w:rFonts w:ascii="Times New Roman;serif" w:hAnsi="Times New Roman;serif"/>
                  <w:b w:val="false"/>
                  <w:color w:val="0000FF"/>
                  <w:sz w:val="20"/>
                  <w:u w:val="single"/>
                </w:rPr>
                <w:t>Certification of the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249"/>
        <w:gridCol w:w="218"/>
        <w:gridCol w:w="222"/>
        <w:gridCol w:w="109"/>
        <w:gridCol w:w="109"/>
        <w:gridCol w:w="109"/>
        <w:gridCol w:w="1476"/>
        <w:gridCol w:w="1476"/>
        <w:gridCol w:w="1489"/>
        <w:gridCol w:w="119"/>
        <w:gridCol w:w="119"/>
        <w:gridCol w:w="119"/>
        <w:gridCol w:w="333"/>
        <w:gridCol w:w="333"/>
        <w:gridCol w:w="337"/>
        <w:gridCol w:w="119"/>
        <w:gridCol w:w="119"/>
        <w:gridCol w:w="119"/>
        <w:gridCol w:w="276"/>
        <w:gridCol w:w="276"/>
        <w:gridCol w:w="278"/>
        <w:gridCol w:w="119"/>
        <w:gridCol w:w="119"/>
        <w:gridCol w:w="119"/>
        <w:gridCol w:w="252"/>
        <w:gridCol w:w="252"/>
        <w:gridCol w:w="253"/>
        <w:gridCol w:w="119"/>
        <w:gridCol w:w="119"/>
        <w:gridCol w:w="119"/>
        <w:gridCol w:w="209"/>
        <w:gridCol w:w="209"/>
        <w:gridCol w:w="312"/>
      </w:tblGrid>
      <w:tr>
        <w:trP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Schedule/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cfo906certificationju.htm">
              <w:r>
                <w:rPr>
                  <w:rStyle w:val="InternetLink"/>
                  <w:rFonts w:ascii="Times New Roman;serif" w:hAnsi="Times New Roman;serif"/>
                  <w:b w:val="false"/>
                  <w:color w:val="0000FF"/>
                  <w:sz w:val="20"/>
                  <w:u w:val="single"/>
                </w:rPr>
                <w:t>Certification of the Principal Financial Officer pursuant to 18 U.S.C. 1350, as adopted pursuant to Section 906 of the Sarbanes-Oxley Act of 2002</w:t>
              </w:r>
            </w:hyperlink>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Furnished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documents does not appear in the Interactive Data File as its XBRL tags are embedded within the Inline XBRL document.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With Embedded Linkbase Documents.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w:t>
              <w:br/>
              <w:t>(formatted as Inline XBRL and contained in Exhibit 101)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27"/>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 or arrangement.</w:t>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27"/>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portions of this Exhibit have been omitted in accordance with Regulation S-K Item 601(b)(10)(iv) because they are not material and are the type of information that the Registrant treats as private or confidential. The Registrant agrees to furnish supplementally an unredacted copy of the Exhibit, or any section thereof, to the SEC upon request.</w:t>
            </w:r>
          </w:p>
        </w:tc>
      </w:tr>
      <w:tr>
        <w:trPr/>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27"/>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not deemed filed with the Securities and Exchange Commission and is not to be incorporated by reference into any filing of the Registrant under the Securities Act of 1933, as amended, or the Securities Exchange Act of 1934, as amended (whether made before or after the date of this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60" w:after="283"/>
        <w:jc w:val="left"/>
        <w:rPr/>
      </w:pPr>
      <w:hyperlink w:anchor="ifcf1b1459443451e8841f7b175110995_7">
        <w:r>
          <w:rPr>
            <w:rStyle w:val="InternetLink"/>
            <w:rFonts w:ascii="Times New Roman;serif" w:hAnsi="Times New Roman;serif"/>
            <w:b w:val="false"/>
            <w:color w:val="000080"/>
            <w:sz w:val="20"/>
            <w:u w:val="single"/>
          </w:rPr>
          <w:t>Table</w:t>
        </w:r>
      </w:hyperlink>
      <w:hyperlink w:anchor="ifcf1b1459443451e8841f7b175110995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900" w:type="dxa"/>
        <w:jc w:val="left"/>
        <w:tblInd w:w="0" w:type="dxa"/>
        <w:tblLayout w:type="fixed"/>
        <w:tblCellMar>
          <w:top w:w="28" w:type="dxa"/>
          <w:left w:w="28" w:type="dxa"/>
          <w:bottom w:w="28" w:type="dxa"/>
          <w:right w:w="28" w:type="dxa"/>
        </w:tblCellMar>
      </w:tblPr>
      <w:tblGrid>
        <w:gridCol w:w="124"/>
        <w:gridCol w:w="109"/>
        <w:gridCol w:w="109"/>
        <w:gridCol w:w="258"/>
        <w:gridCol w:w="258"/>
        <w:gridCol w:w="258"/>
        <w:gridCol w:w="258"/>
        <w:gridCol w:w="258"/>
        <w:gridCol w:w="258"/>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TriSalus Life 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8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FIFTH AMENDMENT TO CREDIT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 xml:space="preserve">FIFTH AMENDMENT TO CREDIT AGREEMENT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made and entered into as of May 28, 2026 by and among </w:t>
      </w:r>
      <w:r>
        <w:rPr>
          <w:rFonts w:ascii="Times New Roman;serif" w:hAnsi="Times New Roman;serif"/>
          <w:b/>
          <w:color w:val="000000"/>
          <w:sz w:val="24"/>
        </w:rPr>
        <w:t>TRISALUS OPERATING LIFE SCIENCES, INC.,</w:t>
      </w:r>
      <w:r>
        <w:rPr>
          <w:color w:val="000000"/>
        </w:rPr>
        <w:t xml:space="preserve"> </w:t>
      </w:r>
      <w:r>
        <w:rPr>
          <w:rFonts w:ascii="Times New Roman;serif" w:hAnsi="Times New Roman;serif"/>
          <w:b w:val="false"/>
          <w:color w:val="000000"/>
          <w:sz w:val="24"/>
        </w:rPr>
        <w:t>a Delaware corporation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TRISALUS LIFE SCIENCES, INC.,</w:t>
      </w:r>
      <w:r>
        <w:rPr>
          <w:color w:val="000000"/>
        </w:rPr>
        <w:t xml:space="preserve"> </w:t>
      </w:r>
      <w:r>
        <w:rPr>
          <w:rFonts w:ascii="Times New Roman;serif" w:hAnsi="Times New Roman;serif"/>
          <w:b w:val="false"/>
          <w:color w:val="000000"/>
          <w:sz w:val="24"/>
        </w:rPr>
        <w:t>a Delaware corporation (the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the Lenders party hereto (the “</w:t>
      </w:r>
      <w:r>
        <w:rPr>
          <w:rFonts w:ascii="Times New Roman;serif" w:hAnsi="Times New Roman;serif"/>
          <w:b w:val="false"/>
          <w:color w:val="000000"/>
          <w:sz w:val="24"/>
          <w:u w:val="single"/>
        </w:rPr>
        <w:t>Lenders</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ORBIMED ROYALTY &amp; CREDIT OPPORTUNITIES IV, LP</w:t>
      </w:r>
      <w:r>
        <w:rPr>
          <w:rFonts w:ascii="Times New Roman;serif" w:hAnsi="Times New Roman;serif"/>
          <w:b w:val="false"/>
          <w:color w:val="000000"/>
          <w:sz w:val="24"/>
        </w:rPr>
        <w:t>, as administrative agent for the Lenders (in such capacity, and together with its Affiliates, successors, transferees and assignees,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Parent, the Lenders and the Administrative Agent entered into a Credit Agreement, dated as of April 30, 2024 (as amended by that First Amendment to Credit Agreement and Registration Rights Agreement, dated as of March 20, 2025, that Waiver, dated as of March 31, 2025, that Second Amendment to Credit Agreement, dated as of April 30, 2025, that Third Amendment to Credit Agreement, dated as of November 10, 2025, and that Fourth Amendment to Credit Agreement, dated as of March 26, 2026, and as otherwise amended, restated, modified or supplemented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xml:space="preserve">), pursuant to which the Lenders have extended credit to the Borrower on the terms set forth therein;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pursuant to Section 10.1 of the Credit Agreement, the Credit Agreement may be amended or waived by an instrument in writing signed by the Borrower, the Parent and the Lenders and acknowledged by the Administrative Agent; and</w:t>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Borrower, the Parent and the Lenders desire to amend or waive certain provisions of the Credit Agreement as provided in this Amendment.</w:t>
      </w:r>
      <w:r>
        <w:rPr>
          <w:color w:val="000000"/>
        </w:rPr>
        <w:t xml:space="preserve"> </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1.    </w:t>
      </w:r>
      <w:r>
        <w:rPr>
          <w:rFonts w:ascii="Times New Roman;serif" w:hAnsi="Times New Roman;serif"/>
          <w:b/>
          <w:color w:val="000000"/>
          <w:sz w:val="24"/>
          <w:u w:val="single"/>
        </w:rPr>
        <w:t>Definitions; Loan Document</w:t>
      </w:r>
      <w:r>
        <w:rPr>
          <w:rFonts w:ascii="Times New Roman;serif" w:hAnsi="Times New Roman;serif"/>
          <w:b w:val="false"/>
          <w:color w:val="000000"/>
          <w:sz w:val="24"/>
        </w:rPr>
        <w:t>. Capitalized terms used herein without definition shall have the meanings assigned to such terms in the Credit Agreement. This Amendment shall constitute a Loan Document for all purposes of the Credit Agreement and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2.</w:t>
      </w:r>
      <w:r>
        <w:rPr>
          <w:rFonts w:ascii="Times New Roman;serif" w:hAnsi="Times New Roman;serif"/>
          <w:b/>
          <w:color w:val="000000"/>
          <w:sz w:val="24"/>
          <w:u w:val="single"/>
        </w:rPr>
        <w:t>Amendment</w:t>
      </w:r>
      <w:r>
        <w:rPr>
          <w:rFonts w:ascii="Times New Roman;serif" w:hAnsi="Times New Roman;serif"/>
          <w:b w:val="false"/>
          <w:color w:val="000000"/>
          <w:sz w:val="24"/>
        </w:rPr>
        <w:t xml:space="preserve">. Section 3.2 of the Credit Agreement is hereby amended by replacing the chart therein in its entirety with the following: </w:t>
      </w:r>
    </w:p>
    <w:tbl>
      <w:tblPr>
        <w:tblW w:w="10205" w:type="dxa"/>
        <w:jc w:val="left"/>
        <w:tblInd w:w="0" w:type="dxa"/>
        <w:tblLayout w:type="fixed"/>
        <w:tblCellMar>
          <w:top w:w="28" w:type="dxa"/>
          <w:left w:w="28" w:type="dxa"/>
          <w:bottom w:w="28" w:type="dxa"/>
          <w:right w:w="28" w:type="dxa"/>
        </w:tblCellMar>
      </w:tblPr>
      <w:tblGrid>
        <w:gridCol w:w="1232"/>
        <w:gridCol w:w="1065"/>
        <w:gridCol w:w="1073"/>
        <w:gridCol w:w="2025"/>
        <w:gridCol w:w="1987"/>
        <w:gridCol w:w="2823"/>
      </w:tblGrid>
      <w:tr>
        <w:trPr/>
        <w:tc>
          <w:tcPr>
            <w:tcW w:w="123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r>
      <w:tr>
        <w:trPr/>
        <w:tc>
          <w:tcPr>
            <w:tcW w:w="3370" w:type="dxa"/>
            <w:gridSpan w:val="3"/>
            <w:tcBorders/>
            <w:shd w:fill="D9D9D9" w:val="clear"/>
            <w:tcMar>
              <w:top w:w="0" w:type="dxa"/>
              <w:left w:w="0" w:type="dxa"/>
              <w:bottom w:w="0" w:type="dxa"/>
              <w:right w:w="0" w:type="dxa"/>
            </w:tcMar>
            <w:vAlign w:val="center"/>
          </w:tcPr>
          <w:p>
            <w:pPr>
              <w:pStyle w:val="TableContents"/>
              <w:bidi w:val="0"/>
              <w:spacing w:lineRule="auto" w:line="288" w:before="80" w:after="80"/>
              <w:jc w:val="left"/>
              <w:rPr>
                <w:rFonts w:ascii="Times New Roman;serif" w:hAnsi="Times New Roman;serif"/>
                <w:b/>
                <w:color w:val="000000"/>
                <w:sz w:val="24"/>
              </w:rPr>
            </w:pPr>
            <w:r>
              <w:rPr>
                <w:rFonts w:ascii="Times New Roman;serif" w:hAnsi="Times New Roman;serif"/>
                <w:b/>
                <w:color w:val="000000"/>
                <w:sz w:val="24"/>
              </w:rPr>
              <w:t>Test Dates (Fiscal Quarter Ending)</w:t>
            </w:r>
          </w:p>
        </w:tc>
        <w:tc>
          <w:tcPr>
            <w:tcW w:w="6835"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Product Revenue Base for the 12-month period ending on such Test Date</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September 30, 2024</w:t>
            </w:r>
          </w:p>
        </w:tc>
        <w:tc>
          <w:tcPr>
            <w:tcW w:w="6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$22,300,000</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December 31, 2024</w:t>
            </w:r>
          </w:p>
        </w:tc>
        <w:tc>
          <w:tcPr>
            <w:tcW w:w="6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$26,200,000</w:t>
            </w:r>
          </w:p>
        </w:tc>
      </w:tr>
      <w:tr>
        <w:trPr/>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March 31, 2025</w:t>
            </w:r>
          </w:p>
        </w:tc>
        <w:tc>
          <w:tcPr>
            <w:tcW w:w="68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$29,600,000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91" w:type="dxa"/>
        <w:jc w:val="left"/>
        <w:tblInd w:w="0" w:type="dxa"/>
        <w:tblLayout w:type="fixed"/>
        <w:tblCellMar>
          <w:top w:w="28" w:type="dxa"/>
          <w:left w:w="28" w:type="dxa"/>
          <w:bottom w:w="28" w:type="dxa"/>
          <w:right w:w="28" w:type="dxa"/>
        </w:tblCellMar>
      </w:tblPr>
      <w:tblGrid>
        <w:gridCol w:w="2148"/>
        <w:gridCol w:w="1889"/>
        <w:gridCol w:w="1903"/>
        <w:gridCol w:w="395"/>
        <w:gridCol w:w="395"/>
        <w:gridCol w:w="561"/>
      </w:tblGrid>
      <w:tr>
        <w:trPr/>
        <w:tc>
          <w:tcPr>
            <w:tcW w:w="214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June 30, 2025</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$33,400,000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September 30, 2025 </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$37,800,000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December 31, 2025</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$42,700,000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March 31, 2026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$43,500,000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June 30, 2026 </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$44,250,000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30, 2026</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$48,750,000</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December 31, 2026 and each Fiscal Quarter ending thereafter</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$50,000,000</w:t>
            </w:r>
          </w:p>
        </w:tc>
      </w:tr>
    </w:tbl>
    <w:p>
      <w:pPr>
        <w:pStyle w:val="TextBody"/>
        <w:bidi w:val="0"/>
        <w:spacing w:lineRule="auto" w:line="288" w:before="0" w:after="240"/>
        <w:ind w:left="0" w:right="0" w:firstLine="1440"/>
        <w:jc w:val="both"/>
        <w:rPr/>
      </w:pPr>
      <w:r>
        <w:rPr>
          <w:rFonts w:ascii="Times New Roman;serif" w:hAnsi="Times New Roman;serif"/>
          <w:b w:val="false"/>
          <w:color w:val="000000"/>
          <w:sz w:val="24"/>
        </w:rPr>
        <w:t>3.</w:t>
      </w:r>
      <w:r>
        <w:rPr>
          <w:rFonts w:ascii="Times New Roman;serif" w:hAnsi="Times New Roman;serif"/>
          <w:b/>
          <w:color w:val="000000"/>
          <w:sz w:val="24"/>
          <w:u w:val="single"/>
        </w:rPr>
        <w:t>Conditions to Effectiveness of Amendment</w:t>
      </w:r>
      <w:r>
        <w:rPr>
          <w:rFonts w:ascii="Times New Roman;serif" w:hAnsi="Times New Roman;serif"/>
          <w:b w:val="false"/>
          <w:color w:val="000000"/>
          <w:sz w:val="24"/>
        </w:rPr>
        <w:t>. This Amendment shall become effective upon the satisfaction of the following conditions: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(a)Receipt by the Lenders, the Administrative Agent, the Borrower and the Parent of a counterpart signature of the others to this Amendment duly executed and delivered by each of the Lenders, the Administrative Agent, the Borrower and the Parent;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(b)Receipt by the Administrative Agent, for the account of each Lender on a pro rata basis, an amendment fee in an aggregate amount equal to $350,000 (the “</w:t>
      </w:r>
      <w:r>
        <w:rPr>
          <w:rFonts w:ascii="Times New Roman;serif" w:hAnsi="Times New Roman;serif"/>
          <w:b w:val="false"/>
          <w:color w:val="000000"/>
          <w:sz w:val="24"/>
          <w:u w:val="single"/>
        </w:rPr>
        <w:t>Fifth Amendment Fee</w:t>
      </w:r>
      <w:r>
        <w:rPr>
          <w:color w:val="000000"/>
        </w:rPr>
        <w:t>”</w:t>
      </w:r>
      <w:r>
        <w:rPr>
          <w:rFonts w:ascii="Times New Roman;serif" w:hAnsi="Times New Roman;serif"/>
          <w:b w:val="false"/>
          <w:color w:val="000000"/>
          <w:sz w:val="24"/>
        </w:rPr>
        <w:t>), which shall be fully earned, due and payable by the Borrower upon the execution of this Amendment.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w:t>
      </w:r>
      <w:r>
        <w:rPr>
          <w:rFonts w:ascii="Times New Roman;serif" w:hAnsi="Times New Roman;serif"/>
          <w:b/>
          <w:color w:val="000000"/>
          <w:sz w:val="24"/>
          <w:u w:val="single"/>
        </w:rPr>
        <w:t>Expenses</w:t>
      </w:r>
      <w:r>
        <w:rPr>
          <w:rFonts w:ascii="Times New Roman;serif" w:hAnsi="Times New Roman;serif"/>
          <w:b w:val="false"/>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Amendment.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5.</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Each of the Parent and the Borrower represents and warrants to the Administrative Agent and the Lenders, as of the effective date of this Amendment,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representations and warranties of the Parent,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(b)No Default or Event of Default under the Credit Agreement has occurred and is continuing or would result from the effectiveness of this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9920"/>
                <wp:effectExtent l="0" t="0" r="0" b="0"/>
                <wp:wrapNone/>
                <wp:docPr id="46" name="Frame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6.</w:t>
      </w:r>
      <w:r>
        <w:rPr>
          <w:rFonts w:ascii="Times New Roman;serif" w:hAnsi="Times New Roman;serif"/>
          <w:b/>
          <w:color w:val="000000"/>
          <w:sz w:val="24"/>
          <w:u w:val="single"/>
        </w:rPr>
        <w:t>No Implied Amendment or Waiver</w:t>
      </w:r>
      <w:r>
        <w:rPr>
          <w:rFonts w:ascii="Times New Roman;serif" w:hAnsi="Times New Roman;serif"/>
          <w:b w:val="false"/>
          <w:color w:val="000000"/>
          <w:sz w:val="24"/>
        </w:rPr>
        <w:t>. Except as expressly set forth in this Amendment, this Amendment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7.</w:t>
      </w:r>
      <w:r>
        <w:rPr>
          <w:rFonts w:ascii="Times New Roman;serif" w:hAnsi="Times New Roman;serif"/>
          <w:b/>
          <w:color w:val="000000"/>
          <w:sz w:val="24"/>
          <w:u w:val="single"/>
        </w:rPr>
        <w:t>Waiver and Release</w:t>
      </w:r>
      <w:r>
        <w:rPr>
          <w:rFonts w:ascii="Times New Roman;serif" w:hAnsi="Times New Roman;serif"/>
          <w:b w:val="false"/>
          <w:color w:val="000000"/>
          <w:sz w:val="24"/>
        </w:rPr>
        <w:t>. TO INDUCE THE ADMINISTRATIVE AGENT AND THE LENDERS TO AGREE TO THE TERMS OF THIS AMENDMENT, THE PARENT, THE BORROWER AND ITS AFFILIATES (COLLECTIVELY, THE “</w:t>
      </w:r>
      <w:r>
        <w:rPr>
          <w:rFonts w:ascii="Times New Roman;serif" w:hAnsi="Times New Roman;serif"/>
          <w:b/>
          <w:color w:val="000000"/>
          <w:sz w:val="24"/>
        </w:rPr>
        <w:t>RELEASING PARTIES</w:t>
      </w:r>
      <w:r>
        <w:rPr>
          <w:color w:val="000000"/>
        </w:rPr>
        <w:t>”</w:t>
      </w:r>
      <w:r>
        <w:rPr>
          <w:rFonts w:ascii="Times New Roman;serif" w:hAnsi="Times New Roman;serif"/>
          <w:b w:val="false"/>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(a)WAIVE ANY AND ALL SUCH CLAIMS, OFFSETS, RIGHTS OF RECOUPMENT, DISPUTES, DEFENSES AND COUNTERCLAIMS, WHETHER KNOWN OR UNKNOWN, ARISING PRIOR TO THE DATE HEREOF.</w:t>
      </w:r>
    </w:p>
    <w:p>
      <w:pPr>
        <w:pStyle w:val="TextBody"/>
        <w:bidi w:val="0"/>
        <w:spacing w:lineRule="auto" w:line="288" w:before="0" w:after="240"/>
        <w:ind w:left="0" w:right="0" w:firstLine="630"/>
        <w:jc w:val="both"/>
        <w:rPr/>
      </w:pPr>
      <w:r>
        <w:rPr>
          <w:rFonts w:ascii="Times New Roman;serif" w:hAnsi="Times New Roman;serif"/>
          <w:b w:val="false"/>
          <w:color w:val="000000"/>
          <w:sz w:val="24"/>
        </w:rPr>
        <w:t>(b)FOREVER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serif" w:hAnsi="Times New Roman;serif"/>
          <w:b/>
          <w:color w:val="000000"/>
          <w:sz w:val="24"/>
        </w:rPr>
        <w:t>RELEASED PARTIES</w:t>
      </w:r>
      <w:r>
        <w:rPr>
          <w:color w:val="000000"/>
        </w:rPr>
        <w:t>”</w:t>
      </w:r>
      <w:r>
        <w:rPr>
          <w:rFonts w:ascii="Times New Roman;serif" w:hAnsi="Times New Roman;serif"/>
          <w:b w:val="false"/>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9920"/>
                <wp:effectExtent l="0" t="0" r="0" b="0"/>
                <wp:wrapNone/>
                <wp:docPr id="47"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(c)IN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(d)COVENANT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(e)REPRESENT AND WARRANT TO THE RELEASED PARTIES THAT THEY HAVE NOT HERETOFORE ASSIGNED OR TRANSFERRED, OR PURPORTED TO ASSIGN OR TRANSFER, TO ANY PERSON OR ENTITY ANY CLAIMS OR OTHER MATTERS HEREIN RELEASED.</w:t>
      </w:r>
    </w:p>
    <w:p>
      <w:pPr>
        <w:pStyle w:val="TextBody"/>
        <w:bidi w:val="0"/>
        <w:spacing w:lineRule="auto" w:line="288" w:before="0" w:after="24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(f)ACKNOWLEDGE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pStyle w:val="TextBody"/>
        <w:bidi w:val="0"/>
        <w:spacing w:lineRule="auto" w:line="288" w:before="0" w:after="24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8.</w:t>
      </w:r>
      <w:r>
        <w:rPr>
          <w:rFonts w:ascii="Times New Roman;serif" w:hAnsi="Times New Roman;serif"/>
          <w:b/>
          <w:color w:val="000000"/>
          <w:sz w:val="24"/>
          <w:u w:val="single"/>
        </w:rPr>
        <w:t>Counterparts; 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This Amendment may be executed by the parties hereto in several 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AND ANY CLAIMS, CONTROVERSY, DISPUTE OR CAUSE OF ACTION (WHETHER IN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9920"/>
                <wp:effectExtent l="0" t="0" r="0" b="0"/>
                <wp:wrapNone/>
                <wp:docPr id="48"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CONTRACT OR TORT OR OTHERWISE) BASED UPON, ARISING OUT OF OR RELATING TO THIS AMENDMENT SHALL BE GOVERNED BY, AND CONSTRUED IN ACCORDANCE WITH, THE INTERNAL LAWS OF THE STATE OF NEW YORK (INCLUDING FOR SUCH PURPOSE SECTIONS 5-1401 AND 5-1402 OF THE GENERAL OBLIGATIONS LAW OF THE STATE OF NEW YORK).</w:t>
      </w:r>
    </w:p>
    <w:p>
      <w:pPr>
        <w:pStyle w:val="TextBody"/>
        <w:bidi w:val="0"/>
        <w:spacing w:lineRule="auto" w:line="288" w:before="0" w:after="240"/>
        <w:ind w:left="0" w:right="0" w:firstLine="1440"/>
        <w:jc w:val="both"/>
        <w:rPr/>
      </w:pPr>
      <w:r>
        <w:rPr>
          <w:rFonts w:ascii="Times New Roman;serif" w:hAnsi="Times New Roman;serif"/>
          <w:b w:val="false"/>
          <w:color w:val="000000"/>
          <w:sz w:val="24"/>
        </w:rPr>
        <w:t>9.</w:t>
      </w:r>
      <w:r>
        <w:rPr>
          <w:rFonts w:ascii="Times New Roman;serif" w:hAnsi="Times New Roman;serif"/>
          <w:b/>
          <w:color w:val="000000"/>
          <w:sz w:val="24"/>
          <w:u w:val="single"/>
        </w:rPr>
        <w:t>Agent Authorization</w:t>
      </w:r>
      <w:r>
        <w:rPr>
          <w:rFonts w:ascii="Times New Roman;serif" w:hAnsi="Times New Roman;serif"/>
          <w:b w:val="false"/>
          <w:color w:val="000000"/>
          <w:sz w:val="24"/>
        </w:rPr>
        <w:t xml:space="preserve">. Each of the Lenders party hereto, constituting all of the Lenders, hereby authorizes and directs the Administrative Agent to execute and deliver the acknowledgment to this Amendment.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9920"/>
                <wp:effectExtent l="0" t="0" r="0" b="0"/>
                <wp:wrapNone/>
                <wp:docPr id="49"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210"/>
        <w:jc w:val="left"/>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Amendment to be executed by their respective officers thereunto duly authorized as of the day and year first above written.</w:t>
      </w:r>
    </w:p>
    <w:p>
      <w:pPr>
        <w:pStyle w:val="TextBody"/>
        <w:bidi w:val="0"/>
        <w:spacing w:before="0" w:after="120"/>
        <w:ind w:left="0" w:right="0" w:firstLine="210"/>
        <w:jc w:val="left"/>
        <w:rPr/>
      </w:pPr>
      <w:r>
        <w:rPr/>
      </w:r>
    </w:p>
    <w:tbl>
      <w:tblPr>
        <w:tblW w:w="7307" w:type="dxa"/>
        <w:jc w:val="left"/>
        <w:tblInd w:w="0" w:type="dxa"/>
        <w:tblLayout w:type="fixed"/>
        <w:tblCellMar>
          <w:top w:w="28" w:type="dxa"/>
          <w:left w:w="28" w:type="dxa"/>
          <w:bottom w:w="28" w:type="dxa"/>
          <w:right w:w="28" w:type="dxa"/>
        </w:tblCellMar>
      </w:tblPr>
      <w:tblGrid>
        <w:gridCol w:w="124"/>
        <w:gridCol w:w="109"/>
        <w:gridCol w:w="109"/>
        <w:gridCol w:w="1340"/>
        <w:gridCol w:w="1340"/>
        <w:gridCol w:w="1340"/>
        <w:gridCol w:w="858"/>
        <w:gridCol w:w="858"/>
        <w:gridCol w:w="1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TRISALUS OPERATING LIFE SCIENCES,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Patience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Name: David Patience </w:t>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Financial Officer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TRISALUS LIFE SCIENCES,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the Parent</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Patience                              </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David Patience</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2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87400"/>
                <wp:effectExtent l="0" t="0" r="0" b="0"/>
                <wp:wrapNone/>
                <wp:docPr id="50" name="Frame50"/>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Fifth Amendment to Credit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Fifth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8516" w:type="dxa"/>
        <w:jc w:val="left"/>
        <w:tblInd w:w="0" w:type="dxa"/>
        <w:tblLayout w:type="fixed"/>
        <w:tblCellMar>
          <w:top w:w="28" w:type="dxa"/>
          <w:left w:w="28" w:type="dxa"/>
          <w:bottom w:w="28" w:type="dxa"/>
          <w:right w:w="28" w:type="dxa"/>
        </w:tblCellMar>
      </w:tblPr>
      <w:tblGrid>
        <w:gridCol w:w="124"/>
        <w:gridCol w:w="109"/>
        <w:gridCol w:w="109"/>
        <w:gridCol w:w="2394"/>
        <w:gridCol w:w="2394"/>
        <w:gridCol w:w="33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color w:val="000000"/>
                <w:sz w:val="24"/>
              </w:rPr>
              <w:t>ORBIMED ROYALTY &amp; CREDIT OPPORTUNITIES IV, LP</w:t>
            </w:r>
            <w:r>
              <w:rPr>
                <w:rFonts w:ascii="Times New Roman;serif" w:hAnsi="Times New Roman;serif"/>
                <w:b w:val="false"/>
                <w:color w:val="000000"/>
                <w:sz w:val="24"/>
              </w:rPr>
              <w:t>,</w:t>
              <w:br/>
              <w:t xml:space="preserve">as a Lender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ROF IV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Advisors LLC,</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Rizzo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Matthew Rizzo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Title: Member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color w:val="000000"/>
                <w:sz w:val="24"/>
              </w:rPr>
              <w:t>ORBIMED ROYALTY &amp; CREDIT OPPORTUNITIES IV OFFSHORE, LP</w:t>
            </w:r>
            <w:r>
              <w:rPr>
                <w:rFonts w:ascii="Times New Roman;serif" w:hAnsi="Times New Roman;serif"/>
                <w:b w:val="false"/>
                <w:color w:val="000000"/>
                <w:sz w:val="24"/>
              </w:rPr>
              <w:t>,</w:t>
              <w:br/>
              <w:t xml:space="preserve">as a Lender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ROF IV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OrbiMed Advisors LLC,</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Managing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Rizzo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Matthew Rizzo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Member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62660"/>
                <wp:effectExtent l="0" t="0" r="0" b="0"/>
                <wp:wrapNone/>
                <wp:docPr id="51" name="Frame51"/>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Fifth Amendment to Credit Agreement]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Fifth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6749" w:type="dxa"/>
        <w:jc w:val="left"/>
        <w:tblInd w:w="0" w:type="dxa"/>
        <w:tblLayout w:type="fixed"/>
        <w:tblCellMar>
          <w:top w:w="28" w:type="dxa"/>
          <w:left w:w="28" w:type="dxa"/>
          <w:bottom w:w="28" w:type="dxa"/>
          <w:right w:w="28" w:type="dxa"/>
        </w:tblCellMar>
      </w:tblPr>
      <w:tblGrid>
        <w:gridCol w:w="2162"/>
        <w:gridCol w:w="1900"/>
        <w:gridCol w:w="2687"/>
      </w:tblGrid>
      <w:tr>
        <w:trPr/>
        <w:tc>
          <w:tcPr>
            <w:tcW w:w="2162"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ACKNOWLEDGED BY:</w:t>
            </w:r>
          </w:p>
          <w:p>
            <w:pPr>
              <w:pStyle w:val="TableContents"/>
              <w:bidi w:val="0"/>
              <w:spacing w:lineRule="auto" w:line="288" w:before="240" w:after="283"/>
              <w:jc w:val="left"/>
              <w:rPr/>
            </w:pPr>
            <w:r>
              <w:rPr>
                <w:rFonts w:ascii="Times New Roman;serif" w:hAnsi="Times New Roman;serif"/>
                <w:b/>
                <w:color w:val="000000"/>
                <w:sz w:val="24"/>
              </w:rPr>
              <w:t>ORBIMED ROYALTY &amp; CREDIT OPPORTUNITIES IV, LP</w:t>
            </w:r>
            <w:r>
              <w:rPr>
                <w:rFonts w:ascii="Times New Roman;serif" w:hAnsi="Times New Roman;serif"/>
                <w:b w:val="false"/>
                <w:color w:val="000000"/>
                <w:sz w:val="24"/>
              </w:rPr>
              <w:br/>
              <w:t>as the Administrative Agent</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By: OrbiMed ROF IV LLC,</w:t>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By: OrbiMed Advisors LLC,</w:t>
            </w:r>
          </w:p>
          <w:p>
            <w:pPr>
              <w:pStyle w:val="TableContents"/>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its Managing Member</w:t>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Matthew Rizzo                              </w:t>
            </w:r>
          </w:p>
        </w:tc>
      </w:tr>
      <w:tr>
        <w:trPr/>
        <w:tc>
          <w:tcPr>
            <w:tcW w:w="6749"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Name: Matthew Rizzo</w:t>
            </w:r>
          </w:p>
        </w:tc>
      </w:tr>
      <w:tr>
        <w:trPr/>
        <w:tc>
          <w:tcPr>
            <w:tcW w:w="6749" w:type="dxa"/>
            <w:gridSpan w:val="3"/>
            <w:tcBorders/>
            <w:tcMar>
              <w:top w:w="0" w:type="dxa"/>
              <w:left w:w="0" w:type="dxa"/>
              <w:bottom w:w="0" w:type="dxa"/>
              <w:right w:w="0" w:type="dxa"/>
            </w:tcMar>
            <w:vAlign w:val="center"/>
          </w:tcPr>
          <w:p>
            <w:pPr>
              <w:pStyle w:val="TableContents"/>
              <w:bidi w:val="0"/>
              <w:spacing w:lineRule="auto" w:line="556" w:before="0" w:after="120"/>
              <w:jc w:val="left"/>
              <w:rPr>
                <w:rFonts w:ascii="Times New Roman;serif" w:hAnsi="Times New Roman;serif"/>
                <w:b w:val="false"/>
                <w:color w:val="000000"/>
                <w:sz w:val="24"/>
              </w:rPr>
            </w:pPr>
            <w:r>
              <w:rPr>
                <w:rFonts w:ascii="Times New Roman;serif" w:hAnsi="Times New Roman;serif"/>
                <w:b w:val="false"/>
                <w:color w:val="000000"/>
                <w:sz w:val="24"/>
              </w:rPr>
              <w:t>Title: Member</w:t>
            </w:r>
          </w:p>
        </w:tc>
      </w:tr>
    </w:tbl>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62660"/>
                <wp:effectExtent l="0" t="0" r="0" b="0"/>
                <wp:wrapNone/>
                <wp:docPr id="52" name="Frame52"/>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Fifth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Fifth Amendment to Credit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80" w:after="283"/>
        <w:jc w:val="center"/>
        <w:rPr/>
      </w:pPr>
      <w:r>
        <w:rPr/>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EXECUTIVE EMPLOYMENT AGREEMENT</w:t>
      </w:r>
    </w:p>
    <w:p>
      <w:pPr>
        <w:pStyle w:val="TextBody"/>
        <w:bidi w:val="0"/>
        <w:spacing w:lineRule="auto" w:line="321" w:before="204" w:after="283"/>
        <w:jc w:val="left"/>
        <w:rPr/>
      </w:pPr>
      <w:r>
        <w:rPr>
          <w:rFonts w:ascii="Times New Roman;serif" w:hAnsi="Times New Roman;serif"/>
          <w:b w:val="false"/>
          <w:color w:val="000000"/>
          <w:sz w:val="24"/>
        </w:rPr>
        <w:t>THIS EMPLOYMENT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and entered into as of March 30,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between TriSalus Life Sciences,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w:t>
      </w:r>
    </w:p>
    <w:p>
      <w:pPr>
        <w:pStyle w:val="TextBody"/>
        <w:bidi w:val="0"/>
        <w:spacing w:lineRule="atLeast" w:line="275" w:before="0" w:after="0"/>
        <w:jc w:val="left"/>
        <w:rPr/>
      </w:pPr>
      <w:r>
        <w:rPr>
          <w:rFonts w:ascii="Times New Roman;serif" w:hAnsi="Times New Roman;serif"/>
          <w:b w:val="false"/>
          <w:color w:val="000000"/>
          <w:sz w:val="24"/>
        </w:rPr>
        <w:t>Dr. Richard Marshall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w:t>
      </w:r>
    </w:p>
    <w:p>
      <w:pPr>
        <w:pStyle w:val="TextBody"/>
        <w:bidi w:val="0"/>
        <w:spacing w:lineRule="auto" w:line="288" w:before="204" w:after="283"/>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321" w:before="204" w:after="283"/>
        <w:ind w:left="0" w:right="0" w:hanging="361"/>
        <w:jc w:val="left"/>
        <w:rPr>
          <w:rFonts w:ascii="Times New Roman;serif" w:hAnsi="Times New Roman;serif"/>
          <w:b w:val="false"/>
          <w:color w:val="000000"/>
          <w:sz w:val="24"/>
        </w:rPr>
      </w:pPr>
      <w:r>
        <w:rPr>
          <w:rFonts w:ascii="Times New Roman;serif" w:hAnsi="Times New Roman;serif"/>
          <w:b w:val="false"/>
          <w:color w:val="000000"/>
          <w:sz w:val="24"/>
        </w:rPr>
        <w:t>A.Executive and the Company are entering into this Agreement setting forth the terms and conditions of Executive’s employment with the Company. The Company hereby employs Executive, and Executive hereby accepts employment with the Company, upon the terms and conditions contained in this Agreement.</w:t>
      </w:r>
    </w:p>
    <w:p>
      <w:pPr>
        <w:pStyle w:val="TextBody"/>
        <w:bidi w:val="0"/>
        <w:spacing w:lineRule="auto" w:line="324" w:before="157" w:after="283"/>
        <w:ind w:left="0" w:right="0" w:hanging="361"/>
        <w:jc w:val="left"/>
        <w:rPr>
          <w:rFonts w:ascii="Times New Roman;serif" w:hAnsi="Times New Roman;serif"/>
          <w:b w:val="false"/>
          <w:color w:val="000000"/>
          <w:sz w:val="24"/>
        </w:rPr>
      </w:pPr>
      <w:r>
        <w:rPr>
          <w:rFonts w:ascii="Times New Roman;serif" w:hAnsi="Times New Roman;serif"/>
          <w:b w:val="false"/>
          <w:color w:val="000000"/>
          <w:sz w:val="24"/>
        </w:rPr>
        <w:t>B.As an executive employee of the Company, Executive will have access to and Executive will become familiar with, acquire knowledge of and develop or maintain the Confidential Information (as defined</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below), whether currently existing or to be developed in the future, which Executive recognizes permits the Company to enjoy a competitive advantage, and the disclosure to and/or use of such Confidential Information by competitors, potential competitors and/or any third-party would cause irreparable harm to the Company. Executive and the Company desire to enter into this Agreement in order to, among other things, protect the Confidential Information and the Company’s business relationships.</w:t>
      </w:r>
    </w:p>
    <w:p>
      <w:pPr>
        <w:pStyle w:val="TextBody"/>
        <w:bidi w:val="0"/>
        <w:spacing w:lineRule="auto" w:line="288" w:before="151" w:after="283"/>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204" w:after="283"/>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facts, the mutual covenants and</w:t>
      </w:r>
    </w:p>
    <w:p>
      <w:pPr>
        <w:pStyle w:val="TextBody"/>
        <w:bidi w:val="0"/>
        <w:spacing w:lineRule="auto" w:line="321" w:before="46" w:after="283"/>
        <w:jc w:val="left"/>
        <w:rPr>
          <w:rFonts w:ascii="Times New Roman;serif" w:hAnsi="Times New Roman;serif"/>
          <w:b w:val="false"/>
          <w:color w:val="000000"/>
          <w:sz w:val="24"/>
        </w:rPr>
      </w:pPr>
      <w:r>
        <w:rPr>
          <w:rFonts w:ascii="Times New Roman;serif" w:hAnsi="Times New Roman;serif"/>
          <w:b w:val="false"/>
          <w:color w:val="000000"/>
          <w:sz w:val="24"/>
        </w:rPr>
        <w:t>agreements contained herein and other good and valuable consideration, the Company and Executive agree as follows:</w:t>
      </w:r>
    </w:p>
    <w:p>
      <w:pPr>
        <w:pStyle w:val="TextBody"/>
        <w:bidi w:val="0"/>
        <w:spacing w:lineRule="auto" w:line="288" w:before="159" w:after="283"/>
        <w:ind w:left="0" w:right="0" w:hanging="2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As used herein, the following terms shall have the meanings ascribed to them in this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324" w:before="202" w:after="283"/>
        <w:ind w:left="0" w:right="0" w:hanging="361"/>
        <w:jc w:val="left"/>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party, any corporation, limited liability company, partnership, joint venture, firm and/or other entity which directly or indirectly Controls, is Controlled by or is under</w:t>
      </w:r>
    </w:p>
    <w:p>
      <w:pPr>
        <w:pStyle w:val="TextBody"/>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common Control with such party.</w:t>
      </w:r>
    </w:p>
    <w:p>
      <w:pPr>
        <w:pStyle w:val="TextBody"/>
        <w:bidi w:val="0"/>
        <w:spacing w:lineRule="auto" w:line="288" w:before="204" w:after="283"/>
        <w:ind w:left="0" w:right="0" w:hanging="360"/>
        <w:jc w:val="left"/>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204" w:after="283"/>
        <w:ind w:left="0" w:right="0" w:hanging="359"/>
        <w:jc w:val="left"/>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shall mean the occurrence of any of the following events:</w:t>
      </w:r>
    </w:p>
    <w:p>
      <w:pPr>
        <w:pStyle w:val="TextBody"/>
        <w:bidi w:val="0"/>
        <w:spacing w:lineRule="auto" w:line="324" w:before="202" w:after="283"/>
        <w:ind w:left="0" w:right="0" w:hanging="488"/>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Change in Ownership of the Company</w:t>
      </w:r>
      <w:r>
        <w:rPr>
          <w:rFonts w:ascii="Times New Roman;serif" w:hAnsi="Times New Roman;serif"/>
          <w:b w:val="false"/>
          <w:color w:val="000000"/>
          <w:sz w:val="24"/>
        </w:rPr>
        <w:t>. A change in the ownership of the Company which occurs on the date that any one person, or more than one person acting as a group (“Person”), acquires</w:t>
      </w:r>
    </w:p>
    <w:p>
      <w:pPr>
        <w:pStyle w:val="TextBody"/>
        <w:bidi w:val="0"/>
        <w:spacing w:lineRule="auto" w:line="321"/>
        <w:jc w:val="left"/>
        <w:rPr>
          <w:rFonts w:ascii="Times New Roman;serif" w:hAnsi="Times New Roman;serif"/>
          <w:b w:val="false"/>
          <w:color w:val="000000"/>
          <w:sz w:val="24"/>
        </w:rPr>
      </w:pPr>
      <w:r>
        <w:rPr>
          <w:rFonts w:ascii="Times New Roman;serif" w:hAnsi="Times New Roman;serif"/>
          <w:b w:val="false"/>
          <w:color w:val="000000"/>
          <w:sz w:val="24"/>
        </w:rPr>
        <w:t>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of Directors will not be considered a Change in Control; or</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9700"/>
                <wp:effectExtent l="0" t="0" r="0" b="0"/>
                <wp:wrapNone/>
                <wp:docPr id="53" name="Frame5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52" w:after="283"/>
        <w:ind w:left="0" w:right="0" w:hanging="554"/>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Change in Effective Control of the Company</w:t>
      </w:r>
      <w:r>
        <w:rPr>
          <w:rFonts w:ascii="Times New Roman;serif" w:hAnsi="Times New Roman;serif"/>
          <w:b w:val="false"/>
          <w:color w:val="000000"/>
          <w:sz w:val="24"/>
        </w:rPr>
        <w:t>. If the Company has a class of securities registered</w:t>
      </w:r>
    </w:p>
    <w:p>
      <w:pPr>
        <w:pStyle w:val="TextBody"/>
        <w:bidi w:val="0"/>
        <w:spacing w:lineRule="auto" w:line="321" w:before="46" w:after="283"/>
        <w:jc w:val="left"/>
        <w:rPr>
          <w:rFonts w:ascii="Times New Roman;serif" w:hAnsi="Times New Roman;serif"/>
          <w:b w:val="false"/>
          <w:color w:val="000000"/>
          <w:sz w:val="24"/>
        </w:rPr>
      </w:pPr>
      <w:r>
        <w:rPr>
          <w:rFonts w:ascii="Times New Roman;serif" w:hAnsi="Times New Roman;serif"/>
          <w:b w:val="false"/>
          <w:color w:val="000000"/>
          <w:sz w:val="24"/>
        </w:rPr>
        <w:t>pursuant to Section 12 of the Securities Exchange Act of 1934, as amended a change in the effective control of the Company which occurs on the date that a majority of members of the Board of</w:t>
      </w:r>
    </w:p>
    <w:p>
      <w:pPr>
        <w:pStyle w:val="TextBody"/>
        <w:bidi w:val="0"/>
        <w:spacing w:lineRule="atLeast" w:line="274" w:before="0" w:after="0"/>
        <w:jc w:val="left"/>
        <w:rPr>
          <w:rFonts w:ascii="Times New Roman;serif" w:hAnsi="Times New Roman;serif"/>
          <w:b w:val="false"/>
          <w:color w:val="000000"/>
          <w:sz w:val="24"/>
        </w:rPr>
      </w:pPr>
      <w:r>
        <w:rPr>
          <w:rFonts w:ascii="Times New Roman;serif" w:hAnsi="Times New Roman;serif"/>
          <w:b w:val="false"/>
          <w:color w:val="000000"/>
          <w:sz w:val="24"/>
        </w:rPr>
        <w:t>Directors is replaced during any twelve (12) month period by directors whose appointment or</w:t>
      </w:r>
    </w:p>
    <w:p>
      <w:pPr>
        <w:pStyle w:val="TextBody"/>
        <w:bidi w:val="0"/>
        <w:spacing w:lineRule="auto" w:line="321" w:before="80" w:after="283"/>
        <w:jc w:val="left"/>
        <w:rPr>
          <w:rFonts w:ascii="Times New Roman;serif" w:hAnsi="Times New Roman;serif"/>
          <w:b w:val="false"/>
          <w:color w:val="000000"/>
          <w:sz w:val="24"/>
        </w:rPr>
      </w:pPr>
      <w:r>
        <w:rPr>
          <w:rFonts w:ascii="Times New Roman;serif" w:hAnsi="Times New Roman;serif"/>
          <w:b w:val="false"/>
          <w:color w:val="000000"/>
          <w:sz w:val="24"/>
        </w:rPr>
        <w:t>election is not endorsed by a majority of the members of the Board of Directors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lineRule="auto" w:line="321" w:before="157" w:after="283"/>
        <w:ind w:left="0" w:right="0" w:hanging="620"/>
        <w:jc w:val="left"/>
        <w:rPr/>
      </w:pPr>
      <w:r>
        <w:rPr>
          <w:rFonts w:ascii="Times New Roman;serif" w:hAnsi="Times New Roman;serif"/>
          <w:b w:val="false"/>
          <w:color w:val="000000"/>
          <w:sz w:val="24"/>
        </w:rPr>
        <w:t>iii.</w:t>
      </w:r>
      <w:r>
        <w:rPr>
          <w:color w:val="000000"/>
          <w:u w:val="single"/>
        </w:rPr>
        <w:t xml:space="preserve"> </w:t>
      </w:r>
      <w:r>
        <w:rPr>
          <w:rFonts w:ascii="Times New Roman;serif" w:hAnsi="Times New Roman;serif"/>
          <w:b w:val="false"/>
          <w:color w:val="000000"/>
          <w:sz w:val="24"/>
          <w:u w:val="single"/>
        </w:rPr>
        <w:t>Change in Ownership of a Substantial Portion of the Company’s Assets</w:t>
      </w:r>
      <w:r>
        <w:rPr>
          <w:rFonts w:ascii="Times New Roman;serif" w:hAnsi="Times New Roman;serif"/>
          <w:b w:val="false"/>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321" w:before="159" w:after="283"/>
        <w:ind w:left="0" w:right="0" w:hanging="361"/>
        <w:jc w:val="left"/>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Compensation Committee</w:t>
      </w:r>
      <w:r>
        <w:rPr>
          <w:color w:val="000000"/>
        </w:rPr>
        <w:t xml:space="preserve">” </w:t>
      </w:r>
      <w:r>
        <w:rPr>
          <w:rFonts w:ascii="Times New Roman;serif" w:hAnsi="Times New Roman;serif"/>
          <w:b w:val="false"/>
          <w:color w:val="000000"/>
          <w:sz w:val="24"/>
        </w:rPr>
        <w:t>means a committee of the Board of Directors which has been delegated responsibility for employee compensation matters or, in the absence thereof, the entire Board of</w:t>
      </w:r>
    </w:p>
    <w:p>
      <w:pPr>
        <w:pStyle w:val="TextBody"/>
        <w:bidi w:val="0"/>
        <w:spacing w:lineRule="atLeast" w:line="274" w:before="0" w:after="0"/>
        <w:jc w:val="left"/>
        <w:rPr>
          <w:rFonts w:ascii="Times New Roman;serif" w:hAnsi="Times New Roman;serif"/>
          <w:b w:val="false"/>
          <w:color w:val="000000"/>
          <w:sz w:val="24"/>
        </w:rPr>
      </w:pPr>
      <w:r>
        <w:rPr>
          <w:rFonts w:ascii="Times New Roman;serif" w:hAnsi="Times New Roman;serif"/>
          <w:b w:val="false"/>
          <w:color w:val="000000"/>
          <w:sz w:val="24"/>
        </w:rPr>
        <w:t>Directors.</w:t>
      </w:r>
    </w:p>
    <w:p>
      <w:pPr>
        <w:pStyle w:val="TextBody"/>
        <w:bidi w:val="0"/>
        <w:spacing w:lineRule="auto" w:line="321" w:before="204" w:after="283"/>
        <w:ind w:left="0" w:right="0" w:hanging="361"/>
        <w:jc w:val="left"/>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Competing Business</w:t>
      </w:r>
      <w:r>
        <w:rPr>
          <w:color w:val="000000"/>
        </w:rPr>
        <w:t xml:space="preserve">” </w:t>
      </w:r>
      <w:r>
        <w:rPr>
          <w:rFonts w:ascii="Times New Roman;serif" w:hAnsi="Times New Roman;serif"/>
          <w:b w:val="false"/>
          <w:color w:val="000000"/>
          <w:sz w:val="24"/>
        </w:rPr>
        <w:t>means a business that is engaged in researching, designing, developing, manufacturing, marketing and/or sales of medical devices for regional delivery and therapeutics used in that delivery to treat solid tumors.</w:t>
      </w:r>
    </w:p>
    <w:p>
      <w:pPr>
        <w:pStyle w:val="TextBody"/>
        <w:bidi w:val="0"/>
        <w:spacing w:lineRule="auto" w:line="321" w:before="158" w:after="283"/>
        <w:ind w:left="0" w:right="0" w:hanging="361"/>
        <w:jc w:val="left"/>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means confidential or proprietary information and/or techniques of the Company or any of its Subsidiaries or Affiliates entrusted to, developed by, or made available to Executive, whether in writing, in computer form, reduced to a tangible form in any medium, or conveyed orally, that is not generally known by others in the form in which it is or was used by the Company or any of its Subsidiaries or Affiliates. Examples of Confidential Information include, without limitation: (i) sales, sales volume, sales methods, sales proposals, business plans or statements of work; (ii) Customers, Prospective Customers, and Customer records, including contact, preference and other Customer information; (iii) costs and general price lists and prices charged to specific Customers; (iv) the names, addresses, contact information and other information concerning any and all brokers, vendors and suppliers and prospective brokers, vendors and suppliers; (v) terms of contracts; (vi) non-public information and materials describing or relating to the business or financial affairs of the Company or any of its Subsidiaries or Affiliates, including but not limited to, financial statements, budgets, projections financial and/or investment performance information, research reports, personnel matters, products, services, operating procedures, organizational responsibilities and marketing matters, policies or procedures; (vii) information and materials describing existing or new processes, products and services of the Company or any of its Subsidiaries or Affiliates, including marketing materials, analytical data and techniques, and product, service or marketing concepts under development by or for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9700"/>
                <wp:effectExtent l="0" t="0" r="0" b="0"/>
                <wp:wrapNone/>
                <wp:docPr id="54" name="Frame5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321" w:before="158" w:after="283"/>
        <w:jc w:val="left"/>
        <w:rPr>
          <w:rFonts w:ascii="Times New Roman;serif" w:hAnsi="Times New Roman;serif"/>
          <w:b w:val="false"/>
          <w:color w:val="000000"/>
          <w:sz w:val="24"/>
        </w:rPr>
      </w:pPr>
      <w:r>
        <w:rPr>
          <w:rFonts w:ascii="Times New Roman;serif" w:hAnsi="Times New Roman;serif"/>
          <w:b w:val="false"/>
          <w:color w:val="000000"/>
          <w:sz w:val="24"/>
        </w:rPr>
        <w:t>or any of its Subsidiaries or Affiliates, and the status of such development; (viii) the business or strategic plans of the Company or any of its Subsidiaries or Affiliates; (ix) the information technology systems, network designs, computer program code, and application practices of the Company or any of its Subsidiaries or Affiliates; (x) acquisition candidates of the Company or any of its Subsidiaries or Affiliates or any business plans, studies or assessments relating thereto; (xi) information relating to Executive Developments; and (xii) trademarks, service marks, trade secrets, trade names and logos. The terms of this Agreement shall be deemed to be Confidential Information. Confidential Information does not include information that becomes generally known to and available for use by the public other than as a result of Executive’s acts or omissions to act, including any breach of this Agreement.</w:t>
      </w:r>
    </w:p>
    <w:p>
      <w:pPr>
        <w:pStyle w:val="TextBody"/>
        <w:bidi w:val="0"/>
        <w:spacing w:lineRule="auto" w:line="288" w:before="158" w:after="283"/>
        <w:ind w:left="0" w:right="0" w:hanging="360"/>
        <w:jc w:val="left"/>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(including the terms “Controlling,” “Controlled by” and “under common Control with”) means the power to direct the management and policies of another person, directly or indirectly, whether through the ownership of voting securities, by contract or otherwise.</w:t>
      </w:r>
    </w:p>
    <w:p>
      <w:pPr>
        <w:pStyle w:val="TextBody"/>
        <w:bidi w:val="0"/>
        <w:spacing w:lineRule="auto" w:line="321" w:before="159" w:after="283"/>
        <w:ind w:left="0" w:right="0" w:hanging="361"/>
        <w:jc w:val="left"/>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Covered Entity</w:t>
      </w:r>
      <w:r>
        <w:rPr>
          <w:color w:val="000000"/>
        </w:rPr>
        <w:t xml:space="preserve">” </w:t>
      </w:r>
      <w:r>
        <w:rPr>
          <w:rFonts w:ascii="Times New Roman;serif" w:hAnsi="Times New Roman;serif"/>
          <w:b w:val="false"/>
          <w:color w:val="000000"/>
          <w:sz w:val="24"/>
        </w:rPr>
        <w:t>means every Affiliate of Executive, and every business, association, trust, corporation, partnership, limited liability company, proprietorship or other entity in or to which Executive has an investment (whether through debt or equity securities), maintains any capital contribution or has made any advances, or in which any Affiliate of Executive has an ownership interest or profit sharing percentage. The agreements of Executive contained herein specifically apply to each entity which is presently a Covered Entity, or which becomes a Covered Entity subsequent to the date of this Agreement. Notwithstanding the foregoing, nothing contained in this Agreement prohibits Executive from owning less than 3% of any class of voting securities, publicly held and quoted on a recognized securities exchange or inter-dealer quotation system, of any issuer, and no such issuer shall be considered a Covered Entity solely by virtue of such ownership or the incidents thereof.</w:t>
      </w:r>
    </w:p>
    <w:p>
      <w:pPr>
        <w:pStyle w:val="TextBody"/>
        <w:bidi w:val="0"/>
        <w:spacing w:lineRule="auto" w:line="288" w:before="151" w:after="283"/>
        <w:ind w:left="0" w:right="0" w:hanging="359"/>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Customer</w:t>
      </w:r>
      <w:r>
        <w:rPr>
          <w:color w:val="000000"/>
        </w:rPr>
        <w:t xml:space="preserve">” </w:t>
      </w:r>
      <w:r>
        <w:rPr>
          <w:rFonts w:ascii="Times New Roman;serif" w:hAnsi="Times New Roman;serif"/>
          <w:b w:val="false"/>
          <w:color w:val="000000"/>
          <w:sz w:val="24"/>
        </w:rPr>
        <w:t>means any person or entity for whom the Company or any of its Subsidiaries or Affiliates (i) provides (or contracted to provide) goods or services as of the date hereof or at any time during the Term or (ii) has provided goods or services at any time during the one-year period prior to the date hereof.</w:t>
      </w:r>
    </w:p>
    <w:p>
      <w:pPr>
        <w:pStyle w:val="TextBody"/>
        <w:bidi w:val="0"/>
        <w:spacing w:lineRule="auto" w:line="321" w:before="205" w:after="283"/>
        <w:ind w:left="0" w:right="0" w:hanging="361"/>
        <w:jc w:val="left"/>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 xml:space="preserve">Discharge for Cause” </w:t>
      </w:r>
      <w:r>
        <w:rPr>
          <w:rFonts w:ascii="Times New Roman;serif" w:hAnsi="Times New Roman;serif"/>
          <w:b w:val="false"/>
          <w:color w:val="000000"/>
          <w:sz w:val="24"/>
        </w:rPr>
        <w:t>means termination of Executive’s employment by the Company for any one or more of the following:</w:t>
      </w:r>
    </w:p>
    <w:p>
      <w:pPr>
        <w:pStyle w:val="TextBody"/>
        <w:bidi w:val="0"/>
        <w:spacing w:lineRule="auto" w:line="321" w:before="159" w:after="283"/>
        <w:ind w:left="0" w:right="0" w:hanging="488"/>
        <w:jc w:val="left"/>
        <w:rPr>
          <w:rFonts w:ascii="Times New Roman;serif" w:hAnsi="Times New Roman;serif"/>
          <w:b w:val="false"/>
          <w:color w:val="000000"/>
          <w:sz w:val="24"/>
        </w:rPr>
      </w:pPr>
      <w:r>
        <w:rPr>
          <w:rFonts w:ascii="Times New Roman;serif" w:hAnsi="Times New Roman;serif"/>
          <w:b w:val="false"/>
          <w:color w:val="000000"/>
          <w:sz w:val="24"/>
        </w:rPr>
        <w:t>i.Executive's failure to perform Executive's duties consistent with Executive’s position under this Agreement (other than any such failure resulting from incapacity due to physical or mental illness);</w:t>
      </w:r>
    </w:p>
    <w:p>
      <w:pPr>
        <w:pStyle w:val="TextBody"/>
        <w:bidi w:val="0"/>
        <w:spacing w:lineRule="auto" w:line="324" w:before="204" w:after="283"/>
        <w:ind w:left="0" w:right="0" w:hanging="555"/>
        <w:jc w:val="left"/>
        <w:rPr>
          <w:rFonts w:ascii="Times New Roman;serif" w:hAnsi="Times New Roman;serif"/>
          <w:b w:val="false"/>
          <w:color w:val="000000"/>
          <w:sz w:val="24"/>
        </w:rPr>
      </w:pPr>
      <w:r>
        <w:rPr>
          <w:rFonts w:ascii="Times New Roman;serif" w:hAnsi="Times New Roman;serif"/>
          <w:b w:val="false"/>
          <w:color w:val="000000"/>
          <w:sz w:val="24"/>
        </w:rPr>
        <w:t>ii.the Company’s reasonable determination that Executive failed to comply with any valid and legal directive from the Chief Executive Officer or the Board consistent with Executive’s position and duties under this Agreement;</w:t>
      </w:r>
    </w:p>
    <w:p>
      <w:pPr>
        <w:pStyle w:val="TextBody"/>
        <w:bidi w:val="0"/>
        <w:spacing w:lineRule="auto" w:line="321" w:before="204" w:after="283"/>
        <w:ind w:left="0" w:right="0" w:hanging="620"/>
        <w:jc w:val="left"/>
        <w:rPr>
          <w:rFonts w:ascii="Times New Roman;serif" w:hAnsi="Times New Roman;serif"/>
          <w:b w:val="false"/>
          <w:color w:val="000000"/>
          <w:sz w:val="24"/>
        </w:rPr>
      </w:pPr>
      <w:r>
        <w:rPr>
          <w:rFonts w:ascii="Times New Roman;serif" w:hAnsi="Times New Roman;serif"/>
          <w:b w:val="false"/>
          <w:color w:val="000000"/>
          <w:sz w:val="24"/>
        </w:rPr>
        <w:t>iii.Executive's commission of an act constituting dishonesty, embezzlement, misappropriation, or fraud in the course of Executive’s performance of duties and responsibilities under the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9700"/>
                <wp:effectExtent l="0" t="0" r="0" b="0"/>
                <wp:wrapNone/>
                <wp:docPr id="55" name="Frame5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21" w:before="204" w:after="283"/>
        <w:ind w:left="0" w:right="0" w:hanging="608"/>
        <w:jc w:val="left"/>
        <w:rPr/>
      </w:pPr>
      <w:r>
        <w:rPr>
          <w:rFonts w:ascii="Times New Roman;serif" w:hAnsi="Times New Roman;serif"/>
          <w:b w:val="false"/>
          <w:color w:val="000000"/>
          <w:sz w:val="24"/>
        </w:rPr>
        <w:t xml:space="preserve">iv.Executive's commission, indictment, plea of no contest, plea of </w:t>
      </w:r>
      <w:r>
        <w:rPr>
          <w:rFonts w:ascii="Times New Roman;serif" w:hAnsi="Times New Roman;serif"/>
          <w:b w:val="false"/>
          <w:i/>
          <w:color w:val="000000"/>
          <w:sz w:val="24"/>
        </w:rPr>
        <w:t>nolo contendere</w:t>
      </w:r>
      <w:r>
        <w:rPr>
          <w:rFonts w:ascii="Times New Roman;serif" w:hAnsi="Times New Roman;serif"/>
          <w:b w:val="false"/>
          <w:color w:val="000000"/>
          <w:sz w:val="24"/>
        </w:rPr>
        <w:t>, or imposition of an un-adjudicated probation for any felony or crime involving moral turpitude;</w:t>
      </w:r>
    </w:p>
    <w:p>
      <w:pPr>
        <w:pStyle w:val="TextBody"/>
        <w:bidi w:val="0"/>
        <w:spacing w:lineRule="auto" w:line="321" w:before="159" w:after="283"/>
        <w:ind w:left="0" w:right="0" w:hanging="608"/>
        <w:jc w:val="left"/>
        <w:rPr>
          <w:rFonts w:ascii="Times New Roman;serif" w:hAnsi="Times New Roman;serif"/>
          <w:b w:val="false"/>
          <w:color w:val="000000"/>
          <w:sz w:val="24"/>
        </w:rPr>
      </w:pPr>
      <w:r>
        <w:rPr>
          <w:rFonts w:ascii="Times New Roman;serif" w:hAnsi="Times New Roman;serif"/>
          <w:b w:val="false"/>
          <w:color w:val="000000"/>
          <w:sz w:val="24"/>
        </w:rPr>
        <w:t>v.Executive's breach of a material provision of this Agreement, receiving notice from the Company specifically identifying Employee’s violation, and if curable in the reasonable discretion of the Company, the Executive being given ten (10) days’ notice to cure such breach, and Executive has failed to remedy such breach within the ten (10) day period;</w:t>
      </w:r>
    </w:p>
    <w:p>
      <w:pPr>
        <w:pStyle w:val="TextBody"/>
        <w:bidi w:val="0"/>
        <w:spacing w:lineRule="auto" w:line="321" w:before="159" w:after="283"/>
        <w:ind w:left="0" w:right="0" w:hanging="608"/>
        <w:jc w:val="both"/>
        <w:rPr>
          <w:rFonts w:ascii="Times New Roman;serif" w:hAnsi="Times New Roman;serif"/>
          <w:b w:val="false"/>
          <w:color w:val="000000"/>
          <w:sz w:val="24"/>
        </w:rPr>
      </w:pPr>
      <w:r>
        <w:rPr>
          <w:rFonts w:ascii="Times New Roman;serif" w:hAnsi="Times New Roman;serif"/>
          <w:b w:val="false"/>
          <w:color w:val="000000"/>
          <w:sz w:val="24"/>
        </w:rPr>
        <w:t>vi.Executive’s violation of any Company policies that are written or otherwise communicated to the Executive, receiving notice from the Company specifically identifying Executive’s breach, and if curable in the reasonable discretion of the Company, the Executive being given ten (10) days’ notice to cure such violation, and Executive has failed to remedy such violation within the ten (10) day period;</w:t>
      </w:r>
    </w:p>
    <w:p>
      <w:pPr>
        <w:pStyle w:val="TextBody"/>
        <w:bidi w:val="0"/>
        <w:spacing w:lineRule="auto" w:line="321" w:before="204" w:after="283"/>
        <w:ind w:left="0" w:right="0" w:hanging="675"/>
        <w:jc w:val="left"/>
        <w:rPr>
          <w:rFonts w:ascii="Times New Roman;serif" w:hAnsi="Times New Roman;serif"/>
          <w:b w:val="false"/>
          <w:color w:val="000000"/>
          <w:sz w:val="24"/>
        </w:rPr>
      </w:pPr>
      <w:r>
        <w:rPr>
          <w:rFonts w:ascii="Times New Roman;serif" w:hAnsi="Times New Roman;serif"/>
          <w:b w:val="false"/>
          <w:color w:val="000000"/>
          <w:sz w:val="24"/>
        </w:rPr>
        <w:t>vii.Executive's engagement in conduct that brings or is reasonably likely to bring the Company negative publicity or into public disgrace, embarrassment, or disrepute;</w:t>
      </w:r>
    </w:p>
    <w:p>
      <w:pPr>
        <w:pStyle w:val="TextBody"/>
        <w:bidi w:val="0"/>
        <w:spacing w:lineRule="auto" w:line="321" w:before="159" w:after="283"/>
        <w:ind w:left="0" w:right="0" w:hanging="740"/>
        <w:jc w:val="left"/>
        <w:rPr>
          <w:rFonts w:ascii="Times New Roman;serif" w:hAnsi="Times New Roman;serif"/>
          <w:b w:val="false"/>
          <w:color w:val="000000"/>
          <w:sz w:val="24"/>
        </w:rPr>
      </w:pPr>
      <w:r>
        <w:rPr>
          <w:rFonts w:ascii="Times New Roman;serif" w:hAnsi="Times New Roman;serif"/>
          <w:b w:val="false"/>
          <w:color w:val="000000"/>
          <w:sz w:val="24"/>
        </w:rPr>
        <w:t>viii.Executive’s unlawful use (including being under the influence) or possession of illegal drugs on the Company’s (or any of its Affiliate’s) premises or while performing Employee’s duties and responsibilities under this Agreement; or</w:t>
      </w:r>
    </w:p>
    <w:p>
      <w:pPr>
        <w:pStyle w:val="TextBody"/>
        <w:bidi w:val="0"/>
        <w:spacing w:lineRule="auto" w:line="321" w:before="205" w:after="283"/>
        <w:ind w:left="0" w:right="0" w:hanging="608"/>
        <w:jc w:val="left"/>
        <w:rPr>
          <w:rFonts w:ascii="Times New Roman;serif" w:hAnsi="Times New Roman;serif"/>
          <w:b w:val="false"/>
          <w:color w:val="000000"/>
          <w:sz w:val="24"/>
        </w:rPr>
      </w:pPr>
      <w:r>
        <w:rPr>
          <w:rFonts w:ascii="Times New Roman;serif" w:hAnsi="Times New Roman;serif"/>
          <w:b w:val="false"/>
          <w:color w:val="000000"/>
          <w:sz w:val="24"/>
        </w:rPr>
        <w:t>ix.Executive’s commencement of employment or engagement with another company or enterprise while Executive is an employee of the Company without the prior consent of the Board of Directors.</w:t>
      </w:r>
    </w:p>
    <w:p>
      <w:pPr>
        <w:pStyle w:val="TextBody"/>
        <w:bidi w:val="0"/>
        <w:spacing w:lineRule="auto" w:line="321" w:before="204" w:after="283"/>
        <w:jc w:val="left"/>
        <w:rPr>
          <w:rFonts w:ascii="Times New Roman;serif" w:hAnsi="Times New Roman;serif"/>
          <w:b w:val="false"/>
          <w:color w:val="000000"/>
          <w:sz w:val="24"/>
        </w:rPr>
      </w:pPr>
      <w:r>
        <w:rPr>
          <w:rFonts w:ascii="Times New Roman;serif" w:hAnsi="Times New Roman;serif"/>
          <w:b w:val="false"/>
          <w:color w:val="000000"/>
          <w:sz w:val="24"/>
        </w:rPr>
        <w:t>Unless specifically required, notice is not required for Discharge for Cause prior to termination by the Company.</w:t>
      </w:r>
    </w:p>
    <w:p>
      <w:pPr>
        <w:pStyle w:val="TextBody"/>
        <w:bidi w:val="0"/>
        <w:spacing w:lineRule="auto" w:line="324" w:before="159" w:after="283"/>
        <w:ind w:left="0" w:right="0" w:hanging="361"/>
        <w:jc w:val="left"/>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Discharge Without Cause</w:t>
      </w:r>
      <w:r>
        <w:rPr>
          <w:color w:val="000000"/>
        </w:rPr>
        <w:t xml:space="preserve">” </w:t>
      </w:r>
      <w:r>
        <w:rPr>
          <w:rFonts w:ascii="Times New Roman;serif" w:hAnsi="Times New Roman;serif"/>
          <w:b w:val="false"/>
          <w:color w:val="000000"/>
          <w:sz w:val="24"/>
        </w:rPr>
        <w:t>means the Company’s termination of Executive’s employment hereunder during the Term for any reason other than a Discharge For Cause or due to Executive’s death or</w:t>
      </w:r>
    </w:p>
    <w:p>
      <w:pPr>
        <w:pStyle w:val="TextBody"/>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permanent disability.</w:t>
      </w:r>
    </w:p>
    <w:p>
      <w:pPr>
        <w:pStyle w:val="TextBody"/>
        <w:bidi w:val="0"/>
        <w:spacing w:lineRule="auto" w:line="321" w:before="204" w:after="283"/>
        <w:ind w:left="0" w:right="0" w:hanging="361"/>
        <w:jc w:val="left"/>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Executive Developments</w:t>
      </w:r>
      <w:r>
        <w:rPr>
          <w:color w:val="000000"/>
        </w:rPr>
        <w:t xml:space="preserve">” </w:t>
      </w:r>
      <w:r>
        <w:rPr>
          <w:rFonts w:ascii="Times New Roman;serif" w:hAnsi="Times New Roman;serif"/>
          <w:b w:val="false"/>
          <w:color w:val="000000"/>
          <w:sz w:val="24"/>
        </w:rPr>
        <w:t xml:space="preserve">means any invention, discovery, design, idea, copyrightable work, trademark or service mark, patent, information, material or other development which is or was conceived, discovered, created, reduced to practice or otherwise developed by Executive, either solely or with others: (i) within the scope of Executive’s employment with the Company, (ii) with the use of materials, technology, information, facilities, equipment or other resources of the Company or any of its Subsidiaries or Affiliates, or (iii) relating to any past, present or contemplated publication, product or activity of the Company or any of its Subsidiaries or Affiliates of which Executive has knowledge while employed by the Company. Examples of Executive Developments include, without limitation, (A) Customer proposals and statements of work, (B) contact, preference and other information relating to Customers and Prospective Customers, (C) research reports and other research results for the Company’s or any of its Subsidiaries’ or Affiliates’ publications, consulting activities or client projects, (D) business and marketing plans and research results, (E) cost and pricing information, (F) financial statements, records and information, (G) computer program code, architectures, specifications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9700"/>
                <wp:effectExtent l="0" t="0" r="0" b="0"/>
                <wp:wrapNone/>
                <wp:docPr id="56" name="Frame5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21" w:before="204" w:after="283"/>
        <w:jc w:val="left"/>
        <w:rPr>
          <w:rFonts w:ascii="Times New Roman;serif" w:hAnsi="Times New Roman;serif"/>
          <w:b w:val="false"/>
          <w:color w:val="000000"/>
          <w:sz w:val="24"/>
        </w:rPr>
      </w:pPr>
      <w:r>
        <w:rPr>
          <w:rFonts w:ascii="Times New Roman;serif" w:hAnsi="Times New Roman;serif"/>
          <w:b w:val="false"/>
          <w:color w:val="000000"/>
          <w:sz w:val="24"/>
        </w:rPr>
        <w:t>and documentation, (H) system and network designs and configurations, (I) technical memoranda, specifications, designs, manuals and research results, (J) concepts, processes, machines, technologies, algorithms, ideas and concepts, (K) writings, drawings, graphic works and audiovisual works, (L) trademarks, service marks, trade names and logos and (M) any portions, combinations, modifications and derivatives of the foregoing.</w:t>
      </w:r>
    </w:p>
    <w:p>
      <w:pPr>
        <w:pStyle w:val="TextBody"/>
        <w:bidi w:val="0"/>
        <w:spacing w:before="0" w:after="0"/>
        <w:jc w:val="left"/>
        <w:rPr/>
      </w:pPr>
      <w:r>
        <w:rPr/>
      </w:r>
    </w:p>
    <w:p>
      <w:pPr>
        <w:pStyle w:val="TextBody"/>
        <w:bidi w:val="0"/>
        <w:spacing w:lineRule="auto" w:line="321" w:before="80" w:after="283"/>
        <w:ind w:left="0" w:right="0" w:hanging="361"/>
        <w:jc w:val="left"/>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Prospective Customer</w:t>
      </w:r>
      <w:r>
        <w:rPr>
          <w:color w:val="000000"/>
        </w:rPr>
        <w:t xml:space="preserve">” </w:t>
      </w:r>
      <w:r>
        <w:rPr>
          <w:rFonts w:ascii="Times New Roman;serif" w:hAnsi="Times New Roman;serif"/>
          <w:b w:val="false"/>
          <w:color w:val="000000"/>
          <w:sz w:val="24"/>
        </w:rPr>
        <w:t>means any person or entity with whom the Company or any of its Subsidiaries or Affiliates has communicated or whom the Company or any of its Subsidiaries or Affiliates has</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solicited for the purposes of obtaining such person or entity as a Customer and/or whom the Company or any of its Subsidiaries or Affiliates has analyzed concerning the potential of such person or entity to</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become a Customer, at any time during the one-year period prior to the date hereof or at any time during the Term.</w:t>
      </w:r>
    </w:p>
    <w:p>
      <w:pPr>
        <w:pStyle w:val="TextBody"/>
        <w:bidi w:val="0"/>
        <w:spacing w:lineRule="auto" w:line="321" w:before="152" w:after="283"/>
        <w:ind w:left="0" w:right="0" w:hanging="361"/>
        <w:jc w:val="left"/>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any corporation, trust, general or limited partnership, limited liability company, limited liability partnership, firm, company or other business enterprise in which the Company owns,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directly or indirectly, 50% or more of the voting stock or any other class of securities having the power to elect directors or managers, as applicable.</w:t>
      </w:r>
    </w:p>
    <w:p>
      <w:pPr>
        <w:pStyle w:val="TextBody"/>
        <w:bidi w:val="0"/>
        <w:spacing w:lineRule="auto" w:line="324" w:before="157" w:after="283"/>
        <w:ind w:left="0" w:right="0" w:hanging="361"/>
        <w:jc w:val="left"/>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Resignation For Good Reason</w:t>
      </w:r>
      <w:r>
        <w:rPr>
          <w:color w:val="000000"/>
        </w:rPr>
        <w:t xml:space="preserve">” </w:t>
      </w:r>
      <w:r>
        <w:rPr>
          <w:rFonts w:ascii="Times New Roman;serif" w:hAnsi="Times New Roman;serif"/>
          <w:b w:val="false"/>
          <w:color w:val="000000"/>
          <w:sz w:val="24"/>
        </w:rPr>
        <w:t>means voluntary resignation by Executive of his employment with the Company within thirty (30) days after: (i) there is a material reduction by the Company in</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Executive’s base salary then in effect; (ii) the Company acts in any way that would materially adversely affect Executive’s participation in or materially reduce Executive’s benefits under any benefit plan of the Company in which Executive is participating, other than any change generally affecting similarly</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situated employees of the Company other than any action not taken in bad faith and which is remedied by the Company promptly upon receipt of notice thereof given by Executive; (iii) the Company</w:t>
      </w:r>
    </w:p>
    <w:p>
      <w:pPr>
        <w:pStyle w:val="TextBody"/>
        <w:bidi w:val="0"/>
        <w:spacing w:lineRule="auto" w:line="321" w:before="0" w:after="0"/>
        <w:jc w:val="left"/>
        <w:rPr/>
      </w:pPr>
      <w:r>
        <w:rPr>
          <w:rFonts w:ascii="Times New Roman;serif" w:hAnsi="Times New Roman;serif"/>
          <w:b w:val="false"/>
          <w:color w:val="000000"/>
          <w:sz w:val="24"/>
        </w:rPr>
        <w:t xml:space="preserve">materially breaches the terms of this Agreement; (iv) a material permanent reduction in Executive’s authority, duties or, responsibilities that was not caused by performance, from that consistent with the title and position set forth in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(other than in connection with a corporate transaction where</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Executive’s authority, duties, or responsibilities exist prior to consummation of the transaction but after such transaction, Executive does not hold such authority, duties, or responsibilities with respect to the</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successor entity of the transaction); or (v) Executive is required to relocate his principal place of employment to a location more than fifty (50) miles from the location of such Executive’s principal</w:t>
      </w:r>
    </w:p>
    <w:p>
      <w:pPr>
        <w:pStyle w:val="TextBody"/>
        <w:bidi w:val="0"/>
        <w:spacing w:lineRule="auto" w:line="321" w:before="0" w:after="0"/>
        <w:jc w:val="both"/>
        <w:rPr/>
      </w:pPr>
      <w:r>
        <w:rPr>
          <w:rFonts w:ascii="Times New Roman;serif" w:hAnsi="Times New Roman;serif"/>
          <w:b w:val="false"/>
          <w:color w:val="000000"/>
          <w:sz w:val="24"/>
        </w:rPr>
        <w:t xml:space="preserve">place of employment as of the Effective Date; </w:t>
      </w:r>
      <w:r>
        <w:rPr>
          <w:rFonts w:ascii="Times New Roman;serif" w:hAnsi="Times New Roman;serif"/>
          <w:b w:val="false"/>
          <w:i/>
          <w:color w:val="000000"/>
          <w:sz w:val="24"/>
        </w:rPr>
        <w:t>provided however</w:t>
      </w:r>
      <w:r>
        <w:rPr>
          <w:rFonts w:ascii="Times New Roman;serif" w:hAnsi="Times New Roman;serif"/>
          <w:b w:val="false"/>
          <w:color w:val="000000"/>
          <w:sz w:val="24"/>
        </w:rPr>
        <w:t>, that, in each case, the event or change is without the Executive’s consent and the Company shall have been provided detailed written notice of the change or event constituting “Good Reason” within thirty (30) days’ of such change or event and the Company has failed to remedy such event or breach within the 30-day period after receiving such</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notice.</w:t>
      </w:r>
    </w:p>
    <w:p>
      <w:pPr>
        <w:pStyle w:val="TextBody"/>
        <w:bidi w:val="0"/>
        <w:spacing w:lineRule="auto" w:line="288" w:before="194" w:after="283"/>
        <w:ind w:left="0" w:right="0" w:hanging="360"/>
        <w:jc w:val="left"/>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the United States, China and all territories and political subdivisions therein.</w:t>
      </w:r>
    </w:p>
    <w:p>
      <w:pPr>
        <w:pStyle w:val="TextBody"/>
        <w:bidi w:val="0"/>
        <w:spacing w:lineRule="auto" w:line="288" w:before="204" w:after="283"/>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Capacities and Duties</w:t>
      </w:r>
      <w:r>
        <w:rPr>
          <w:rFonts w:ascii="Times New Roman;serif" w:hAnsi="Times New Roman;serif"/>
          <w:b w:val="false"/>
          <w:color w:val="000000"/>
          <w:sz w:val="24"/>
        </w:rPr>
        <w:t>.</w:t>
      </w:r>
    </w:p>
    <w:p>
      <w:pPr>
        <w:pStyle w:val="TextBody"/>
        <w:bidi w:val="0"/>
        <w:spacing w:lineRule="auto" w:line="321" w:before="80" w:after="283"/>
        <w:ind w:left="0" w:right="0" w:hanging="361"/>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Title</w:t>
      </w:r>
      <w:r>
        <w:rPr>
          <w:rFonts w:ascii="Times New Roman;serif" w:hAnsi="Times New Roman;serif"/>
          <w:b w:val="false"/>
          <w:color w:val="000000"/>
          <w:sz w:val="24"/>
        </w:rPr>
        <w:t xml:space="preserve">. Executive is hereby employed in the capacity of Chief Medical Officer (“CMO”). Executive shall report directly to the Chief Executive Officer (“CEO”). Executive will at all times abide by the Company’s written personnel policies applicable to similarly situated employees of the Company as in effect from time to time and provided to Executive, and will faithfully, industriously and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9700"/>
                <wp:effectExtent l="0" t="0" r="0" b="0"/>
                <wp:wrapNone/>
                <wp:docPr id="57" name="Frame5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321" w:before="80" w:after="283"/>
        <w:jc w:val="left"/>
        <w:rPr>
          <w:rFonts w:ascii="Times New Roman;serif" w:hAnsi="Times New Roman;serif"/>
          <w:b w:val="false"/>
          <w:color w:val="000000"/>
          <w:sz w:val="24"/>
        </w:rPr>
      </w:pPr>
      <w:r>
        <w:rPr>
          <w:rFonts w:ascii="Times New Roman;serif" w:hAnsi="Times New Roman;serif"/>
          <w:b w:val="false"/>
          <w:color w:val="000000"/>
          <w:sz w:val="24"/>
        </w:rPr>
        <w:t>best of Executive’s ability, experience and talents perform all of the duties that are reasonably requested by the CEO and Board of Directors consistent with Executive’s position and title and that may be required of and from Executive pursuant to the terms hereof.</w:t>
      </w:r>
    </w:p>
    <w:p>
      <w:pPr>
        <w:pStyle w:val="TextBody"/>
        <w:bidi w:val="0"/>
        <w:spacing w:lineRule="auto" w:line="321" w:before="80" w:after="283"/>
        <w:ind w:left="0" w:right="0" w:hanging="361"/>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Scope of Services</w:t>
      </w:r>
      <w:r>
        <w:rPr>
          <w:rFonts w:ascii="Times New Roman;serif" w:hAnsi="Times New Roman;serif"/>
          <w:b w:val="false"/>
          <w:color w:val="000000"/>
          <w:sz w:val="24"/>
        </w:rPr>
        <w:t>. During the Term, Executive agrees to devote Executive’s best efforts and required business time to rendering services to the Company as agreed upon with the CEO. Executive is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specifically restricted from being employed or serve as a consultant by any other company, other than those already identified in Exhibit A, a Subsidiary or an Affiliate of the Company, while under the Company’s employ pursuant to this Agreement without approval of the Company’s CEO. During the Term, the Executive shall not engage in any other business activity that would interfere with his</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responsibilities or the performance of his duties under this Agreement unless approved by the CEO in writing. Notwithstanding the foregoing, Executive may continue to serve as a member of the board of</w:t>
      </w:r>
    </w:p>
    <w:p>
      <w:pPr>
        <w:pStyle w:val="TextBody"/>
        <w:bidi w:val="0"/>
        <w:spacing w:lineRule="auto" w:line="321" w:before="0" w:after="0"/>
        <w:jc w:val="left"/>
        <w:rPr/>
      </w:pPr>
      <w:r>
        <w:rPr>
          <w:rFonts w:ascii="Times New Roman;serif" w:hAnsi="Times New Roman;serif"/>
          <w:b w:val="false"/>
          <w:color w:val="000000"/>
          <w:sz w:val="24"/>
        </w:rPr>
        <w:t xml:space="preserve">directors, advisory boards, academic faculty, or other part-time roles of those entities for which he serves as of the Effective Date which positions are set forth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(“Existing Outside</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Positions”). Executive represents that none of the activities identified in Exhibit A shall (a) interfere with or diminish his abilities to perform his responsibilities to the Company as CMO, (b) prevent Executive from complying with his obligations under the attached PIIA, or (c) result in the unauthorized disclosure or use of the Company’s Confidential Information. The Company reserves the right to request that Executive reduce his external activities and commitments in the event that they do in fact interfere with Executive’s ability to perform as CMO for the Company without requiring Executive to breech any</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notification provision in an agreement with an outside entity. In the event that, during his employment by the Company, Executive desires to serve in an entity currently not identified, Executive will, prior to engaging in such activity, first seek written approval from the CEO. Executive will also oversee a company-funded research program at an academic medical center, subject to approval by the CEO.</w:t>
      </w:r>
    </w:p>
    <w:p>
      <w:pPr>
        <w:pStyle w:val="TextBody"/>
        <w:bidi w:val="0"/>
        <w:spacing w:lineRule="auto" w:line="321" w:before="152" w:after="283"/>
        <w:jc w:val="left"/>
        <w:rPr>
          <w:rFonts w:ascii="Times New Roman;serif" w:hAnsi="Times New Roman;serif"/>
          <w:b w:val="false"/>
          <w:color w:val="000000"/>
          <w:sz w:val="24"/>
        </w:rPr>
      </w:pPr>
      <w:r>
        <w:rPr>
          <w:rFonts w:ascii="Times New Roman;serif" w:hAnsi="Times New Roman;serif"/>
          <w:b w:val="false"/>
          <w:color w:val="000000"/>
          <w:sz w:val="24"/>
        </w:rPr>
        <w:t>Notwithstanding the above, Executive acknowledges the Company is Executive’s principal employer and that majority of Executive’s time must be dedicated to such employment. Executive will not spend less than the equivalent time of a full work week Company activities unless approved in writing by the CEO. If a potential conflict arises, Executive must inform the CEO who will make determination</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if consulting role shall continue. Further, any new consulting roles or outside commitments that take away from Executives time commitment to Company, including Board roles, must be approved by CEO.</w:t>
      </w:r>
    </w:p>
    <w:p>
      <w:pPr>
        <w:pStyle w:val="TextBody"/>
        <w:bidi w:val="0"/>
        <w:spacing w:lineRule="auto" w:line="321" w:before="157" w:after="283"/>
        <w:ind w:left="0" w:right="0" w:hanging="361"/>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 and Benefits</w:t>
      </w:r>
      <w:r>
        <w:rPr>
          <w:rFonts w:ascii="Times New Roman;serif" w:hAnsi="Times New Roman;serif"/>
          <w:b w:val="false"/>
          <w:color w:val="000000"/>
          <w:sz w:val="24"/>
        </w:rPr>
        <w:t>. In consideration for Executive’s services, the Company agrees to pay Executive compensation as follows:</w:t>
      </w:r>
    </w:p>
    <w:p>
      <w:pPr>
        <w:pStyle w:val="TextBody"/>
        <w:bidi w:val="0"/>
        <w:spacing w:lineRule="auto" w:line="288" w:before="159" w:after="283"/>
        <w:ind w:left="0" w:right="0" w:hanging="35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Salary</w:t>
      </w:r>
      <w:r>
        <w:rPr>
          <w:rFonts w:ascii="Times New Roman;serif" w:hAnsi="Times New Roman;serif"/>
          <w:b w:val="false"/>
          <w:color w:val="000000"/>
          <w:sz w:val="24"/>
        </w:rPr>
        <w:t>. Executive’s annual base salary will be $525,000 to be paid according to the Company’s</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payroll practices applicable to similarly situated employees. Executive’s base compensation will be subject to annual review by the Board of Directors and the Compensation Committee who shall</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review and may increase Executive’s base compensation for the following year in the sole discretion of the Company.</w:t>
      </w:r>
    </w:p>
    <w:p>
      <w:pPr>
        <w:pStyle w:val="TextBody"/>
        <w:bidi w:val="0"/>
        <w:spacing w:lineRule="auto" w:line="321" w:before="153" w:after="283"/>
        <w:ind w:left="0" w:right="0" w:hanging="3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xml:space="preserve">. Executive shall be entitled to participate in an annual bonus plan each calendar year. The award of this annual bonus (the “Annual Bonus”) requires realization of certain profitability or other financial objectives by the Company, business initiatives and other criteria to be determined by the Board of Directors or its designee and the Executive’s manager. The Annual Bonus, if any,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9700"/>
                <wp:effectExtent l="0" t="0" r="0" b="0"/>
                <wp:wrapNone/>
                <wp:docPr id="58" name="Frame5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321" w:before="153" w:after="283"/>
        <w:jc w:val="left"/>
        <w:rPr>
          <w:rFonts w:ascii="Times New Roman;serif" w:hAnsi="Times New Roman;serif"/>
          <w:b w:val="false"/>
          <w:color w:val="000000"/>
          <w:sz w:val="24"/>
        </w:rPr>
      </w:pPr>
      <w:r>
        <w:rPr>
          <w:rFonts w:ascii="Times New Roman;serif" w:hAnsi="Times New Roman;serif"/>
          <w:b w:val="false"/>
          <w:color w:val="000000"/>
          <w:sz w:val="24"/>
        </w:rPr>
        <w:t>will be up to 50% of Executive’s current base salary in effect from time to time, and it will be earned and paid in accordance with the Company’s policies applicable to similarly situated employees.</w:t>
      </w:r>
    </w:p>
    <w:p>
      <w:pPr>
        <w:pStyle w:val="TextBody"/>
        <w:bidi w:val="0"/>
        <w:spacing w:before="0" w:after="0"/>
        <w:jc w:val="left"/>
        <w:rPr/>
      </w:pPr>
      <w:r>
        <w:rPr/>
      </w:r>
    </w:p>
    <w:p>
      <w:pPr>
        <w:pStyle w:val="TextBody"/>
        <w:bidi w:val="0"/>
        <w:spacing w:lineRule="auto" w:line="321" w:before="80" w:after="283"/>
        <w:jc w:val="left"/>
        <w:rPr/>
      </w:pPr>
      <w:r>
        <w:rPr>
          <w:rFonts w:ascii="Times New Roman;serif" w:hAnsi="Times New Roman;serif"/>
          <w:b w:val="false"/>
          <w:color w:val="000000"/>
          <w:sz w:val="24"/>
        </w:rPr>
        <w:t xml:space="preserve">However, subject to the terms of </w:t>
      </w:r>
      <w:r>
        <w:rPr>
          <w:rFonts w:ascii="Times New Roman;serif" w:hAnsi="Times New Roman;serif"/>
          <w:b w:val="false"/>
          <w:color w:val="000000"/>
          <w:sz w:val="24"/>
          <w:u w:val="single"/>
        </w:rPr>
        <w:t>Section 4</w:t>
      </w:r>
      <w:r>
        <w:rPr>
          <w:rFonts w:ascii="Times New Roman;serif" w:hAnsi="Times New Roman;serif"/>
          <w:b w:val="false"/>
          <w:color w:val="000000"/>
          <w:sz w:val="24"/>
        </w:rPr>
        <w:t>, Executive need not be employed by the Company at the time of any such Annual Bonus payment in order to be eligible for any such payment.</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Executive and the Company agree that the payable amount of an Annual Bonus, if any, in any year, may be greater than or less than an amount referenced in this Section in the event that actual performance either exceeds or does not meet the Annual Bonus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objectives, as the case may be, as determined by the Company.</w:t>
      </w:r>
    </w:p>
    <w:p>
      <w:pPr>
        <w:pStyle w:val="TextBody"/>
        <w:bidi w:val="0"/>
        <w:spacing w:lineRule="auto" w:line="321" w:before="202" w:after="283"/>
        <w:ind w:left="0" w:right="0" w:hanging="3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Reimbursement of Expenses</w:t>
      </w:r>
      <w:r>
        <w:rPr>
          <w:rFonts w:ascii="Times New Roman;serif" w:hAnsi="Times New Roman;serif"/>
          <w:b w:val="false"/>
          <w:color w:val="000000"/>
          <w:sz w:val="24"/>
        </w:rPr>
        <w:t>. The Company shall reimburse Executive for any reasonable business expenses incurred by Executive in the ordinary course of the Company’s business in accordance with the Company’s reimbursement policies then in effect. These expenses shall be substantiated by invoices and receipts, to be submitted by Executive within 30 days after incurrence.</w:t>
      </w:r>
    </w:p>
    <w:p>
      <w:pPr>
        <w:pStyle w:val="TextBody"/>
        <w:bidi w:val="0"/>
        <w:spacing w:lineRule="auto" w:line="288" w:before="157" w:after="283"/>
        <w:ind w:left="0" w:right="0" w:hanging="3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Benefits</w:t>
      </w:r>
      <w:r>
        <w:rPr>
          <w:rFonts w:ascii="Times New Roman;serif" w:hAnsi="Times New Roman;serif"/>
          <w:b w:val="false"/>
          <w:color w:val="000000"/>
          <w:sz w:val="24"/>
        </w:rPr>
        <w:t>. During the Term, Executive shall be entitled to participate in all benefits of employment</w:t>
      </w:r>
    </w:p>
    <w:p>
      <w:pPr>
        <w:pStyle w:val="TextBody"/>
        <w:bidi w:val="0"/>
        <w:spacing w:lineRule="auto" w:line="321" w:before="45" w:after="283"/>
        <w:jc w:val="left"/>
        <w:rPr>
          <w:rFonts w:ascii="Times New Roman;serif" w:hAnsi="Times New Roman;serif"/>
          <w:b w:val="false"/>
          <w:color w:val="000000"/>
          <w:sz w:val="24"/>
        </w:rPr>
      </w:pPr>
      <w:r>
        <w:rPr>
          <w:rFonts w:ascii="Times New Roman;serif" w:hAnsi="Times New Roman;serif"/>
          <w:b w:val="false"/>
          <w:color w:val="000000"/>
          <w:sz w:val="24"/>
        </w:rPr>
        <w:t>generally available to the Company’s other similarly situated employees when and as such benefits, if any, become available and Executive becomes eligible for them, including any vacation, sick</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leave, medical, dental, life and disability insurance benefits, long term incentive plan and/or profit-sharing plan. In addition, in connection with Executive’s employment, Executive has received and may in the future be eligible to receive, from time to time, grants of stock options or other equity-based incentives that will vest over time or based on performance milestones or other criteria. The</w:t>
      </w:r>
    </w:p>
    <w:p>
      <w:pPr>
        <w:pStyle w:val="TextBody"/>
        <w:bidi w:val="0"/>
        <w:spacing w:lineRule="auto" w:line="321" w:before="0" w:after="0"/>
        <w:jc w:val="both"/>
        <w:rPr>
          <w:rFonts w:ascii="Times New Roman;serif" w:hAnsi="Times New Roman;serif"/>
          <w:b w:val="false"/>
          <w:color w:val="000000"/>
          <w:sz w:val="24"/>
        </w:rPr>
      </w:pPr>
      <w:r>
        <w:rPr>
          <w:rFonts w:ascii="Times New Roman;serif" w:hAnsi="Times New Roman;serif"/>
          <w:b w:val="false"/>
          <w:color w:val="000000"/>
          <w:sz w:val="24"/>
        </w:rPr>
        <w:t>continued vesting of all such equity incentives will be subject to Executive’s continued service to the Company through each applicable vesting date, and in the event Executive’s continued service to the Company is terminated for any reason, all further vesting of such equity incentives will cease as of the date of such termination. The equity incentives will be subject to the terms and conditions of the Company’s Amended and Restated Equity Incentive Plan, as amended (the “Plan”), and a stock</w:t>
      </w:r>
    </w:p>
    <w:p>
      <w:pPr>
        <w:pStyle w:val="TextBody"/>
        <w:bidi w:val="0"/>
        <w:spacing w:lineRule="auto" w:line="321" w:before="0" w:after="0"/>
        <w:jc w:val="both"/>
        <w:rPr>
          <w:rFonts w:ascii="Times New Roman;serif" w:hAnsi="Times New Roman;serif"/>
          <w:b w:val="false"/>
          <w:color w:val="000000"/>
          <w:sz w:val="24"/>
        </w:rPr>
      </w:pPr>
      <w:r>
        <w:rPr>
          <w:rFonts w:ascii="Times New Roman;serif" w:hAnsi="Times New Roman;serif"/>
          <w:b w:val="false"/>
          <w:color w:val="000000"/>
          <w:sz w:val="24"/>
        </w:rPr>
        <w:t>option agreement (or other type of agreement for equity incentives that are not stock options) to be entered into between Executive and the Company. That agreement will include such purchase,</w:t>
      </w:r>
    </w:p>
    <w:p>
      <w:pPr>
        <w:pStyle w:val="TextBody"/>
        <w:bidi w:val="0"/>
        <w:spacing w:lineRule="auto" w:line="321" w:before="0" w:after="0"/>
        <w:jc w:val="both"/>
        <w:rPr>
          <w:rFonts w:ascii="Times New Roman;serif" w:hAnsi="Times New Roman;serif"/>
          <w:b w:val="false"/>
          <w:color w:val="000000"/>
          <w:sz w:val="24"/>
        </w:rPr>
      </w:pPr>
      <w:r>
        <w:rPr>
          <w:rFonts w:ascii="Times New Roman;serif" w:hAnsi="Times New Roman;serif"/>
          <w:b w:val="false"/>
          <w:color w:val="000000"/>
          <w:sz w:val="24"/>
        </w:rPr>
        <w:t>forfeiture, vesting and other customary provisions as may be required under such equity incentive plan or otherwise approved by the Board of Directors.</w:t>
      </w:r>
    </w:p>
    <w:p>
      <w:pPr>
        <w:pStyle w:val="TextBody"/>
        <w:bidi w:val="0"/>
        <w:spacing w:lineRule="auto" w:line="321" w:before="153" w:after="283"/>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Term, Executive shall be entitled to the reasonable use of unlimited vacation per the Company’s Discretionary Vacation Policy. Such vacation time will be taken in accordance with the Company's vacation policies. Executive will use his reasonable efforts to schedule vacation periods to minimize disruption of the Company’s business. Vacation time will not be accrued.</w:t>
      </w:r>
    </w:p>
    <w:p>
      <w:pPr>
        <w:pStyle w:val="TextBody"/>
        <w:bidi w:val="0"/>
        <w:spacing w:lineRule="auto" w:line="288" w:before="159" w:after="283"/>
        <w:ind w:left="0" w:right="0" w:hanging="358"/>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Withholding</w:t>
      </w:r>
      <w:r>
        <w:rPr>
          <w:rFonts w:ascii="Times New Roman;serif" w:hAnsi="Times New Roman;serif"/>
          <w:b w:val="false"/>
          <w:color w:val="000000"/>
          <w:sz w:val="24"/>
        </w:rPr>
        <w:t>. Executive authorizes the Company to make any and all applicable withholdings of</w:t>
      </w:r>
    </w:p>
    <w:p>
      <w:pPr>
        <w:pStyle w:val="TextBody"/>
        <w:bidi w:val="0"/>
        <w:spacing w:lineRule="auto" w:line="321" w:before="44" w:after="283"/>
        <w:jc w:val="both"/>
        <w:rPr>
          <w:rFonts w:ascii="Times New Roman;serif" w:hAnsi="Times New Roman;serif"/>
          <w:b w:val="false"/>
          <w:color w:val="000000"/>
          <w:sz w:val="24"/>
        </w:rPr>
      </w:pPr>
      <w:r>
        <w:rPr>
          <w:rFonts w:ascii="Times New Roman;serif" w:hAnsi="Times New Roman;serif"/>
          <w:b w:val="false"/>
          <w:color w:val="000000"/>
          <w:sz w:val="24"/>
        </w:rPr>
        <w:t>federal and state taxes and other items the Company may be required to deduct, as such items may exist under this Agreement or otherwise from time to time.</w:t>
      </w:r>
    </w:p>
    <w:p>
      <w:pPr>
        <w:pStyle w:val="TextBody"/>
        <w:bidi w:val="0"/>
        <w:spacing w:lineRule="auto" w:line="321" w:before="159" w:after="283"/>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Freedom to Contract</w:t>
      </w:r>
      <w:r>
        <w:rPr>
          <w:rFonts w:ascii="Times New Roman;serif" w:hAnsi="Times New Roman;serif"/>
          <w:b w:val="false"/>
          <w:color w:val="000000"/>
          <w:sz w:val="24"/>
        </w:rPr>
        <w:t>. The Executive represents and warrants that Executive has the right to enter into this Agreement, that Executive is eligible for employment by the Company and that no other written or verbal agreements exist that would be in conflict with or prevent performance of</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9700"/>
                <wp:effectExtent l="0" t="0" r="0" b="0"/>
                <wp:wrapNone/>
                <wp:docPr id="59" name="Frame5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any portion of this Agreement. The Executive further agrees to hold the Company harmless from any and all liability arising out of any contractual obligations entered into by the Executive that would prevent Executive from performing the services Executive is required to perform under this Agreement.</w:t>
      </w:r>
    </w:p>
    <w:p>
      <w:pPr>
        <w:pStyle w:val="TextBody"/>
        <w:bidi w:val="0"/>
        <w:spacing w:lineRule="auto" w:line="321" w:before="159" w:after="283"/>
        <w:ind w:left="0" w:right="0" w:hanging="36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The Parties intend that the benefits provided in this Agreement qualify for the exceptions from coverage under Section 409A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xml:space="preserve">) (and the regulations or other applicable guidance issued pursuant to the Code), such as the exception for “short-term deferrals” under Treas. Reg. Section 1.409A-1(b)(4) and the exception for “involuntary” separation pay plans under Treas. Reg. Section 1.409A-1(b)(9)(iii). To the extent Code Section 409A is applicable to this Agreement and the benefits provided hereunder, the Company intends that this Agreement comply with the deferral, payout and other limitations and restrictions imposed under Code Section 409A. Without limiting the generality of the foregoing and notwithstanding any other provision of this Agreement to the contrary, (i) with respect to any payments and benefits under this Agreement to which Code Section 409A applies, all references in this Agreement to the termination date or other termination of Executive’s employment are intended to mean Executive’s “separation from service” within the meaning of Code Section 409A(a)(2)(A)(i), and (ii) each payment made under this Agreement shall be treated as a separate payment and the right to a series of installment payments under this Agreement, including, without limitation, under </w:t>
      </w:r>
      <w:r>
        <w:rPr>
          <w:rFonts w:ascii="Times New Roman;serif" w:hAnsi="Times New Roman;serif"/>
          <w:b w:val="false"/>
          <w:color w:val="000000"/>
          <w:sz w:val="24"/>
          <w:u w:val="single"/>
        </w:rPr>
        <w:t>Sections 4(c)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rFonts w:ascii="Times New Roman;serif" w:hAnsi="Times New Roman;serif"/>
          <w:b w:val="false"/>
          <w:color w:val="000000"/>
          <w:sz w:val="24"/>
        </w:rPr>
        <w:t>, shall be treated as a right to a series of separate payments. In addition, if Executive is a “specified employee” within the meaning of Code Section 409A at the time of Executive’s separation from service, then to the extent necessary to avoid subjecting Executive to the imposition of any additional tax under Code Section 409A, amounts that would otherwise be payable under this Agreement during the six- month period immediately following Executive’s “separation from service” shall not be paid to Executive during such period, but shall instead be accumulated and paid to Executive in a lump sum on the first business day after the earlier of the date that is six months following Executive’s separation from service. Notwithstanding the foregoing, no provision of this Agreement shall be interpreted or construed to transfer any liability for failure to comply with Section 409A from Executive or any other individual to the Company or any of its Affiliates.</w:t>
      </w:r>
    </w:p>
    <w:p>
      <w:pPr>
        <w:pStyle w:val="TextBody"/>
        <w:bidi w:val="0"/>
        <w:spacing w:lineRule="auto" w:line="288" w:before="159" w:after="283"/>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321" w:before="204" w:after="283"/>
        <w:ind w:left="0" w:right="0" w:hanging="3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w:t>
      </w:r>
      <w:r>
        <w:rPr>
          <w:rFonts w:ascii="Times New Roman;serif" w:hAnsi="Times New Roman;serif"/>
          <w:b w:val="false"/>
          <w:color w:val="000000"/>
          <w:sz w:val="24"/>
        </w:rPr>
        <w:t>. The term of this Agreement shall be two (2) years commencing on the Effective Date, unless terminated earlier pursuant to the terms herein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Unless</w:t>
      </w:r>
    </w:p>
    <w:p>
      <w:pPr>
        <w:pStyle w:val="TextBody"/>
        <w:bidi w:val="0"/>
        <w:spacing w:lineRule="auto" w:line="321" w:before="0" w:after="0"/>
        <w:jc w:val="left"/>
        <w:rPr/>
      </w:pPr>
      <w:r>
        <w:rPr>
          <w:rFonts w:ascii="Times New Roman;serif" w:hAnsi="Times New Roman;serif"/>
          <w:b w:val="false"/>
          <w:color w:val="000000"/>
          <w:sz w:val="24"/>
        </w:rPr>
        <w:t>earlier terminated pursuant to the terms hereof, the Initial Term shall be automatically extended for additional one-year terms (each, a “</w:t>
      </w:r>
      <w:r>
        <w:rPr>
          <w:rFonts w:ascii="Times New Roman;serif" w:hAnsi="Times New Roman;serif"/>
          <w:b w:val="false"/>
          <w:color w:val="000000"/>
          <w:sz w:val="24"/>
          <w:u w:val="single"/>
        </w:rPr>
        <w:t>Renewal Term</w:t>
      </w:r>
      <w:r>
        <w:rPr>
          <w:color w:val="000000"/>
        </w:rPr>
        <w:t>”</w:t>
      </w:r>
      <w:r>
        <w:rPr>
          <w:rFonts w:ascii="Times New Roman;serif" w:hAnsi="Times New Roman;serif"/>
          <w:b w:val="false"/>
          <w:color w:val="000000"/>
          <w:sz w:val="24"/>
        </w:rPr>
        <w:t>) upon the expiration of the Initial Term or any Renewal Term, unless the Company or Executive delivers to the other at least thirty (30) days prior to the expiration of the Initial Term or the then-current Renewal Term, as the case may be,</w:t>
      </w:r>
    </w:p>
    <w:p>
      <w:pPr>
        <w:pStyle w:val="TextBody"/>
        <w:bidi w:val="0"/>
        <w:spacing w:lineRule="auto" w:line="321" w:before="0" w:after="0"/>
        <w:jc w:val="left"/>
        <w:rPr/>
      </w:pPr>
      <w:r>
        <w:rPr>
          <w:rFonts w:ascii="Times New Roman;serif" w:hAnsi="Times New Roman;serif"/>
          <w:b w:val="false"/>
          <w:color w:val="000000"/>
          <w:sz w:val="24"/>
        </w:rPr>
        <w:t xml:space="preserve">a written notice specifying that the term of Executive’s employment will not be renewed at the end of the Initial Term or the then-current Renewal Term, as the case may be. The Initial Term or, in the event that Executive’s employment hereunder is terminated earlier pursuant to the terms hereof or renewed pursuant to this </w:t>
      </w:r>
      <w:r>
        <w:rPr>
          <w:rFonts w:ascii="Times New Roman;serif" w:hAnsi="Times New Roman;serif"/>
          <w:b w:val="false"/>
          <w:color w:val="000000"/>
          <w:sz w:val="24"/>
          <w:u w:val="single"/>
        </w:rPr>
        <w:t>Section 4(a)</w:t>
      </w:r>
      <w:r>
        <w:rPr>
          <w:rFonts w:ascii="Times New Roman;serif" w:hAnsi="Times New Roman;serif"/>
          <w:b w:val="false"/>
          <w:color w:val="000000"/>
          <w:sz w:val="24"/>
        </w:rPr>
        <w:t>, such shorter or longer period, as the case may be, is referred to herein as the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9700"/>
                <wp:effectExtent l="0" t="0" r="0" b="0"/>
                <wp:wrapNone/>
                <wp:docPr id="60" name="Frame6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21" w:before="80" w:after="283"/>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Discharge For Cause.</w:t>
      </w:r>
      <w:r>
        <w:rPr>
          <w:color w:val="000000"/>
        </w:rPr>
        <w:t xml:space="preserve"> </w:t>
      </w:r>
      <w:r>
        <w:rPr>
          <w:rFonts w:ascii="Times New Roman;serif" w:hAnsi="Times New Roman;serif"/>
          <w:b w:val="false"/>
          <w:color w:val="000000"/>
          <w:sz w:val="24"/>
        </w:rPr>
        <w:t xml:space="preserve">If Executive’s employment is terminated by the Company as a Discharge for Cause, the Company has no further obligation of compensation to the Executive hereunder, except for payment of any base salary compensation, any accrued or vested benefits, and out of pocket expense reimbursement earned (pursuant to </w:t>
      </w:r>
      <w:r>
        <w:rPr>
          <w:rFonts w:ascii="Times New Roman;serif" w:hAnsi="Times New Roman;serif"/>
          <w:b w:val="false"/>
          <w:color w:val="000000"/>
          <w:sz w:val="24"/>
          <w:u w:val="single"/>
        </w:rPr>
        <w:t>Sections 3(a)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respectively) and unpaid through the effective date of termination, which, except as otherwise required by law, shall be a date selected at the discretion of the Company. Executive will no longer be eligible for bonus for period prior to termination.</w:t>
      </w:r>
    </w:p>
    <w:p>
      <w:pPr>
        <w:pStyle w:val="TextBody"/>
        <w:bidi w:val="0"/>
        <w:spacing w:lineRule="auto" w:line="321" w:before="157" w:after="283"/>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Discharge Without Cause</w:t>
      </w:r>
      <w:r>
        <w:rPr>
          <w:rFonts w:ascii="Times New Roman;serif" w:hAnsi="Times New Roman;serif"/>
          <w:b w:val="false"/>
          <w:color w:val="000000"/>
          <w:sz w:val="24"/>
        </w:rPr>
        <w:t xml:space="preserve">. If Executive’s employment is terminated by the Company as a Discharge Without Cause, the Company shall continue, subject to Executive’s compliance with the obligations set forth in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rFonts w:ascii="Times New Roman;serif" w:hAnsi="Times New Roman;serif"/>
          <w:b w:val="false"/>
          <w:color w:val="000000"/>
          <w:sz w:val="24"/>
        </w:rPr>
        <w:t xml:space="preserve">, to pay to Executive an amount equal to Executive’s base salary, as provided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at the annual rate in effect at the time of termination, for a period equal to six (6) months from the date of such termination (“</w:t>
      </w:r>
      <w:r>
        <w:rPr>
          <w:rFonts w:ascii="Times New Roman;serif" w:hAnsi="Times New Roman;serif"/>
          <w:b w:val="false"/>
          <w:color w:val="000000"/>
          <w:sz w:val="24"/>
          <w:u w:val="single"/>
        </w:rPr>
        <w:t>Without Cause Severance Pay</w:t>
      </w:r>
      <w:r>
        <w:rPr>
          <w:color w:val="000000"/>
        </w:rPr>
        <w:t>”</w:t>
      </w:r>
      <w:r>
        <w:rPr>
          <w:rFonts w:ascii="Times New Roman;serif" w:hAnsi="Times New Roman;serif"/>
          <w:b w:val="false"/>
          <w:color w:val="000000"/>
          <w:sz w:val="24"/>
        </w:rPr>
        <w:t xml:space="preserve">). Without Cause Severance Pay shall also include, in addition to the foregoing, all amounts of base salary compensation, any accrued or vested benefits, and expense reimbursement earned to the effective date of termination but not yet paid by the Company. In addition, if the Executive is terminated in a Discharge Without Cause in the fourth calendar quarter of a year and the Executive and Company achieves the financial objectives on which Executive’s Annual Bonus for such year is based, then Executive shall be eligible to receive a pro-rata share of the Annual Bonus for such (pro-rata based on number of days Executive is employed by the Company in the year of his termination). Other than the foregoing, Executive shall not be entitled to any compensation hereunder for subsequent periods upon Executive’s termination of employment upon a Discharge Without Cause. Without Cause Severance Pay shall be payable to Executive in accordance with the Company’s general payroll practices as the same may exist from time to time. Without Cause Severance Pay will be paid to Executive in equal installments in accordance with the Company’s regular payroll schedule, commencing on the first normal payroll date of the Company following the Release Effective Date (as defined below) and continuing for the applicable period thereafter, with any amounts that otherwise would have been payable prior to the Release Effective Date being added to the initial installment. Other than Executive’s claims for earned amounts required to be paid, as a condition to receiving Without Cause Severance Pay, Executive shall execute a release of claims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and the effective date of such release shall be referred to herein as the “</w:t>
      </w:r>
      <w:r>
        <w:rPr>
          <w:rFonts w:ascii="Times New Roman;serif" w:hAnsi="Times New Roman;serif"/>
          <w:b w:val="false"/>
          <w:color w:val="000000"/>
          <w:sz w:val="24"/>
          <w:u w:val="single"/>
        </w:rPr>
        <w:t>Release Effective Date</w:t>
      </w:r>
      <w:r>
        <w:rPr>
          <w:color w:val="000000"/>
        </w:rPr>
        <w:t>”</w:t>
      </w:r>
      <w:r>
        <w:rPr>
          <w:rFonts w:ascii="Times New Roman;serif" w:hAnsi="Times New Roman;serif"/>
          <w:b w:val="false"/>
          <w:color w:val="000000"/>
          <w:sz w:val="24"/>
        </w:rPr>
        <w:t>) within 30 days following the date of Executive’s Discharge Without Cause.</w:t>
      </w:r>
    </w:p>
    <w:p>
      <w:pPr>
        <w:pStyle w:val="TextBody"/>
        <w:bidi w:val="0"/>
        <w:spacing w:lineRule="auto" w:line="288" w:before="205" w:after="283"/>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Resignation For Good Reason</w:t>
      </w:r>
      <w:r>
        <w:rPr>
          <w:rFonts w:ascii="Times New Roman;serif" w:hAnsi="Times New Roman;serif"/>
          <w:b w:val="false"/>
          <w:color w:val="000000"/>
          <w:sz w:val="24"/>
        </w:rPr>
        <w:t>. Executive’s employment may be immediately terminated</w:t>
      </w:r>
    </w:p>
    <w:p>
      <w:pPr>
        <w:pStyle w:val="TextBody"/>
        <w:bidi w:val="0"/>
        <w:spacing w:lineRule="auto" w:line="321" w:before="43" w:after="283"/>
        <w:jc w:val="both"/>
        <w:rPr/>
      </w:pPr>
      <w:r>
        <w:rPr>
          <w:rFonts w:ascii="Times New Roman;serif" w:hAnsi="Times New Roman;serif"/>
          <w:b w:val="false"/>
          <w:color w:val="000000"/>
          <w:sz w:val="24"/>
        </w:rPr>
        <w:t xml:space="preserve">by Executive, subject to the notice and time limitations set forth in </w:t>
      </w:r>
      <w:r>
        <w:rPr>
          <w:rFonts w:ascii="Times New Roman;serif" w:hAnsi="Times New Roman;serif"/>
          <w:b w:val="false"/>
          <w:color w:val="000000"/>
          <w:sz w:val="24"/>
          <w:u w:val="single"/>
        </w:rPr>
        <w:t>Section 1(o)</w:t>
      </w:r>
      <w:r>
        <w:rPr>
          <w:rFonts w:ascii="Times New Roman;serif" w:hAnsi="Times New Roman;serif"/>
          <w:b w:val="false"/>
          <w:color w:val="000000"/>
          <w:sz w:val="24"/>
        </w:rPr>
        <w:t xml:space="preserve">, upon written notice to the Company of a Resignation For Good Reason. Upon termination pursuant to this </w:t>
      </w:r>
      <w:r>
        <w:rPr>
          <w:rFonts w:ascii="Times New Roman;serif" w:hAnsi="Times New Roman;serif"/>
          <w:b w:val="false"/>
          <w:color w:val="000000"/>
          <w:sz w:val="24"/>
          <w:u w:val="single"/>
        </w:rPr>
        <w:t>Section 4(d)</w:t>
      </w:r>
      <w:r>
        <w:rPr>
          <w:rFonts w:ascii="Times New Roman;serif" w:hAnsi="Times New Roman;serif"/>
          <w:b w:val="false"/>
          <w:color w:val="000000"/>
          <w:sz w:val="24"/>
        </w:rPr>
        <w:t>, the Company shall continue to pay Executive an amount equal to Executive’s base salary, as</w:t>
      </w:r>
    </w:p>
    <w:p>
      <w:pPr>
        <w:pStyle w:val="TextBody"/>
        <w:bidi w:val="0"/>
        <w:spacing w:lineRule="auto" w:line="321" w:before="0" w:after="0"/>
        <w:jc w:val="left"/>
        <w:rPr/>
      </w:pPr>
      <w:r>
        <w:rPr>
          <w:rFonts w:ascii="Times New Roman;serif" w:hAnsi="Times New Roman;serif"/>
          <w:b w:val="false"/>
          <w:color w:val="000000"/>
          <w:sz w:val="24"/>
        </w:rPr>
        <w:t xml:space="preserve">provided in </w:t>
      </w:r>
      <w:r>
        <w:rPr>
          <w:rFonts w:ascii="Times New Roman;serif" w:hAnsi="Times New Roman;serif"/>
          <w:b w:val="false"/>
          <w:color w:val="000000"/>
          <w:sz w:val="24"/>
          <w:u w:val="single"/>
        </w:rPr>
        <w:t>Section 3(a)</w:t>
      </w:r>
      <w:r>
        <w:rPr>
          <w:rFonts w:ascii="Times New Roman;serif" w:hAnsi="Times New Roman;serif"/>
          <w:b w:val="false"/>
          <w:color w:val="000000"/>
          <w:sz w:val="24"/>
        </w:rPr>
        <w:t>, at the annual rate in effect at the time of termination, for a period equal to six (6) months from the date of such termination (“</w:t>
      </w:r>
      <w:r>
        <w:rPr>
          <w:rFonts w:ascii="Times New Roman;serif" w:hAnsi="Times New Roman;serif"/>
          <w:b w:val="false"/>
          <w:color w:val="000000"/>
          <w:sz w:val="24"/>
          <w:u w:val="single"/>
        </w:rPr>
        <w:t>Good Reason Severance Pay</w:t>
      </w:r>
      <w:r>
        <w:rPr>
          <w:color w:val="000000"/>
        </w:rPr>
        <w:t>”</w:t>
      </w:r>
      <w:r>
        <w:rPr>
          <w:rFonts w:ascii="Times New Roman;serif" w:hAnsi="Times New Roman;serif"/>
          <w:b w:val="false"/>
          <w:color w:val="000000"/>
          <w:sz w:val="24"/>
        </w:rPr>
        <w:t>). Good Reason Severance Pay shall also include, in addition to the foregoing, all amounts of base salary compensation, any accrued or vested benefits, and expense reimbursement earned to the effective date of termination but not yet paid by the Company. Other than the foregoing, Executive shall not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9700"/>
                <wp:effectExtent l="0" t="0" r="0" b="0"/>
                <wp:wrapNone/>
                <wp:docPr id="61" name="Frame6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24"/>
        </w:rPr>
      </w:pPr>
      <w:r>
        <w:rPr>
          <w:rFonts w:ascii="Times New Roman;serif" w:hAnsi="Times New Roman;serif"/>
          <w:b w:val="false"/>
          <w:color w:val="000000"/>
          <w:sz w:val="24"/>
        </w:rPr>
        <w:t>be entitled to any payment upon Executive’s termination of employment upon a</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Resignation For Good Reason. Good Reason Severance Pay shall be payable in accordance with the Company’s general payroll practices as the same may exist from time to time. Good Reason</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Severance Pay will be paid to Executive in equal installments in accordance with the Company’s</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regular payroll schedule, commencing on the first normal payroll date of the Company following the Release Effective Date and continuing for the applicable period thereafter, with any amounts that otherwise would have been payable prior to such effective date being added to the initial installment.</w:t>
      </w:r>
    </w:p>
    <w:p>
      <w:pPr>
        <w:pStyle w:val="TextBody"/>
        <w:bidi w:val="0"/>
        <w:spacing w:lineRule="atLeast" w:line="273" w:before="0" w:after="0"/>
        <w:jc w:val="left"/>
        <w:rPr>
          <w:rFonts w:ascii="Times New Roman;serif" w:hAnsi="Times New Roman;serif"/>
          <w:b w:val="false"/>
          <w:color w:val="000000"/>
          <w:sz w:val="24"/>
        </w:rPr>
      </w:pPr>
      <w:r>
        <w:rPr>
          <w:rFonts w:ascii="Times New Roman;serif" w:hAnsi="Times New Roman;serif"/>
          <w:b w:val="false"/>
          <w:color w:val="000000"/>
          <w:sz w:val="24"/>
        </w:rPr>
        <w:t>Other than Executive’s claims for earned amounts required to be paid, as a condition</w:t>
      </w:r>
    </w:p>
    <w:p>
      <w:pPr>
        <w:pStyle w:val="TextBody"/>
        <w:bidi w:val="0"/>
        <w:spacing w:lineRule="auto" w:line="321" w:before="46" w:after="283"/>
        <w:jc w:val="left"/>
        <w:rPr>
          <w:rFonts w:ascii="Times New Roman;serif" w:hAnsi="Times New Roman;serif"/>
          <w:b w:val="false"/>
          <w:color w:val="000000"/>
          <w:sz w:val="24"/>
        </w:rPr>
      </w:pPr>
      <w:r>
        <w:rPr>
          <w:rFonts w:ascii="Times New Roman;serif" w:hAnsi="Times New Roman;serif"/>
          <w:b w:val="false"/>
          <w:color w:val="000000"/>
          <w:sz w:val="24"/>
        </w:rPr>
        <w:t>to receiving Good Reason Severance Pay, Executive shall execute a Release within 30 days following the date of Executive’s Resignation For Good Reason.</w:t>
      </w:r>
    </w:p>
    <w:p>
      <w:pPr>
        <w:pStyle w:val="TextBody"/>
        <w:bidi w:val="0"/>
        <w:spacing w:lineRule="auto" w:line="321" w:before="158" w:after="283"/>
        <w:ind w:left="0" w:right="0" w:hanging="36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Termination Upon Death</w:t>
      </w:r>
      <w:r>
        <w:rPr>
          <w:rFonts w:ascii="Times New Roman;serif" w:hAnsi="Times New Roman;serif"/>
          <w:b w:val="false"/>
          <w:color w:val="000000"/>
          <w:sz w:val="24"/>
        </w:rPr>
        <w:t>. This Agreement shall be immediately terminated without action or notice by either party upon the death of Executive and without further obligation by the Company, except for payment of all amounts of base salary compensation and expense reimbursement accrued to the effective date of termination, and except as otherwise required by law.</w:t>
      </w:r>
    </w:p>
    <w:p>
      <w:pPr>
        <w:pStyle w:val="TextBody"/>
        <w:bidi w:val="0"/>
        <w:spacing w:lineRule="auto" w:line="288" w:before="158" w:after="283"/>
        <w:ind w:left="0" w:right="0" w:hanging="36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Termination Upon Permanent Disability</w:t>
      </w:r>
      <w:r>
        <w:rPr>
          <w:rFonts w:ascii="Times New Roman;serif" w:hAnsi="Times New Roman;serif"/>
          <w:b w:val="false"/>
          <w:color w:val="000000"/>
          <w:sz w:val="24"/>
        </w:rPr>
        <w:t>. Executive’s employment under this Agreement may</w:t>
      </w:r>
    </w:p>
    <w:p>
      <w:pPr>
        <w:pStyle w:val="TextBody"/>
        <w:bidi w:val="0"/>
        <w:spacing w:lineRule="auto" w:line="321" w:before="43" w:after="283"/>
        <w:jc w:val="both"/>
        <w:rPr/>
      </w:pPr>
      <w:r>
        <w:rPr>
          <w:rFonts w:ascii="Times New Roman;serif" w:hAnsi="Times New Roman;serif"/>
          <w:b w:val="false"/>
          <w:color w:val="000000"/>
          <w:sz w:val="24"/>
        </w:rPr>
        <w:t xml:space="preserve">be immediately terminated by the Company upon written notice of a termination for the permanent disability of Executive. Upon termination pursuant to this </w:t>
      </w:r>
      <w:r>
        <w:rPr>
          <w:rFonts w:ascii="Times New Roman;serif" w:hAnsi="Times New Roman;serif"/>
          <w:b w:val="false"/>
          <w:color w:val="000000"/>
          <w:sz w:val="24"/>
          <w:u w:val="single"/>
        </w:rPr>
        <w:t>Section 3(f)</w:t>
      </w:r>
      <w:r>
        <w:rPr>
          <w:rFonts w:ascii="Times New Roman;serif" w:hAnsi="Times New Roman;serif"/>
          <w:b w:val="false"/>
          <w:color w:val="000000"/>
          <w:sz w:val="24"/>
        </w:rPr>
        <w:t>, the Company shall have no further obligation to Executive, except payment of all amounts of base salary compensation and</w:t>
      </w:r>
    </w:p>
    <w:p>
      <w:pPr>
        <w:pStyle w:val="TextBody"/>
        <w:bidi w:val="0"/>
        <w:spacing w:lineRule="auto" w:line="321" w:before="0" w:after="0"/>
        <w:jc w:val="both"/>
        <w:rPr>
          <w:rFonts w:ascii="Times New Roman;serif" w:hAnsi="Times New Roman;serif"/>
          <w:b w:val="false"/>
          <w:color w:val="000000"/>
          <w:sz w:val="24"/>
        </w:rPr>
      </w:pPr>
      <w:r>
        <w:rPr>
          <w:rFonts w:ascii="Times New Roman;serif" w:hAnsi="Times New Roman;serif"/>
          <w:b w:val="false"/>
          <w:color w:val="000000"/>
          <w:sz w:val="24"/>
        </w:rPr>
        <w:t>expense reimbursement accrued to the effective date of termination, except as otherwise required by law.</w:t>
      </w:r>
    </w:p>
    <w:p>
      <w:pPr>
        <w:pStyle w:val="TextBody"/>
        <w:bidi w:val="0"/>
        <w:spacing w:lineRule="auto" w:line="321" w:before="159" w:after="283"/>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Termination by Executive other than a Resignation for Good Reason</w:t>
      </w:r>
      <w:r>
        <w:rPr>
          <w:rFonts w:ascii="Times New Roman;serif" w:hAnsi="Times New Roman;serif"/>
          <w:b w:val="false"/>
          <w:color w:val="000000"/>
          <w:sz w:val="24"/>
        </w:rPr>
        <w:t xml:space="preserve">. Executive shall have the right to terminate his employment with the Company for any reason or for no reason; </w:t>
      </w:r>
      <w:r>
        <w:rPr>
          <w:rFonts w:ascii="Times New Roman;serif" w:hAnsi="Times New Roman;serif"/>
          <w:b w:val="false"/>
          <w:i/>
          <w:color w:val="000000"/>
          <w:sz w:val="24"/>
        </w:rPr>
        <w:t>provided</w:t>
      </w:r>
      <w:r>
        <w:rPr>
          <w:rFonts w:ascii="Times New Roman;serif" w:hAnsi="Times New Roman;serif"/>
          <w:b w:val="false"/>
          <w:color w:val="000000"/>
          <w:sz w:val="24"/>
        </w:rPr>
        <w:t>, that if</w:t>
      </w:r>
    </w:p>
    <w:p>
      <w:pPr>
        <w:pStyle w:val="TextBody"/>
        <w:bidi w:val="0"/>
        <w:spacing w:lineRule="atLeast" w:line="274" w:before="0" w:after="0"/>
        <w:jc w:val="left"/>
        <w:rPr>
          <w:rFonts w:ascii="Times New Roman;serif" w:hAnsi="Times New Roman;serif"/>
          <w:b w:val="false"/>
          <w:color w:val="000000"/>
          <w:sz w:val="24"/>
        </w:rPr>
      </w:pPr>
      <w:r>
        <w:rPr>
          <w:rFonts w:ascii="Times New Roman;serif" w:hAnsi="Times New Roman;serif"/>
          <w:b w:val="false"/>
          <w:color w:val="000000"/>
          <w:sz w:val="24"/>
        </w:rPr>
        <w:t>such termination does not constitute a Resignation for Good Reason, Executive shall provide thirty</w:t>
      </w:r>
    </w:p>
    <w:p>
      <w:pPr>
        <w:pStyle w:val="TextBody"/>
        <w:bidi w:val="0"/>
        <w:spacing w:lineRule="auto" w:line="288" w:before="46" w:after="283"/>
        <w:jc w:val="left"/>
        <w:rPr>
          <w:rFonts w:ascii="Times New Roman;serif" w:hAnsi="Times New Roman;serif"/>
          <w:b w:val="false"/>
          <w:color w:val="000000"/>
          <w:sz w:val="24"/>
        </w:rPr>
      </w:pPr>
      <w:r>
        <w:rPr>
          <w:rFonts w:ascii="Times New Roman;serif" w:hAnsi="Times New Roman;serif"/>
          <w:b w:val="false"/>
          <w:color w:val="000000"/>
          <w:sz w:val="24"/>
        </w:rPr>
        <w:t>(30) days’ prior written notice to the Company of such termination. Upon termination pursuant</w:t>
      </w:r>
    </w:p>
    <w:p>
      <w:pPr>
        <w:pStyle w:val="TextBody"/>
        <w:bidi w:val="0"/>
        <w:spacing w:lineRule="auto" w:line="321" w:before="43" w:after="283"/>
        <w:jc w:val="left"/>
        <w:rPr/>
      </w:pPr>
      <w:r>
        <w:rPr>
          <w:rFonts w:ascii="Times New Roman;serif" w:hAnsi="Times New Roman;serif"/>
          <w:b w:val="false"/>
          <w:color w:val="000000"/>
          <w:sz w:val="24"/>
        </w:rPr>
        <w:t xml:space="preserve">to this </w:t>
      </w:r>
      <w:r>
        <w:rPr>
          <w:rFonts w:ascii="Times New Roman;serif" w:hAnsi="Times New Roman;serif"/>
          <w:b w:val="false"/>
          <w:color w:val="000000"/>
          <w:sz w:val="24"/>
          <w:u w:val="single"/>
        </w:rPr>
        <w:t>Section 3(g)</w:t>
      </w:r>
      <w:r>
        <w:rPr>
          <w:rFonts w:ascii="Times New Roman;serif" w:hAnsi="Times New Roman;serif"/>
          <w:b w:val="false"/>
          <w:color w:val="000000"/>
          <w:sz w:val="24"/>
        </w:rPr>
        <w:t>, the Company shall have no further obligation to Executive, except payment of all amounts of base salary compensation and expense reimbursement accrued to the effective date of termination, except as otherwise required by law.</w:t>
      </w:r>
    </w:p>
    <w:p>
      <w:pPr>
        <w:pStyle w:val="TextBody"/>
        <w:bidi w:val="0"/>
        <w:spacing w:lineRule="auto" w:line="321" w:before="158" w:after="283"/>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Non-Disclosure and Non-Use of Confidential Information</w:t>
      </w:r>
      <w:r>
        <w:rPr>
          <w:rFonts w:ascii="Times New Roman;serif" w:hAnsi="Times New Roman;serif"/>
          <w:b w:val="false"/>
          <w:color w:val="000000"/>
          <w:sz w:val="24"/>
        </w:rPr>
        <w:t>. At all times both during employment of Executive with the Company, and after Executive’s employment relationship with the Company has ended for any reason, Executive agrees that Executive will not, either directly or indirectly, nor will Executive permit any Covered Entity which is Controlled by Executive to, either directly or</w:t>
      </w:r>
    </w:p>
    <w:p>
      <w:pPr>
        <w:pStyle w:val="TextBody"/>
        <w:bidi w:val="0"/>
        <w:spacing w:lineRule="atLeast" w:line="275" w:before="0" w:after="0"/>
        <w:jc w:val="both"/>
        <w:rPr>
          <w:rFonts w:ascii="Times New Roman;serif" w:hAnsi="Times New Roman;serif"/>
          <w:b w:val="false"/>
          <w:color w:val="000000"/>
          <w:sz w:val="24"/>
        </w:rPr>
      </w:pPr>
      <w:r>
        <w:rPr>
          <w:rFonts w:ascii="Times New Roman;serif" w:hAnsi="Times New Roman;serif"/>
          <w:b w:val="false"/>
          <w:color w:val="000000"/>
          <w:sz w:val="24"/>
        </w:rPr>
        <w:t>indirectly, (i) divulge, use, disclose (in any way or in any manner, including by posting on the</w:t>
      </w:r>
    </w:p>
    <w:p>
      <w:pPr>
        <w:pStyle w:val="TextBody"/>
        <w:bidi w:val="0"/>
        <w:spacing w:lineRule="auto" w:line="321" w:before="43" w:after="283"/>
        <w:jc w:val="both"/>
        <w:rPr>
          <w:rFonts w:ascii="Times New Roman;serif" w:hAnsi="Times New Roman;serif"/>
          <w:b w:val="false"/>
          <w:color w:val="000000"/>
          <w:sz w:val="24"/>
        </w:rPr>
      </w:pPr>
      <w:r>
        <w:rPr>
          <w:rFonts w:ascii="Times New Roman;serif" w:hAnsi="Times New Roman;serif"/>
          <w:b w:val="false"/>
          <w:color w:val="000000"/>
          <w:sz w:val="24"/>
        </w:rPr>
        <w:t>Internet), reproduce, distribute, or reverse engineer or otherwise provide Confidential Information to any person, firm, corporation, reporter, author, producer or similar person or entity; (ii) take any</w:t>
      </w:r>
    </w:p>
    <w:p>
      <w:pPr>
        <w:pStyle w:val="TextBody"/>
        <w:bidi w:val="0"/>
        <w:spacing w:lineRule="atLeast" w:line="275" w:before="0" w:after="0"/>
        <w:jc w:val="both"/>
        <w:rPr>
          <w:rFonts w:ascii="Times New Roman;serif" w:hAnsi="Times New Roman;serif"/>
          <w:b w:val="false"/>
          <w:color w:val="000000"/>
          <w:sz w:val="24"/>
        </w:rPr>
      </w:pPr>
      <w:r>
        <w:rPr>
          <w:rFonts w:ascii="Times New Roman;serif" w:hAnsi="Times New Roman;serif"/>
          <w:b w:val="false"/>
          <w:color w:val="000000"/>
          <w:sz w:val="24"/>
        </w:rPr>
        <w:t>action that would make available Confidential Information to the general public in any form; (iii)</w:t>
      </w:r>
    </w:p>
    <w:p>
      <w:pPr>
        <w:pStyle w:val="TextBody"/>
        <w:bidi w:val="0"/>
        <w:spacing w:lineRule="auto" w:line="321" w:before="46"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take any action that uses Confidential Information to solicit any Customer or Prospective Customer; or (iv) take any action that uses Confidential Information for solicitation or marketing for any service or product or on Executive’s behalf or on behalf of any entity other than the Company or any of its Subsidiaries or Affiliates with which Executive may become associated, except (A) as required in connection with the performance of such Executive’s duties to the Company, (B) as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9700"/>
                <wp:effectExtent l="0" t="0" r="0" b="0"/>
                <wp:wrapNone/>
                <wp:docPr id="62" name="Frame62"/>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321" w:before="46" w:after="283"/>
        <w:jc w:val="both"/>
        <w:rPr>
          <w:rFonts w:ascii="Times New Roman;serif" w:hAnsi="Times New Roman;serif"/>
          <w:b w:val="false"/>
          <w:color w:val="000000"/>
          <w:sz w:val="24"/>
        </w:rPr>
      </w:pPr>
      <w:r>
        <w:rPr>
          <w:rFonts w:ascii="Times New Roman;serif" w:hAnsi="Times New Roman;serif"/>
          <w:b w:val="false"/>
          <w:color w:val="000000"/>
          <w:sz w:val="24"/>
        </w:rPr>
        <w:t>required to be included in any report, statement or testimony requested by any municipal, state or national regulatory body having jurisdiction over Executive or any Covered Entity which is Controlled by Executive, (C) as required in response to any summons or subpoena or in connection with any litigation, (D) to the extent necessary in order to comply with any law, order, regulation, ruling or governmental request applicable to Executive or any Covered Entity which is Controlled by Executive, (E) as required in connection with an audit by any taxing authority, or (F) as permitted by the express written consent of the Board of Directors. In the event that Executive or any such Covered Entity that is Controlled by Executive is required to disclose Confidential Information pursuant to the foregoing exceptions, Executive shall promptly notify the Company of such pending disclosure and assist the Company (at the Company’s expense) in seeking a protective order or in objecting to such request, summons or subpoena with regard to the Confidential Information. If the Company does not obtain such relief prior to the time that Executive (or such Covered Entity) is legally compelled to disclose such Confidential Information, Executive (or such Covered Entity) may disclose that portion of the Confidential Information that counsel to Executive advises that Executive is legally compelled to disclose or else stand liable for contempt or suffer censure or penalty. In such cases, Executive shall promptly provide the Company with a copy of the</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Confidential Information so disclosed. This provision applies without limitation to unauthorized use of Confidential Information in any medium, including film, videotape, audiotape and writings of any kind (including books, articles, e-mails, texts, blogs and websites).</w:t>
      </w:r>
    </w:p>
    <w:p>
      <w:pPr>
        <w:pStyle w:val="TextBody"/>
        <w:bidi w:val="0"/>
        <w:spacing w:lineRule="auto" w:line="321" w:before="154" w:after="283"/>
        <w:ind w:left="0" w:right="0" w:hanging="36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Other Agreements</w:t>
      </w:r>
      <w:r>
        <w:rPr>
          <w:rFonts w:ascii="Times New Roman;serif" w:hAnsi="Times New Roman;serif"/>
          <w:b w:val="false"/>
          <w:color w:val="000000"/>
          <w:sz w:val="24"/>
        </w:rPr>
        <w:t>. In addition to this Agreement, upon commencement of employment with the Company, Executive agrees to enter into and abide by the Company’s other standard agreements and Company policies that all employees are required to enter into and follow upon commencement of employment, including the Company’s standard form of “At Will Employment, Confidential</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Invention Assignment and Arbitration Agreement” (the “At Will Employment Agreement”). This Agreement and the At Will Employment Agreement are intended to be read</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together, as far as practicable, as one agreement; however, in the event of a conflict between this Agreement and the At Will Employment Agreement, the terms of this Agreement shall control and will be deemed to supersede the associated conflicting term in the At Will Employment</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Agreement. Any termination of this Agreement shall not, in itself, terminate the At Will Employment Agreement.</w:t>
      </w:r>
    </w:p>
    <w:p>
      <w:pPr>
        <w:pStyle w:val="TextBody"/>
        <w:bidi w:val="0"/>
        <w:spacing w:lineRule="auto" w:line="288" w:before="156" w:after="283"/>
        <w:ind w:left="0" w:right="0" w:hanging="360"/>
        <w:jc w:val="left"/>
        <w:rPr/>
      </w:pPr>
      <w:r>
        <w:rPr>
          <w:rFonts w:ascii="Times New Roman;serif" w:hAnsi="Times New Roman;serif"/>
          <w:b w:val="false"/>
          <w:color w:val="000000"/>
          <w:sz w:val="24"/>
        </w:rPr>
        <w:t>j.</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If Executive ceases to work for the Company for any reason,</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Executive shall (i) return to the Company all Company property and Confidential Information (and will not keep such Confidential Information in his possession, or recreate or deliver it to anyone else) in any form or media and all copies thereof, (ii) return all Company owned Property including all Confidential Information from any personal devices Executive owns or uses outside the Company and delete all Confidential Information after returning such Confidential Information to the Company from any personal devices Executive owns or uses outside the Company, and (iii)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participate in an exit interview for the purpose of ensuring that the Confidential Information and business relationships will not be put at risk in any new position Executive may assume. If Executive uses a personal device against the advice of the Company to conduct business, that device shall be</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9700"/>
                <wp:effectExtent l="0" t="0" r="0" b="0"/>
                <wp:wrapNone/>
                <wp:docPr id="63" name="Frame6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321" w:before="80" w:after="283"/>
        <w:jc w:val="left"/>
        <w:rPr>
          <w:rFonts w:ascii="Times New Roman;serif" w:hAnsi="Times New Roman;serif"/>
          <w:b w:val="false"/>
          <w:color w:val="000000"/>
          <w:sz w:val="24"/>
        </w:rPr>
      </w:pPr>
      <w:r>
        <w:rPr>
          <w:rFonts w:ascii="Times New Roman;serif" w:hAnsi="Times New Roman;serif"/>
          <w:b w:val="false"/>
          <w:color w:val="000000"/>
          <w:sz w:val="24"/>
        </w:rPr>
        <w:t>subject to an inspection by the Company, at a location it designates, to ensure all Confidential Information has been properly removed.</w:t>
      </w:r>
    </w:p>
    <w:p>
      <w:pPr>
        <w:pStyle w:val="TextBody"/>
        <w:bidi w:val="0"/>
        <w:spacing w:lineRule="auto" w:line="288" w:before="159" w:after="283"/>
        <w:ind w:left="0" w:right="0" w:hanging="360"/>
        <w:jc w:val="left"/>
        <w:rPr/>
      </w:pPr>
      <w:r>
        <w:rPr>
          <w:rFonts w:ascii="Times New Roman;serif" w:hAnsi="Times New Roman;serif"/>
          <w:b w:val="false"/>
          <w:color w:val="000000"/>
          <w:sz w:val="24"/>
        </w:rPr>
        <w:t>k.</w:t>
      </w:r>
      <w:r>
        <w:rPr>
          <w:rFonts w:ascii="Times New Roman;serif" w:hAnsi="Times New Roman;serif"/>
          <w:b w:val="false"/>
          <w:color w:val="000000"/>
          <w:sz w:val="24"/>
          <w:u w:val="single"/>
        </w:rPr>
        <w:t>Non-Competition and Non-Solicitation</w:t>
      </w:r>
      <w:r>
        <w:rPr>
          <w:rFonts w:ascii="Times New Roman;serif" w:hAnsi="Times New Roman;serif"/>
          <w:b w:val="false"/>
          <w:color w:val="000000"/>
          <w:sz w:val="24"/>
        </w:rPr>
        <w:t>.</w:t>
      </w:r>
    </w:p>
    <w:p>
      <w:pPr>
        <w:pStyle w:val="TextBody"/>
        <w:bidi w:val="0"/>
        <w:spacing w:lineRule="auto" w:line="288" w:before="204" w:after="283"/>
        <w:ind w:left="0" w:right="0" w:hanging="487"/>
        <w:jc w:val="left"/>
        <w:rPr>
          <w:rFonts w:ascii="Times New Roman;serif" w:hAnsi="Times New Roman;serif"/>
          <w:b w:val="false"/>
          <w:color w:val="000000"/>
          <w:sz w:val="24"/>
        </w:rPr>
      </w:pPr>
      <w:r>
        <w:rPr>
          <w:rFonts w:ascii="Times New Roman;serif" w:hAnsi="Times New Roman;serif"/>
          <w:b w:val="false"/>
          <w:color w:val="000000"/>
          <w:sz w:val="24"/>
        </w:rPr>
        <w:t>i.In recognition of the consideration set forth herein, the sufficiency of which is hereby</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acknowledged, Executive hereby covenants and agrees that, subject to extension as set forth below, while employed during the Term and for one (1) year after Executive’s termination of</w:t>
      </w:r>
    </w:p>
    <w:p>
      <w:pPr>
        <w:pStyle w:val="TextBody"/>
        <w:bidi w:val="0"/>
        <w:spacing w:lineRule="auto" w:line="321" w:before="1" w:after="283"/>
        <w:jc w:val="left"/>
        <w:rPr/>
      </w:pPr>
      <w:r>
        <w:rPr>
          <w:rFonts w:ascii="Times New Roman;serif" w:hAnsi="Times New Roman;serif"/>
          <w:b w:val="false"/>
          <w:color w:val="000000"/>
          <w:sz w:val="24"/>
        </w:rPr>
        <w:t>employment for any reason (the “</w:t>
      </w:r>
      <w:r>
        <w:rPr>
          <w:rFonts w:ascii="Times New Roman;serif" w:hAnsi="Times New Roman;serif"/>
          <w:b w:val="false"/>
          <w:color w:val="000000"/>
          <w:sz w:val="24"/>
          <w:u w:val="single"/>
        </w:rPr>
        <w:t>Non-Compete Term</w:t>
      </w:r>
      <w:r>
        <w:rPr>
          <w:color w:val="000000"/>
        </w:rPr>
        <w:t>”</w:t>
      </w:r>
      <w:r>
        <w:rPr>
          <w:rFonts w:ascii="Times New Roman;serif" w:hAnsi="Times New Roman;serif"/>
          <w:b w:val="false"/>
          <w:color w:val="000000"/>
          <w:sz w:val="24"/>
        </w:rPr>
        <w:t>), Executive shall not, either directly or indirectly, individually or by or through any Covered Entity, whether for consideration or otherwise: (1) engage in (except on behalf of the Company or any of its Subsidiaries or</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Affiliates), or compete with the Company or any of its Subsidiaries or Affiliates in, a Competing Business anywhere in the Territory; or (2) form or assist others in forming, be employed by,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perform services for, become an officer, director, member or partner of, or participant in, or</w:t>
      </w:r>
    </w:p>
    <w:p>
      <w:pPr>
        <w:pStyle w:val="TextBody"/>
        <w:bidi w:val="0"/>
        <w:spacing w:lineRule="auto" w:line="321" w:before="41" w:after="283"/>
        <w:jc w:val="left"/>
        <w:rPr>
          <w:rFonts w:ascii="Times New Roman;serif" w:hAnsi="Times New Roman;serif"/>
          <w:b w:val="false"/>
          <w:color w:val="000000"/>
          <w:sz w:val="24"/>
        </w:rPr>
      </w:pPr>
      <w:r>
        <w:rPr>
          <w:rFonts w:ascii="Times New Roman;serif" w:hAnsi="Times New Roman;serif"/>
          <w:b w:val="false"/>
          <w:color w:val="000000"/>
          <w:sz w:val="24"/>
        </w:rPr>
        <w:t>consultant or independent contractor to, invest in or own any interest in (whether through equity or debt securities), assist (financially or otherwise) or lend Executive’s name, counsel or</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assistance to any entity engaged in a Competing Business anywhere in the Territory. Notwithstanding the foregoing, Executive’s continuance of service in the</w:t>
      </w:r>
    </w:p>
    <w:p>
      <w:pPr>
        <w:pStyle w:val="TextBody"/>
        <w:bidi w:val="0"/>
        <w:spacing w:lineRule="atLeast" w:line="274" w:before="0" w:after="0"/>
        <w:jc w:val="left"/>
        <w:rPr/>
      </w:pPr>
      <w:r>
        <w:rPr>
          <w:rFonts w:ascii="Times New Roman;serif" w:hAnsi="Times New Roman;serif"/>
          <w:b w:val="false"/>
          <w:color w:val="000000"/>
          <w:sz w:val="24"/>
        </w:rPr>
        <w:t xml:space="preserve">Existing Board Positions shall not be a violation of this </w:t>
      </w:r>
      <w:r>
        <w:rPr>
          <w:rFonts w:ascii="Times New Roman;serif" w:hAnsi="Times New Roman;serif"/>
          <w:b w:val="false"/>
          <w:color w:val="000000"/>
          <w:sz w:val="24"/>
          <w:u w:val="single"/>
        </w:rPr>
        <w:t>Section 4(k)</w:t>
      </w:r>
      <w:r>
        <w:rPr>
          <w:rFonts w:ascii="Times New Roman;serif" w:hAnsi="Times New Roman;serif"/>
          <w:b w:val="false"/>
          <w:color w:val="000000"/>
          <w:sz w:val="24"/>
        </w:rPr>
        <w:t>.</w:t>
      </w:r>
    </w:p>
    <w:p>
      <w:pPr>
        <w:pStyle w:val="TextBody"/>
        <w:bidi w:val="0"/>
        <w:spacing w:lineRule="auto" w:line="324" w:before="202" w:after="283"/>
        <w:ind w:left="0" w:right="0" w:hanging="555"/>
        <w:jc w:val="left"/>
        <w:rPr>
          <w:rFonts w:ascii="Times New Roman;serif" w:hAnsi="Times New Roman;serif"/>
          <w:b w:val="false"/>
          <w:color w:val="000000"/>
          <w:sz w:val="24"/>
        </w:rPr>
      </w:pPr>
      <w:r>
        <w:rPr>
          <w:rFonts w:ascii="Times New Roman;serif" w:hAnsi="Times New Roman;serif"/>
          <w:b w:val="false"/>
          <w:color w:val="000000"/>
          <w:sz w:val="24"/>
        </w:rPr>
        <w:t>ii.Also in recognition of the consideration set forth herein, Executive hereby covenants and agrees that, during the Non-Compete Term, Executive shall not, either directly or indirectly,</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individually or by or through any Covered Entity, whether for consideration or otherwise: (A) solicit or accept business from any Customer or Prospective Customer, in each case, for the purpose of providing goods or services in a Competing Business, (B) solicit or induce any</w:t>
      </w:r>
    </w:p>
    <w:p>
      <w:pPr>
        <w:pStyle w:val="TextBody"/>
        <w:bidi w:val="0"/>
        <w:spacing w:lineRule="atLeast" w:line="273" w:before="0" w:after="0"/>
        <w:jc w:val="left"/>
        <w:rPr>
          <w:rFonts w:ascii="Times New Roman;serif" w:hAnsi="Times New Roman;serif"/>
          <w:b w:val="false"/>
          <w:color w:val="000000"/>
          <w:sz w:val="24"/>
        </w:rPr>
      </w:pPr>
      <w:r>
        <w:rPr>
          <w:rFonts w:ascii="Times New Roman;serif" w:hAnsi="Times New Roman;serif"/>
          <w:b w:val="false"/>
          <w:color w:val="000000"/>
          <w:sz w:val="24"/>
        </w:rPr>
        <w:t>Customer to terminate, reduce or alter, in a manner adverse to the Company, any existing</w:t>
      </w:r>
    </w:p>
    <w:p>
      <w:pPr>
        <w:pStyle w:val="TextBody"/>
        <w:bidi w:val="0"/>
        <w:spacing w:lineRule="auto" w:line="321" w:before="41" w:after="283"/>
        <w:jc w:val="left"/>
        <w:rPr>
          <w:rFonts w:ascii="Times New Roman;serif" w:hAnsi="Times New Roman;serif"/>
          <w:b w:val="false"/>
          <w:color w:val="000000"/>
          <w:sz w:val="24"/>
        </w:rPr>
      </w:pPr>
      <w:r>
        <w:rPr>
          <w:rFonts w:ascii="Times New Roman;serif" w:hAnsi="Times New Roman;serif"/>
          <w:b w:val="false"/>
          <w:color w:val="000000"/>
          <w:sz w:val="24"/>
        </w:rPr>
        <w:t>business arrangement or agreement with the Company, or (C) solicit, hire, attempt to solicit or attempt to hire any person who is or was an employee, third party consultant or independent contractor of the Company or any of its Subsidiaries or Affiliates at any time during the 24</w:t>
      </w:r>
    </w:p>
    <w:p>
      <w:pPr>
        <w:pStyle w:val="TextBody"/>
        <w:bidi w:val="0"/>
        <w:spacing w:lineRule="auto" w:line="321" w:before="0" w:after="0"/>
        <w:jc w:val="left"/>
        <w:rPr/>
      </w:pPr>
      <w:r>
        <w:rPr>
          <w:rFonts w:ascii="Times New Roman;serif" w:hAnsi="Times New Roman;serif"/>
          <w:b w:val="false"/>
          <w:color w:val="000000"/>
          <w:sz w:val="24"/>
        </w:rPr>
        <w:t xml:space="preserve">months prior to such solicitation or hiring. The restrictions set forth in this </w:t>
      </w:r>
      <w:r>
        <w:rPr>
          <w:rFonts w:ascii="Times New Roman;serif" w:hAnsi="Times New Roman;serif"/>
          <w:b w:val="false"/>
          <w:color w:val="000000"/>
          <w:sz w:val="24"/>
          <w:u w:val="single"/>
        </w:rPr>
        <w:t>Section 4(k)(ii)</w:t>
      </w:r>
      <w:r>
        <w:rPr>
          <w:color w:val="000000"/>
        </w:rPr>
        <w:t xml:space="preserve"> </w:t>
      </w:r>
      <w:r>
        <w:rPr>
          <w:rFonts w:ascii="Times New Roman;serif" w:hAnsi="Times New Roman;serif"/>
          <w:b w:val="false"/>
          <w:color w:val="000000"/>
          <w:sz w:val="24"/>
        </w:rPr>
        <w:t>shall not prohibit any form of general advertising or solicitation that is not directed at a specific person or entity and does not relate to a Competing Business.</w:t>
      </w:r>
    </w:p>
    <w:p>
      <w:pPr>
        <w:pStyle w:val="TextBody"/>
        <w:bidi w:val="0"/>
        <w:spacing w:lineRule="auto" w:line="324" w:before="156" w:after="283"/>
        <w:ind w:left="0" w:right="0" w:hanging="620"/>
        <w:jc w:val="left"/>
        <w:rPr>
          <w:rFonts w:ascii="Times New Roman;serif" w:hAnsi="Times New Roman;serif"/>
          <w:b w:val="false"/>
          <w:color w:val="000000"/>
          <w:sz w:val="24"/>
        </w:rPr>
      </w:pPr>
      <w:r>
        <w:rPr>
          <w:rFonts w:ascii="Times New Roman;serif" w:hAnsi="Times New Roman;serif"/>
          <w:b w:val="false"/>
          <w:color w:val="000000"/>
          <w:sz w:val="24"/>
        </w:rPr>
        <w:t>iii.Executive agrees that the payment of any severance, including Without Cause Severance Pay or Good Reason Severance Pay, is conditioned on Executive’s compliance</w:t>
      </w:r>
    </w:p>
    <w:p>
      <w:pPr>
        <w:pStyle w:val="TextBody"/>
        <w:bidi w:val="0"/>
        <w:spacing w:lineRule="auto" w:line="321" w:before="0" w:after="0"/>
        <w:jc w:val="left"/>
        <w:rPr/>
      </w:pPr>
      <w:r>
        <w:rPr>
          <w:rFonts w:ascii="Times New Roman;serif" w:hAnsi="Times New Roman;serif"/>
          <w:b w:val="false"/>
          <w:color w:val="000000"/>
          <w:sz w:val="24"/>
        </w:rPr>
        <w:t xml:space="preserve">with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4(j), 4(k)</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4(l)</w:t>
      </w:r>
      <w:r>
        <w:rPr>
          <w:color w:val="000000"/>
        </w:rPr>
        <w:t xml:space="preserve"> </w:t>
      </w:r>
      <w:r>
        <w:rPr>
          <w:rFonts w:ascii="Times New Roman;serif" w:hAnsi="Times New Roman;serif"/>
          <w:b w:val="false"/>
          <w:color w:val="000000"/>
          <w:sz w:val="24"/>
        </w:rPr>
        <w:t>and that, if Executive breaches any of those sections, Executive (A) forfeits his rights to receive any Without Cause Severance Pay or Good Reason Severance Pay and (B) will repay, or cause to be repaid, to the Company the full amount of any severance, including Without Cause Severance Pay or Good Reason Severance Pay paid by the Company to him prior to the date of such breach.</w:t>
      </w:r>
    </w:p>
    <w:p>
      <w:pPr>
        <w:pStyle w:val="TextBody"/>
        <w:bidi w:val="0"/>
        <w:spacing w:lineRule="auto" w:line="321" w:before="204" w:after="283"/>
        <w:ind w:left="0" w:right="0" w:hanging="360"/>
        <w:jc w:val="left"/>
        <w:rPr/>
      </w:pPr>
      <w:r>
        <w:rPr>
          <w:rFonts w:ascii="Times New Roman;serif" w:hAnsi="Times New Roman;serif"/>
          <w:b w:val="false"/>
          <w:color w:val="000000"/>
          <w:sz w:val="24"/>
        </w:rPr>
        <w:t>l.</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The Executive agrees that, during the Term and thereafter, the Executive will make no disparaging or detrimental comments about the Company or its Affiliates or any of their respective officers, directors, managers, employees or agents, nor will the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9700"/>
                <wp:effectExtent l="0" t="0" r="0" b="0"/>
                <wp:wrapNone/>
                <wp:docPr id="64" name="Frame6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321" w:before="204" w:after="283"/>
        <w:jc w:val="left"/>
        <w:rPr>
          <w:rFonts w:ascii="Times New Roman;serif" w:hAnsi="Times New Roman;serif"/>
          <w:b w:val="false"/>
          <w:color w:val="000000"/>
          <w:sz w:val="24"/>
        </w:rPr>
      </w:pPr>
      <w:r>
        <w:rPr>
          <w:rFonts w:ascii="Times New Roman;serif" w:hAnsi="Times New Roman;serif"/>
          <w:b w:val="false"/>
          <w:color w:val="000000"/>
          <w:sz w:val="24"/>
        </w:rPr>
        <w:t>authorize, encourage or participate with anyone on the Executive’s behalf to make such statements.</w:t>
      </w:r>
    </w:p>
    <w:p>
      <w:pPr>
        <w:pStyle w:val="TextBody"/>
        <w:bidi w:val="0"/>
        <w:spacing w:lineRule="auto" w:line="321" w:before="204" w:after="283"/>
        <w:ind w:left="0" w:right="0" w:hanging="360"/>
        <w:jc w:val="left"/>
        <w:rPr/>
      </w:pPr>
      <w:r>
        <w:rPr>
          <w:rFonts w:ascii="Times New Roman;serif" w:hAnsi="Times New Roman;serif"/>
          <w:b w:val="false"/>
          <w:color w:val="000000"/>
          <w:sz w:val="24"/>
        </w:rPr>
        <w:t>m.</w:t>
      </w:r>
      <w:r>
        <w:rPr>
          <w:rFonts w:ascii="Times New Roman;serif" w:hAnsi="Times New Roman;serif"/>
          <w:b w:val="false"/>
          <w:color w:val="000000"/>
          <w:sz w:val="24"/>
          <w:u w:val="single"/>
        </w:rPr>
        <w:t>Change in Control Severance</w:t>
      </w:r>
      <w:r>
        <w:rPr>
          <w:rFonts w:ascii="Times New Roman;serif" w:hAnsi="Times New Roman;serif"/>
          <w:b w:val="false"/>
          <w:color w:val="000000"/>
          <w:sz w:val="24"/>
        </w:rPr>
        <w:t>. If a Change in Control shall occur and within one (1) year after the date of the occurrence of such Change in Control Executive’s employment is terminated by the Company as a Discharge Without Cause or Executive shall terminate Executive’s employment</w:t>
      </w:r>
    </w:p>
    <w:p>
      <w:pPr>
        <w:pStyle w:val="TextBody"/>
        <w:bidi w:val="0"/>
        <w:spacing w:lineRule="auto" w:line="321"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a Resignation for Good Reason (in either case, a “Change in Control Severance”), then subject to Executive’s execution of the Release and in lieu of the benefits otherwise set forth in this Section 4: (i) The Company shall pay Executive within thirty (30) days of the Date of Termination (but not earlier than the date on which the Release becomes irrevocable) a lump sum payment equal to (A) one year of Executive’s annual Base Salary; (B) the Annual Bonus Executive would receive for the year of termination assuming target individual and Company performance; and (C) the one year cost of continued medical, dental and vision benefits (but no other benefits) at the same level as if Executive remained actively employed during the Change in Control severance period, and (ii) all outstanding stock options and other equity incentives issued by the Company to Executive which are subject to vesting over time based on length of service with the Company shall automatically become fully vested when the Release is effective and becomes irrevocable.</w:t>
      </w:r>
    </w:p>
    <w:p>
      <w:pPr>
        <w:pStyle w:val="TextBody"/>
        <w:bidi w:val="0"/>
        <w:spacing w:lineRule="auto" w:line="321" w:before="197" w:after="283"/>
        <w:ind w:left="0" w:right="0" w:hanging="36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Enforcement; Survival</w:t>
      </w:r>
      <w:r>
        <w:rPr>
          <w:rFonts w:ascii="Times New Roman;serif" w:hAnsi="Times New Roman;serif"/>
          <w:b w:val="false"/>
          <w:color w:val="000000"/>
          <w:sz w:val="24"/>
        </w:rPr>
        <w:t>. Executive acknowledges that no specification in this Agreement of a specific legal or equitable remedy may be construed as a waiver of or prohibition against pursuing other legal or equitable remedies in the event of a breach of this Agreement by Executive. In the event of a</w:t>
      </w:r>
    </w:p>
    <w:p>
      <w:pPr>
        <w:pStyle w:val="TextBody"/>
        <w:bidi w:val="0"/>
        <w:spacing w:lineRule="atLeast" w:line="276" w:before="0" w:after="0"/>
        <w:jc w:val="left"/>
        <w:rPr/>
      </w:pPr>
      <w:r>
        <w:rPr>
          <w:rFonts w:ascii="Times New Roman;serif" w:hAnsi="Times New Roman;serif"/>
          <w:b w:val="false"/>
          <w:color w:val="000000"/>
          <w:sz w:val="24"/>
        </w:rPr>
        <w:t xml:space="preserve">breach or violation by Executive of any of the provisions of </w:t>
      </w:r>
      <w:r>
        <w:rPr>
          <w:rFonts w:ascii="Times New Roman;serif" w:hAnsi="Times New Roman;serif"/>
          <w:b w:val="false"/>
          <w:color w:val="000000"/>
          <w:sz w:val="24"/>
          <w:u w:val="single"/>
        </w:rPr>
        <w:t>Section 4</w:t>
      </w:r>
      <w:r>
        <w:rPr>
          <w:rFonts w:ascii="Times New Roman;serif" w:hAnsi="Times New Roman;serif"/>
          <w:b w:val="false"/>
          <w:color w:val="000000"/>
          <w:sz w:val="24"/>
        </w:rPr>
        <w:t>, the running of the Non-</w:t>
      </w:r>
    </w:p>
    <w:p>
      <w:pPr>
        <w:pStyle w:val="TextBody"/>
        <w:bidi w:val="0"/>
        <w:spacing w:lineRule="auto" w:line="321" w:before="44" w:after="283"/>
        <w:jc w:val="left"/>
        <w:rPr>
          <w:rFonts w:ascii="Times New Roman;serif" w:hAnsi="Times New Roman;serif"/>
          <w:b w:val="false"/>
          <w:color w:val="000000"/>
          <w:sz w:val="24"/>
        </w:rPr>
      </w:pPr>
      <w:r>
        <w:rPr>
          <w:rFonts w:ascii="Times New Roman;serif" w:hAnsi="Times New Roman;serif"/>
          <w:b w:val="false"/>
          <w:color w:val="000000"/>
          <w:sz w:val="24"/>
        </w:rPr>
        <w:t>Compete Term shall be tolled with respect to Executive during the continuance of any actual breach or violation. Executive’s sole and exclusive remedy in the event of a breach of this Agreement by the Company shall be, as applicable, payment of Without Cause Severance Pay or Good Reason</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Severance Pay or the compensation and benefits provided in the event of a termination following a Change in Control. The provisions of Sections 4(h) through 4(n) of this Agreement, and any other provisions which, by their nature, ought to survive, shall survive any termination of this Agreement.</w:t>
      </w:r>
    </w:p>
    <w:p>
      <w:pPr>
        <w:pStyle w:val="TextBody"/>
        <w:bidi w:val="0"/>
        <w:spacing w:lineRule="auto" w:line="321" w:before="158" w:after="283"/>
        <w:ind w:left="0" w:right="0" w:hanging="361"/>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terms and provisions set forth in this Agreement inure to the benefit of and are enforceable by the Company and its successors, assigns and successors- in-interest, including</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without limitation, any corporation or other entity with which the Company may be merged or by which it may be acquired, or which may be the acquiring entity in a sale of substantially all of its assets or</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similar form of reorganization. This Agreement may not be assigned by Executive, and any such assignment shall be null and void.</w:t>
      </w:r>
    </w:p>
    <w:p>
      <w:pPr>
        <w:pStyle w:val="TextBody"/>
        <w:bidi w:val="0"/>
        <w:spacing w:lineRule="auto" w:line="321" w:before="157" w:after="283"/>
        <w:ind w:left="0" w:right="0" w:hanging="361"/>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Agreement (including agreements referenced in this Agreement, such as the At Will Employment Agreement, and any attachments and exhibits hereto) contains the Parties’ sole and entire agreement regarding the employment of Executive by the Company and supersedes all prior understandings and agreements, whether written or oral, including, but not limited to, any offer letters or other agreements regarding Executive’s compensation or terms of employment entered into prior to the Effective Date. The parties acknowledge and agree that no party hereto has made any representations (a) concerning the subject matter hereof or (b) inducing the other party to execute and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9700"/>
                <wp:effectExtent l="0" t="0" r="0" b="0"/>
                <wp:wrapNone/>
                <wp:docPr id="65" name="Frame6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21" w:before="157" w:after="283"/>
        <w:jc w:val="left"/>
        <w:rPr>
          <w:rFonts w:ascii="Times New Roman;serif" w:hAnsi="Times New Roman;serif"/>
          <w:b w:val="false"/>
          <w:color w:val="000000"/>
          <w:sz w:val="24"/>
        </w:rPr>
      </w:pPr>
      <w:r>
        <w:rPr>
          <w:rFonts w:ascii="Times New Roman;serif" w:hAnsi="Times New Roman;serif"/>
          <w:b w:val="false"/>
          <w:color w:val="000000"/>
          <w:sz w:val="24"/>
        </w:rPr>
        <w:t>deliver this Agreement, except those representations specifically referenced herein. The parties have relied on their own judgment in entering into this Agreement.</w:t>
      </w:r>
    </w:p>
    <w:p>
      <w:pPr>
        <w:pStyle w:val="TextBody"/>
        <w:bidi w:val="0"/>
        <w:spacing w:lineRule="auto" w:line="321" w:before="159" w:after="283"/>
        <w:ind w:left="0" w:right="0" w:hanging="361"/>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Amendment; Waiver</w:t>
      </w:r>
      <w:r>
        <w:rPr>
          <w:rFonts w:ascii="Times New Roman;serif" w:hAnsi="Times New Roman;serif"/>
          <w:b w:val="false"/>
          <w:color w:val="000000"/>
          <w:sz w:val="24"/>
        </w:rPr>
        <w:t>. No modification or amendment of or supplement to this Agreement shall be binding unless executed in writing by the Company and Executive. Any term or provision of this Agreement may be waived in writing at any time by the party entitled to the benefits thereof. No failure to exercise and no delay in exercising any right, power or privilege shall operate as a waiver thereof, nor shall any single or partial exercise of any right, power or privilege preclude the exercise of any other right, power or privilege. No waiver of any breach of any covenant or agreement hereunder shall be deemed a waiver of any preceding or subsequent breach of the same or any other covenant or agreement.</w:t>
      </w:r>
    </w:p>
    <w:p>
      <w:pPr>
        <w:pStyle w:val="TextBody"/>
        <w:bidi w:val="0"/>
        <w:spacing w:lineRule="auto" w:line="321" w:before="156" w:after="283"/>
        <w:ind w:left="0" w:right="0" w:hanging="361"/>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construed, interpreted and enforced in accordance with its express terms, and otherwise in accordance with the substantive laws of the State of Colorado without reference to the principles of conflicts of law of the State of Colorado or any other jurisdiction, and where applicable, the laws of the United States.</w:t>
      </w:r>
    </w:p>
    <w:p>
      <w:pPr>
        <w:pStyle w:val="TextBody"/>
        <w:bidi w:val="0"/>
        <w:spacing w:lineRule="auto" w:line="321" w:before="160" w:after="283"/>
        <w:ind w:left="0" w:right="0" w:hanging="361"/>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or term of </w:t>
      </w:r>
      <w:r>
        <w:rPr>
          <w:rFonts w:ascii="Times New Roman;serif" w:hAnsi="Times New Roman;serif"/>
          <w:b w:val="false"/>
          <w:color w:val="000000"/>
          <w:sz w:val="24"/>
          <w:u w:val="single"/>
        </w:rPr>
        <w:t>Section 4(h) or 4(k)</w:t>
      </w:r>
      <w:r>
        <w:rPr>
          <w:rFonts w:ascii="Times New Roman;serif" w:hAnsi="Times New Roman;serif"/>
          <w:b w:val="false"/>
          <w:color w:val="000000"/>
          <w:sz w:val="24"/>
        </w:rPr>
        <w:t>, or any word, phrase, clause, sentence or other portion thereof (including, without limitation, the geographic and temporal restrictions and provisions contained in</w:t>
      </w:r>
      <w:r>
        <w:rPr>
          <w:color w:val="000000"/>
          <w:u w:val="single"/>
        </w:rPr>
        <w:t xml:space="preserve"> </w:t>
      </w:r>
      <w:r>
        <w:rPr>
          <w:rFonts w:ascii="Times New Roman;serif" w:hAnsi="Times New Roman;serif"/>
          <w:b w:val="false"/>
          <w:color w:val="000000"/>
          <w:sz w:val="24"/>
          <w:u w:val="single"/>
        </w:rPr>
        <w:t>4(h) or 4(k</w:t>
      </w:r>
      <w:r>
        <w:rPr>
          <w:rFonts w:ascii="Times New Roman;serif" w:hAnsi="Times New Roman;serif"/>
          <w:b w:val="false"/>
          <w:color w:val="000000"/>
          <w:sz w:val="24"/>
        </w:rPr>
        <w:t>) is held to be unenforceable or invalid for any reason, such provision or portion thereof will be modified or deleted in such a manner as to be effective for the maximum</w:t>
      </w:r>
    </w:p>
    <w:p>
      <w:pPr>
        <w:pStyle w:val="TextBody"/>
        <w:bidi w:val="0"/>
        <w:spacing w:lineRule="auto" w:line="321" w:before="0" w:after="0"/>
        <w:jc w:val="left"/>
        <w:rPr/>
      </w:pPr>
      <w:r>
        <w:rPr>
          <w:rFonts w:ascii="Times New Roman;serif" w:hAnsi="Times New Roman;serif"/>
          <w:b w:val="false"/>
          <w:color w:val="000000"/>
          <w:sz w:val="24"/>
        </w:rPr>
        <w:t xml:space="preserve">period of time for which it/they may be enforceable and over the maximum geographical area as to which it/they may be enforceable and to the maximum extent in all other respects as to which it/they may be enforceable. Such modified restriction(s) shall be enforced by the court or adjudicator. In the event that modification is not possible, because each of Executive’s obligations in </w:t>
      </w:r>
      <w:r>
        <w:rPr>
          <w:rFonts w:ascii="Times New Roman;serif" w:hAnsi="Times New Roman;serif"/>
          <w:b w:val="false"/>
          <w:color w:val="000000"/>
          <w:sz w:val="24"/>
          <w:u w:val="single"/>
        </w:rPr>
        <w:t>Section 4(h) and</w:t>
      </w:r>
    </w:p>
    <w:p>
      <w:pPr>
        <w:pStyle w:val="TextBody"/>
        <w:bidi w:val="0"/>
        <w:spacing w:lineRule="auto" w:line="321" w:before="0" w:after="0"/>
        <w:jc w:val="both"/>
        <w:rPr/>
      </w:pPr>
      <w:r>
        <w:rPr>
          <w:rFonts w:ascii="Times New Roman;serif" w:hAnsi="Times New Roman;serif"/>
          <w:b w:val="false"/>
          <w:color w:val="000000"/>
          <w:sz w:val="24"/>
          <w:u w:val="single"/>
        </w:rPr>
        <w:t>Section 4(k)</w:t>
      </w:r>
      <w:r>
        <w:rPr>
          <w:color w:val="000000"/>
        </w:rPr>
        <w:t xml:space="preserve"> </w:t>
      </w:r>
      <w:r>
        <w:rPr>
          <w:rFonts w:ascii="Times New Roman;serif" w:hAnsi="Times New Roman;serif"/>
          <w:b w:val="false"/>
          <w:color w:val="000000"/>
          <w:sz w:val="24"/>
        </w:rPr>
        <w:t>are separate and independent covenants, any unenforceable obligation shall be severed, and all remaining obligations shall be enforced. If any term or provision of this Agreement or the application thereof to any circumstance shall, in any jurisdiction and to any extent, be invalid or unenforceable, such term or provision shall be ineffective as to such jurisdiction to the extent of such invalidity or</w:t>
      </w:r>
    </w:p>
    <w:p>
      <w:pPr>
        <w:pStyle w:val="TextBody"/>
        <w:bidi w:val="0"/>
        <w:spacing w:lineRule="atLeast" w:line="275" w:before="0" w:after="0"/>
        <w:jc w:val="both"/>
        <w:rPr>
          <w:rFonts w:ascii="Times New Roman;serif" w:hAnsi="Times New Roman;serif"/>
          <w:b w:val="false"/>
          <w:color w:val="000000"/>
          <w:sz w:val="24"/>
        </w:rPr>
      </w:pPr>
      <w:r>
        <w:rPr>
          <w:rFonts w:ascii="Times New Roman;serif" w:hAnsi="Times New Roman;serif"/>
          <w:b w:val="false"/>
          <w:color w:val="000000"/>
          <w:sz w:val="24"/>
        </w:rPr>
        <w:t>unenforceability without invalidating or rendering unenforceable such term or provision in any other</w:t>
      </w:r>
    </w:p>
    <w:p>
      <w:pPr>
        <w:pStyle w:val="TextBody"/>
        <w:bidi w:val="0"/>
        <w:spacing w:lineRule="auto" w:line="324" w:before="38" w:after="283"/>
        <w:jc w:val="both"/>
        <w:rPr>
          <w:rFonts w:ascii="Times New Roman;serif" w:hAnsi="Times New Roman;serif"/>
          <w:b w:val="false"/>
          <w:color w:val="000000"/>
          <w:sz w:val="24"/>
        </w:rPr>
      </w:pPr>
      <w:r>
        <w:rPr>
          <w:rFonts w:ascii="Times New Roman;serif" w:hAnsi="Times New Roman;serif"/>
          <w:b w:val="false"/>
          <w:color w:val="000000"/>
          <w:sz w:val="24"/>
        </w:rPr>
        <w:t>jurisdiction, the remaining terms and provisions of this Agreement or the application of such terms and provisions to circumstances other than those as to which it is held invalid or enforceable.</w:t>
      </w:r>
    </w:p>
    <w:p>
      <w:pPr>
        <w:pStyle w:val="TextBody"/>
        <w:bidi w:val="0"/>
        <w:spacing w:lineRule="auto" w:line="288" w:before="153" w:after="283"/>
        <w:ind w:left="0" w:right="0" w:hanging="36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Construction</w:t>
      </w:r>
      <w:r>
        <w:rPr>
          <w:rFonts w:ascii="Times New Roman;serif" w:hAnsi="Times New Roman;serif"/>
          <w:b w:val="false"/>
          <w:color w:val="000000"/>
          <w:sz w:val="24"/>
        </w:rPr>
        <w:t>.</w:t>
      </w:r>
    </w:p>
    <w:p>
      <w:pPr>
        <w:pStyle w:val="TextBody"/>
        <w:bidi w:val="0"/>
        <w:spacing w:lineRule="auto" w:line="321" w:before="204" w:after="283"/>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The section and subsection headings of this Agreement are included for purposes of convenience only and shall not affect the construction or interpretation of any of its provisions.</w:t>
      </w:r>
    </w:p>
    <w:p>
      <w:pPr>
        <w:pStyle w:val="TextBody"/>
        <w:bidi w:val="0"/>
        <w:spacing w:lineRule="auto" w:line="321" w:before="160" w:after="283"/>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Gender and Number</w:t>
      </w:r>
      <w:r>
        <w:rPr>
          <w:rFonts w:ascii="Times New Roman;serif" w:hAnsi="Times New Roman;serif"/>
          <w:b w:val="false"/>
          <w:color w:val="000000"/>
          <w:sz w:val="24"/>
        </w:rPr>
        <w:t>. Whenever required by the context, the singular shall include the plural, the plural shall include the singular, and the masculine gender shall include the neuter and feminine genders and vice versa.</w:t>
      </w:r>
    </w:p>
    <w:p>
      <w:pPr>
        <w:pStyle w:val="TextBody"/>
        <w:bidi w:val="0"/>
        <w:spacing w:lineRule="auto" w:line="321" w:before="160" w:after="283"/>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Joint Preparation</w:t>
      </w:r>
      <w:r>
        <w:rPr>
          <w:rFonts w:ascii="Times New Roman;serif" w:hAnsi="Times New Roman;serif"/>
          <w:b w:val="false"/>
          <w:color w:val="000000"/>
          <w:sz w:val="24"/>
        </w:rPr>
        <w:t xml:space="preserve">. The Parties to this Agreement have negotiated it at length, and have had the opportunity to consult with and be represented by their own competent counsel. This Agreement is therefore deemed to have been jointly prepared by the parties, and any uncertainty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9700"/>
                <wp:effectExtent l="0" t="0" r="0" b="0"/>
                <wp:wrapNone/>
                <wp:docPr id="66" name="Frame6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321" w:before="160" w:after="283"/>
        <w:jc w:val="both"/>
        <w:rPr>
          <w:rFonts w:ascii="Times New Roman;serif" w:hAnsi="Times New Roman;serif"/>
          <w:b w:val="false"/>
          <w:color w:val="000000"/>
          <w:sz w:val="24"/>
        </w:rPr>
      </w:pPr>
      <w:r>
        <w:rPr>
          <w:rFonts w:ascii="Times New Roman;serif" w:hAnsi="Times New Roman;serif"/>
          <w:b w:val="false"/>
          <w:color w:val="000000"/>
          <w:sz w:val="24"/>
        </w:rPr>
        <w:t>or ambiguity existing in it shall not be interpreted against any party, but rather shall be interpreted according to the rules generally governing the interpretation of contracts.</w:t>
      </w:r>
    </w:p>
    <w:p>
      <w:pPr>
        <w:pStyle w:val="TextBody"/>
        <w:bidi w:val="0"/>
        <w:spacing w:lineRule="auto" w:line="321" w:before="159" w:after="283"/>
        <w:ind w:left="0" w:right="0" w:hanging="361"/>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under or in connection with this Agreement shall be in writing and shall be deemed given (a) if delivered personally, upon delivery, (b) if delivered by</w:t>
      </w:r>
    </w:p>
    <w:p>
      <w:pPr>
        <w:pStyle w:val="TextBody"/>
        <w:bidi w:val="0"/>
        <w:spacing w:lineRule="auto" w:line="321" w:before="0" w:after="0"/>
        <w:jc w:val="left"/>
        <w:rPr>
          <w:rFonts w:ascii="Times New Roman;serif" w:hAnsi="Times New Roman;serif"/>
          <w:b w:val="false"/>
          <w:color w:val="000000"/>
          <w:sz w:val="24"/>
        </w:rPr>
      </w:pPr>
      <w:r>
        <w:rPr>
          <w:rFonts w:ascii="Times New Roman;serif" w:hAnsi="Times New Roman;serif"/>
          <w:b w:val="false"/>
          <w:color w:val="000000"/>
          <w:sz w:val="24"/>
        </w:rPr>
        <w:t>recognized overnight courier or registered or certified mail (return receipt requested), upon the earlier of actual delivery or refusal of delivery by the addressee or his, his agent or representative, or (c) if given by facsimile or email, upon non-automated confirmation of transmission. In each case to the Parties at</w:t>
      </w:r>
    </w:p>
    <w:p>
      <w:pPr>
        <w:pStyle w:val="TextBody"/>
        <w:bidi w:val="0"/>
        <w:spacing w:lineRule="atLeast"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addresses:</w:t>
      </w:r>
    </w:p>
    <w:p>
      <w:pPr>
        <w:pStyle w:val="TextBody"/>
        <w:bidi w:val="0"/>
        <w:spacing w:lineRule="auto" w:line="484" w:before="202" w:after="283"/>
        <w:jc w:val="center"/>
        <w:rPr/>
      </w:pPr>
      <w:r>
        <w:rPr>
          <w:rFonts w:ascii="Times New Roman;serif" w:hAnsi="Times New Roman;serif"/>
          <w:b w:val="false"/>
          <w:color w:val="000000"/>
          <w:sz w:val="24"/>
        </w:rPr>
        <w:t>(a) To the Company: Human Resources and CEO 6272 W. 91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Avenue</w:t>
      </w:r>
    </w:p>
    <w:p>
      <w:pPr>
        <w:pStyle w:val="TextBody"/>
        <w:bidi w:val="0"/>
        <w:spacing w:lineRule="atLeast"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Westminster, CO 80031</w:t>
      </w:r>
    </w:p>
    <w:p>
      <w:pPr>
        <w:pStyle w:val="TextBody"/>
        <w:bidi w:val="0"/>
        <w:spacing w:lineRule="auto" w:line="288" w:before="205" w:after="283"/>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201"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b.To Executive: To the address listed on the signature page hereto.</w:t>
      </w:r>
    </w:p>
    <w:p>
      <w:pPr>
        <w:pStyle w:val="TextBody"/>
        <w:bidi w:val="0"/>
        <w:spacing w:lineRule="auto" w:line="288" w:before="204" w:after="283"/>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c.or at any other address as any Party shall have specified by notice in writing to the other Party.</w:t>
      </w:r>
    </w:p>
    <w:p>
      <w:pPr>
        <w:pStyle w:val="TextBody"/>
        <w:bidi w:val="0"/>
        <w:spacing w:lineRule="auto" w:line="321" w:before="204" w:after="283"/>
        <w:ind w:left="0" w:right="0" w:hanging="361"/>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Third-Party Rights</w:t>
      </w:r>
      <w:r>
        <w:rPr>
          <w:rFonts w:ascii="Times New Roman;serif" w:hAnsi="Times New Roman;serif"/>
          <w:b w:val="false"/>
          <w:color w:val="000000"/>
          <w:sz w:val="24"/>
        </w:rPr>
        <w:t>. Except to the extent specifically contemplated by this Agreement, this Agreement shall not create benefits on behalf of any other person or entity not a party to this Agreement, and this Agreement shall be effective only as between the Parties hereto, their successors and permitted assigns.</w:t>
      </w:r>
    </w:p>
    <w:p>
      <w:pPr>
        <w:pStyle w:val="TextBody"/>
        <w:bidi w:val="0"/>
        <w:spacing w:lineRule="auto" w:line="288" w:before="204" w:after="283"/>
        <w:ind w:left="0" w:right="0" w:hanging="36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Arbitration</w:t>
      </w:r>
      <w:r>
        <w:rPr>
          <w:rFonts w:ascii="Times New Roman;serif" w:hAnsi="Times New Roman;serif"/>
          <w:b w:val="false"/>
          <w:color w:val="000000"/>
          <w:sz w:val="24"/>
        </w:rPr>
        <w:t>. Any controversy, claim or dispute involving the Parties hereto (or their Affiliates) arising</w:t>
      </w:r>
    </w:p>
    <w:p>
      <w:pPr>
        <w:pStyle w:val="TextBody"/>
        <w:bidi w:val="0"/>
        <w:spacing w:lineRule="auto" w:line="321" w:before="46" w:after="283"/>
        <w:jc w:val="left"/>
        <w:rPr>
          <w:rFonts w:ascii="Times New Roman;serif" w:hAnsi="Times New Roman;serif"/>
          <w:b w:val="false"/>
          <w:color w:val="000000"/>
          <w:sz w:val="24"/>
        </w:rPr>
      </w:pPr>
      <w:r>
        <w:rPr>
          <w:rFonts w:ascii="Times New Roman;serif" w:hAnsi="Times New Roman;serif"/>
          <w:b w:val="false"/>
          <w:color w:val="000000"/>
          <w:sz w:val="24"/>
        </w:rPr>
        <w:t>out of or relating to this Agreement, or the subject matter thereof, shall be solely and exclusively settled by a binding arbitration held in Denver, Colorado to be administered by the American Arbitration</w:t>
      </w:r>
    </w:p>
    <w:p>
      <w:pPr>
        <w:pStyle w:val="TextBody"/>
        <w:bidi w:val="0"/>
        <w:spacing w:lineRule="atLeast" w:line="275" w:before="0" w:after="0"/>
        <w:jc w:val="left"/>
        <w:rPr/>
      </w:pPr>
      <w:r>
        <w:rPr>
          <w:rFonts w:ascii="Times New Roman;serif" w:hAnsi="Times New Roman;serif"/>
          <w:b w:val="false"/>
          <w:color w:val="000000"/>
          <w:sz w:val="24"/>
        </w:rPr>
        <w:t>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Such arbitration shall be conducted in accordance with the then-existing</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Employment Arbitration Rules of the AAA, with the following exceptions if in conflict: (a) the arbitrator shall be selected by the mutual agreement of the Parties; if the Parties cannot agree on an arbitrator, the Parties shall alternately strike names from a list provided by the AAA until only one name remains; (b) the Company shall pay fees and administrative costs charged by the arbitrator and American Arbitration Association; and (c) arbitration may proceed in the absence of any Party if written notice (pursuant to AAA rules and regulations) of the proceedings has been given to such Party. Each Party shall bear its own attorney fees and expenses. The arbitrator shall have the power to award any remedies available under applicable law. In addition, the arbitrator shall award attorneys’ fees and costs to the prevailing party, in an amount no greater than allowable by law. The Parties hereto agree that the arbitrator will allow only such discovery as is required by law. The Parties agree to abide by all decisions and awards rendered in such arbitration proceedings. Such decisions and awards rendered by the arbitrator shall be final and conclusive. This dispute resolution process and any arbitration hereunder shall be confidential and neither any Party nor the neutral arbitrator shall disclose the existence, contents or results of such process without the prior written consent of all Parties. Notwithstanding the foregoing, claims of worker’s compensation and unemployment compensation benefits shall not be subject to</w:t>
      </w:r>
    </w:p>
    <w:p>
      <w:pPr>
        <w:pStyle w:val="TextBody"/>
        <w:bidi w:val="0"/>
        <w:spacing w:lineRule="atLeast" w:line="273" w:before="0" w:after="0"/>
        <w:jc w:val="both"/>
        <w:rPr>
          <w:rFonts w:ascii="Times New Roman;serif" w:hAnsi="Times New Roman;serif"/>
          <w:b w:val="false"/>
          <w:color w:val="000000"/>
          <w:sz w:val="24"/>
        </w:rPr>
      </w:pPr>
      <w:r>
        <w:rPr>
          <w:rFonts w:ascii="Times New Roman;serif" w:hAnsi="Times New Roman;serif"/>
          <w:b w:val="false"/>
          <w:color w:val="000000"/>
          <w:sz w:val="24"/>
        </w:rPr>
        <w:t>arbitration under this Agreement.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9700"/>
                <wp:effectExtent l="0" t="0" r="0" b="0"/>
                <wp:wrapNone/>
                <wp:docPr id="67" name="Frame6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321" w:before="80" w:after="283"/>
        <w:ind w:left="0" w:right="0" w:hanging="361"/>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Consent to Jurisdiction and Venue</w:t>
      </w:r>
      <w:r>
        <w:rPr>
          <w:rFonts w:ascii="Times New Roman;serif" w:hAnsi="Times New Roman;serif"/>
          <w:b w:val="false"/>
          <w:color w:val="000000"/>
          <w:sz w:val="24"/>
        </w:rPr>
        <w:t xml:space="preserve">. An action or proceeding by either of the Parties to compel arbitration under this Agreement may be brought in the United States District Court for the District of Colorado or, if such court does not have jurisdiction over such matter, the appropriate Colorado State or County court that has jurisdiction. Application may also be made to such court for confirmation of any decision or award of the arbitrator, for an order of enforcement and for any other remedies which may be necessary to effectuate such decision or award. The Parties hereto hereby consent to the jurisdiction of the arbitrator and of such court and waive any objection to the jurisdiction of such arbitrator and court. The Parties hereby irrevocably submit to the exclusive jurisdiction of these courts and waive the defense of inconvenient forum to the maintenance of any action or proceeding in such venue. The Parties irrevocably agree that that all actions or proceedings arising out of or relating to this Agreement which are not subject to arbitration as set forth in this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rPr>
        <w:t>shall be litigated in such court and consent to personal jurisdiction within and venue of such court. Executive consents not to initiate or pursue any action related to his employment or this Agreement in any jurisdiction or venue other than as set forth in this Agreement.</w:t>
      </w:r>
    </w:p>
    <w:p>
      <w:pPr>
        <w:pStyle w:val="TextBody"/>
        <w:bidi w:val="0"/>
        <w:spacing w:lineRule="auto" w:line="288" w:before="157" w:after="283"/>
        <w:ind w:left="0" w:right="0" w:hanging="36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Executive understands and acknowledges that the covenants set forth</w:t>
      </w:r>
    </w:p>
    <w:p>
      <w:pPr>
        <w:pStyle w:val="TextBody"/>
        <w:bidi w:val="0"/>
        <w:spacing w:lineRule="auto" w:line="321" w:before="46" w:after="283"/>
        <w:jc w:val="left"/>
        <w:rPr/>
      </w:pP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impose a reasonable restraint on Executive in light of the business and activities of the Company and its Subsidiaries and Affiliates. Executive acknowledges that</w:t>
      </w:r>
    </w:p>
    <w:p>
      <w:pPr>
        <w:pStyle w:val="TextBody"/>
        <w:bidi w:val="0"/>
        <w:spacing w:lineRule="auto" w:line="321" w:before="0" w:after="0"/>
        <w:jc w:val="left"/>
        <w:rPr/>
      </w:pPr>
      <w:r>
        <w:rPr>
          <w:rFonts w:ascii="Times New Roman;serif" w:hAnsi="Times New Roman;serif"/>
          <w:b w:val="false"/>
          <w:color w:val="000000"/>
          <w:sz w:val="24"/>
        </w:rPr>
        <w:t xml:space="preserve">Executive’s expertise is of a special and unique character which gives this expertise a particular value, and that a breach of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by Executive will cause serious and potentially irreparable harm to the Company and its Subsidiaries and Affiliates. Executive therefore acknowledges that a breach of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by Executive cannot be adequately compensated in an action for damages at law, and equitable relief would be necessary to protect the Company and its Subsidiaries and Affiliates from a violation of this Agreement and from the harm which this Agreement is intended to prevent. By reason thereof, Executive acknowledges that notwithstanding Section 14 of hereof, the Company is entitled to seek injunctive relief in court for any violation of </w:t>
      </w:r>
      <w:r>
        <w:rPr>
          <w:rFonts w:ascii="Times New Roman;serif" w:hAnsi="Times New Roman;serif"/>
          <w:b w:val="false"/>
          <w:color w:val="000000"/>
          <w:sz w:val="24"/>
          <w:u w:val="single"/>
        </w:rPr>
        <w:t>Sections 4(h)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and the Company and its Subsidiaries and Affiliates are entitled, in addition to any other remedies they may have under this Agreement or otherwise, to preliminary and permanent injunctive and other equitable relief to prevent or curtail any breach of this Agreement.</w:t>
      </w:r>
    </w:p>
    <w:p>
      <w:pPr>
        <w:pStyle w:val="TextBody"/>
        <w:bidi w:val="0"/>
        <w:spacing w:lineRule="auto" w:line="321" w:before="199" w:after="283"/>
        <w:ind w:left="0" w:right="0" w:hanging="361"/>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Cooperation and Further Actions</w:t>
      </w:r>
      <w:r>
        <w:rPr>
          <w:rFonts w:ascii="Times New Roman;serif" w:hAnsi="Times New Roman;serif"/>
          <w:b w:val="false"/>
          <w:color w:val="000000"/>
          <w:sz w:val="24"/>
        </w:rPr>
        <w:t>. The Parties agree to perform any and all acts and to execute and deliver any and all documents necessary or convenient to carry out the terms of this Agreement.</w:t>
      </w:r>
    </w:p>
    <w:p>
      <w:pPr>
        <w:pStyle w:val="TextBody"/>
        <w:bidi w:val="0"/>
        <w:spacing w:lineRule="auto" w:line="288" w:before="159" w:after="283"/>
        <w:ind w:left="0" w:right="0" w:hanging="36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including electronically</w:t>
      </w:r>
    </w:p>
    <w:p>
      <w:pPr>
        <w:pStyle w:val="TextBody"/>
        <w:bidi w:val="0"/>
        <w:spacing w:lineRule="auto" w:line="321" w:before="43" w:after="283"/>
        <w:jc w:val="left"/>
        <w:rPr>
          <w:rFonts w:ascii="Times New Roman;serif" w:hAnsi="Times New Roman;serif"/>
          <w:b w:val="false"/>
          <w:color w:val="000000"/>
          <w:sz w:val="24"/>
        </w:rPr>
      </w:pPr>
      <w:r>
        <w:rPr>
          <w:rFonts w:ascii="Times New Roman;serif" w:hAnsi="Times New Roman;serif"/>
          <w:b w:val="false"/>
          <w:color w:val="000000"/>
          <w:sz w:val="24"/>
        </w:rPr>
        <w:t>transmitted counterparts, each of which shall be deemed an original, and all such counterparts together shall be considered one and the same instrument.</w:t>
      </w:r>
    </w:p>
    <w:p>
      <w:pPr>
        <w:pStyle w:val="TextBody"/>
        <w:bidi w:val="0"/>
        <w:spacing w:lineRule="auto" w:line="321" w:before="159" w:after="283"/>
        <w:ind w:left="0" w:right="0" w:hanging="361"/>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Executive Acknowledgment</w:t>
      </w:r>
      <w:r>
        <w:rPr>
          <w:rFonts w:ascii="Times New Roman;serif" w:hAnsi="Times New Roman;serif"/>
          <w:b w:val="false"/>
          <w:color w:val="000000"/>
          <w:sz w:val="24"/>
        </w:rPr>
        <w:t>. Executive acknowledges that Executive has read and understands this Agreement, is fully aware of its legal effect, has not acted in reliance upon any representations or promises made by the Company other than those contained in this Agreement. The Parties have entered into this Agreement based on their own judgment after being advised to, and having the</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opportunity to, consult with legal counsel.</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9700"/>
                <wp:effectExtent l="0" t="0" r="0" b="0"/>
                <wp:wrapNone/>
                <wp:docPr id="68" name="Frame6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321" w:before="1" w:after="283"/>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or caused their duly authorized representatives to execute, this Executive Employment Agreement as of the Effective Date.</w:t>
      </w:r>
    </w:p>
    <w:p>
      <w:pPr>
        <w:pStyle w:val="TextBody"/>
        <w:bidi w:val="0"/>
        <w:spacing w:lineRule="auto" w:line="288" w:before="159" w:after="283"/>
        <w:jc w:val="left"/>
        <w:rPr>
          <w:rFonts w:ascii="Times New Roman;serif" w:hAnsi="Times New Roman;serif"/>
          <w:b/>
          <w:color w:val="000000"/>
          <w:sz w:val="24"/>
        </w:rPr>
      </w:pPr>
      <w:r>
        <w:rPr>
          <w:rFonts w:ascii="Times New Roman;serif" w:hAnsi="Times New Roman;serif"/>
          <w:b/>
          <w:color w:val="000000"/>
          <w:sz w:val="24"/>
        </w:rPr>
        <w:t>TriSalus Life Sciences, Inc.</w:t>
      </w:r>
    </w:p>
    <w:tbl>
      <w:tblPr>
        <w:tblW w:w="2729" w:type="dxa"/>
        <w:jc w:val="left"/>
        <w:tblInd w:w="0" w:type="dxa"/>
        <w:tblLayout w:type="fixed"/>
        <w:tblCellMar>
          <w:top w:w="28" w:type="dxa"/>
          <w:left w:w="28" w:type="dxa"/>
          <w:bottom w:w="28" w:type="dxa"/>
          <w:right w:w="28" w:type="dxa"/>
        </w:tblCellMar>
      </w:tblPr>
      <w:tblGrid>
        <w:gridCol w:w="271"/>
        <w:gridCol w:w="238"/>
        <w:gridCol w:w="241"/>
        <w:gridCol w:w="578"/>
        <w:gridCol w:w="578"/>
        <w:gridCol w:w="82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Mary Szela</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Ms. Mary Szela</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CEO</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1, 2026</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4" w:after="283"/>
        <w:jc w:val="center"/>
        <w:rPr>
          <w:rFonts w:ascii="Times New Roman;serif" w:hAnsi="Times New Roman;serif"/>
          <w:b w:val="false"/>
          <w:color w:val="000000"/>
          <w:sz w:val="22"/>
        </w:rPr>
      </w:pPr>
      <w:r>
        <w:rPr>
          <w:rFonts w:ascii="Times New Roman;serif" w:hAnsi="Times New Roman;serif"/>
          <w:b w:val="false"/>
          <w:color w:val="000000"/>
          <w:sz w:val="22"/>
        </w:rPr>
        <w:t>EXECUTIVE</w:t>
      </w:r>
    </w:p>
    <w:p>
      <w:pPr>
        <w:pStyle w:val="TextBody"/>
        <w:bidi w:val="0"/>
        <w:spacing w:before="0" w:after="0"/>
        <w:jc w:val="left"/>
        <w:rPr/>
      </w:pPr>
      <w:r>
        <w:rPr/>
      </w:r>
    </w:p>
    <w:tbl>
      <w:tblPr>
        <w:tblW w:w="2985" w:type="dxa"/>
        <w:jc w:val="left"/>
        <w:tblInd w:w="0" w:type="dxa"/>
        <w:tblLayout w:type="fixed"/>
        <w:tblCellMar>
          <w:top w:w="28" w:type="dxa"/>
          <w:left w:w="28" w:type="dxa"/>
          <w:bottom w:w="28" w:type="dxa"/>
          <w:right w:w="28" w:type="dxa"/>
        </w:tblCellMar>
      </w:tblPr>
      <w:tblGrid>
        <w:gridCol w:w="271"/>
        <w:gridCol w:w="238"/>
        <w:gridCol w:w="241"/>
        <w:gridCol w:w="652"/>
        <w:gridCol w:w="652"/>
        <w:gridCol w:w="93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Marshall</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Dr. Richard Marshall</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Medical Officer</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1, 2026</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9700"/>
                <wp:effectExtent l="0" t="0" r="0" b="0"/>
                <wp:wrapNone/>
                <wp:docPr id="69" name="Frame6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76" w:after="283"/>
        <w:jc w:val="center"/>
        <w:rPr>
          <w:rFonts w:ascii="Times New Roman;serif" w:hAnsi="Times New Roman;serif"/>
          <w:b/>
          <w:color w:val="000000"/>
          <w:sz w:val="24"/>
        </w:rPr>
      </w:pPr>
      <w:r>
        <w:rPr>
          <w:rFonts w:ascii="Times New Roman;serif" w:hAnsi="Times New Roman;serif"/>
          <w:b/>
          <w:color w:val="000000"/>
          <w:sz w:val="24"/>
        </w:rPr>
        <w:t>EXISTING ADVISORY POSITIONS</w:t>
      </w:r>
    </w:p>
    <w:p>
      <w:pPr>
        <w:pStyle w:val="TextBody"/>
        <w:bidi w:val="0"/>
        <w:spacing w:before="84" w:after="283"/>
        <w:jc w:val="center"/>
        <w:rPr/>
      </w:pPr>
      <w:r>
        <w:rPr/>
      </w:r>
    </w:p>
    <w:p>
      <w:pPr>
        <w:pStyle w:val="TextBody"/>
        <w:bidi w:val="0"/>
        <w:spacing w:lineRule="auto" w:line="288" w:before="84" w:after="283"/>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3" w:after="283"/>
        <w:jc w:val="left"/>
        <w:rPr/>
      </w:pPr>
      <w:r>
        <w:rPr/>
      </w:r>
    </w:p>
    <w:p>
      <w:pPr>
        <w:pStyle w:val="TextBody"/>
        <w:bidi w:val="0"/>
        <w:spacing w:before="7"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2"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9700"/>
                <wp:effectExtent l="0" t="0" r="0" b="0"/>
                <wp:wrapNone/>
                <wp:docPr id="70" name="Frame7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SIGN-ON BONUS AGREEMENT</w:t>
      </w:r>
    </w:p>
    <w:p>
      <w:pPr>
        <w:pStyle w:val="TextBody"/>
        <w:bidi w:val="0"/>
        <w:spacing w:lineRule="auto" w:line="297" w:before="110" w:after="283"/>
        <w:jc w:val="left"/>
        <w:rPr/>
      </w:pPr>
      <w:r>
        <w:rPr>
          <w:rFonts w:ascii="Times New Roman;serif" w:hAnsi="Times New Roman;serif"/>
          <w:b/>
          <w:color w:val="000000"/>
          <w:sz w:val="24"/>
        </w:rPr>
        <w:t xml:space="preserve">THIS SIGN-ON BONUS AGREEMENT </w:t>
      </w:r>
      <w:r>
        <w:rPr>
          <w:rFonts w:ascii="Times New Roman;serif" w:hAnsi="Times New Roman;serif"/>
          <w:b w:val="false"/>
          <w:color w:val="000000"/>
          <w:sz w:val="24"/>
        </w:rPr>
        <w:t>(“</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on the 29th of June,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TriSalus Life Sciences, Inc., a Delaware</w:t>
      </w:r>
    </w:p>
    <w:p>
      <w:pPr>
        <w:pStyle w:val="TextBody"/>
        <w:bidi w:val="0"/>
        <w:spacing w:lineRule="atLeast" w:line="266" w:before="0" w:after="0"/>
        <w:jc w:val="left"/>
        <w:rPr/>
      </w:pPr>
      <w:r>
        <w:rPr>
          <w:rFonts w:ascii="Times New Roman;serif" w:hAnsi="Times New Roman;serif"/>
          <w:b w:val="false"/>
          <w:color w:val="000000"/>
          <w:sz w:val="24"/>
        </w:rPr>
        <w:t>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Dr. Richard Marshall (the “</w:t>
      </w:r>
      <w:r>
        <w:rPr>
          <w:rFonts w:ascii="Times New Roman;serif" w:hAnsi="Times New Roman;serif"/>
          <w:b/>
          <w:color w:val="000000"/>
          <w:sz w:val="24"/>
        </w:rPr>
        <w:t>Employee</w:t>
      </w:r>
      <w:r>
        <w:rPr>
          <w:color w:val="000000"/>
        </w:rPr>
        <w:t>”</w:t>
      </w:r>
      <w:r>
        <w:rPr>
          <w:rFonts w:ascii="Times New Roman;serif" w:hAnsi="Times New Roman;serif"/>
          <w:b w:val="false"/>
          <w:color w:val="000000"/>
          <w:sz w:val="24"/>
        </w:rPr>
        <w:t>).</w:t>
      </w:r>
    </w:p>
    <w:p>
      <w:pPr>
        <w:pStyle w:val="TextBody"/>
        <w:bidi w:val="0"/>
        <w:spacing w:lineRule="auto" w:line="288" w:before="118" w:after="283"/>
        <w:ind w:left="0" w:right="0" w:hanging="1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made below, the parties agree as follows:</w:t>
      </w:r>
    </w:p>
    <w:p>
      <w:pPr>
        <w:pStyle w:val="TextBody"/>
        <w:bidi w:val="0"/>
        <w:spacing w:before="73" w:after="283"/>
        <w:jc w:val="left"/>
        <w:rPr/>
      </w:pPr>
      <w:r>
        <w:rPr/>
      </w:r>
    </w:p>
    <w:p>
      <w:pPr>
        <w:pStyle w:val="TextBody"/>
        <w:bidi w:val="0"/>
        <w:spacing w:lineRule="auto" w:line="288" w:before="1" w:after="283"/>
        <w:ind w:left="0" w:right="0" w:hanging="348"/>
        <w:jc w:val="both"/>
        <w:rPr/>
      </w:pPr>
      <w:r>
        <w:rPr/>
        <w:drawing>
          <wp:inline distT="0" distB="0" distL="0" distR="0">
            <wp:extent cx="104775" cy="104775"/>
            <wp:effectExtent l="0" t="0" r="0" b="0"/>
            <wp:docPr id="7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 descr=""/>
                    <pic:cNvPicPr>
                      <a:picLocks noChangeAspect="1" noChangeArrowheads="1"/>
                    </pic:cNvPicPr>
                  </pic:nvPicPr>
                  <pic:blipFill>
                    <a:blip r:embed="rId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Times New Roman;serif" w:hAnsi="Times New Roman;serif"/>
          <w:b/>
          <w:color w:val="000000"/>
          <w:sz w:val="24"/>
        </w:rPr>
        <w:t xml:space="preserve">Sign-On Bonus. </w:t>
      </w:r>
      <w:r>
        <w:rPr>
          <w:rFonts w:ascii="Times New Roman;serif" w:hAnsi="Times New Roman;serif"/>
          <w:b w:val="false"/>
          <w:color w:val="000000"/>
          <w:sz w:val="24"/>
        </w:rPr>
        <w:t>The Company agrees to pay Employee an annual sign-on bonus of $250,000 per year (the "Sign-On Bonus") for each year of the two-year initial term. The Year 1 Sign-On Bonus of $250,000 will be paid on the first payroll following the commencement of Executive's full-time employment on June 29, 2026. The Year 2 Sign-On Bonus of $250,000 will be paid on the first payroll following June 29, 2027. Each payment shall be subject to all applicable tax and other withholdings.</w:t>
      </w:r>
    </w:p>
    <w:p>
      <w:pPr>
        <w:pStyle w:val="TextBody"/>
        <w:bidi w:val="0"/>
        <w:spacing w:before="77" w:after="283"/>
        <w:jc w:val="left"/>
        <w:rPr/>
      </w:pPr>
      <w:r>
        <w:rPr/>
      </w:r>
    </w:p>
    <w:p>
      <w:pPr>
        <w:pStyle w:val="TextBody"/>
        <w:bidi w:val="0"/>
        <w:spacing w:lineRule="auto" w:line="288" w:before="0" w:after="0"/>
        <w:ind w:left="0" w:right="0" w:hanging="348"/>
        <w:jc w:val="both"/>
        <w:rPr/>
      </w:pPr>
      <w:r>
        <w:rPr/>
        <w:drawing>
          <wp:inline distT="0" distB="0" distL="0" distR="0">
            <wp:extent cx="104775" cy="104775"/>
            <wp:effectExtent l="0" t="0" r="0" b="0"/>
            <wp:docPr id="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 descr=""/>
                    <pic:cNvPicPr>
                      <a:picLocks noChangeAspect="1" noChangeArrowheads="1"/>
                    </pic:cNvPicPr>
                  </pic:nvPicPr>
                  <pic:blipFill>
                    <a:blip r:embed="rId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Times New Roman;serif" w:hAnsi="Times New Roman;serif"/>
          <w:b/>
          <w:color w:val="000000"/>
          <w:sz w:val="24"/>
        </w:rPr>
        <w:t xml:space="preserve">Repayment of Sign-On Bonus. </w:t>
      </w:r>
      <w:r>
        <w:rPr>
          <w:rFonts w:ascii="Times New Roman;serif" w:hAnsi="Times New Roman;serif"/>
          <w:b w:val="false"/>
          <w:color w:val="000000"/>
          <w:sz w:val="24"/>
        </w:rPr>
        <w:t>If Employee's employment terminates for any reason other than a "Discharge Without Cause" or a "Resignation for Good Reason" (each as defined in Employee's Executive Employment Agreement with the Company), then Employee shall repay to the Company, within ten (10) days following termination, the applicable Sign-On Bonus payment(s) as follows (each, a "Repayment Amount"):</w:t>
      </w:r>
    </w:p>
    <w:p>
      <w:pPr>
        <w:pStyle w:val="TextBody"/>
        <w:bidi w:val="0"/>
        <w:spacing w:before="79" w:after="283"/>
        <w:jc w:val="left"/>
        <w:rPr/>
      </w:pPr>
      <w:r>
        <w:rPr/>
      </w:r>
    </w:p>
    <w:p>
      <w:pPr>
        <w:pStyle w:val="TextBody"/>
        <w:bidi w:val="0"/>
        <w:spacing w:lineRule="auto" w:line="288" w:before="0" w:after="0"/>
        <w:ind w:left="0" w:right="0" w:hanging="356"/>
        <w:jc w:val="both"/>
        <w:rPr>
          <w:rFonts w:ascii="Times New Roman;serif" w:hAnsi="Times New Roman;serif"/>
          <w:b w:val="false"/>
          <w:color w:val="000000"/>
          <w:sz w:val="24"/>
        </w:rPr>
      </w:pPr>
      <w:r>
        <w:rPr>
          <w:rFonts w:ascii="Times New Roman;serif" w:hAnsi="Times New Roman;serif"/>
          <w:b w:val="false"/>
          <w:color w:val="000000"/>
          <w:sz w:val="24"/>
        </w:rPr>
        <w:t>(i)With respect to the Year 1 Sign-On Bonus of $250,000, if Employee's employment terminates within twenty-four (24) months following June 29, 2026, a portion equal to (A) the gross Year 1 Sign-On Bonus multiplied by (B) a fraction, the numerator of which is the number of complete months remaining between the date on which Employee's employment terminates and June 29, 2028, and the denominator of which is 24; and</w:t>
      </w:r>
    </w:p>
    <w:p>
      <w:pPr>
        <w:pStyle w:val="TextBody"/>
        <w:bidi w:val="0"/>
        <w:spacing w:before="78" w:after="283"/>
        <w:jc w:val="left"/>
        <w:rPr/>
      </w:pPr>
      <w:r>
        <w:rPr/>
      </w:r>
    </w:p>
    <w:p>
      <w:pPr>
        <w:pStyle w:val="TextBody"/>
        <w:bidi w:val="0"/>
        <w:spacing w:lineRule="auto" w:line="288" w:before="0" w:after="0"/>
        <w:ind w:left="0" w:right="0" w:hanging="356"/>
        <w:jc w:val="both"/>
        <w:rPr>
          <w:rFonts w:ascii="Times New Roman;serif" w:hAnsi="Times New Roman;serif"/>
          <w:b w:val="false"/>
          <w:color w:val="000000"/>
          <w:sz w:val="24"/>
        </w:rPr>
      </w:pPr>
      <w:r>
        <w:rPr>
          <w:rFonts w:ascii="Times New Roman;serif" w:hAnsi="Times New Roman;serif"/>
          <w:b w:val="false"/>
          <w:color w:val="000000"/>
          <w:sz w:val="24"/>
        </w:rPr>
        <w:t>(ii)With respect to the Year 2 Sign-On Bonus of $250,000, if paid, and if Employee's employment terminates within twenty-four (24) months following June 29, 2027, a portion equal to (A) the gross Year 2 Sign-On Bonus multiplied by (B) a fraction, the numerator of which is the number of complete months remaining between the date on which Employee's employment terminates and June 29, 2029, and the denominator of which is 24.</w:t>
      </w:r>
    </w:p>
    <w:p>
      <w:pPr>
        <w:pStyle w:val="TextBody"/>
        <w:bidi w:val="0"/>
        <w:spacing w:before="79"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Employee hereby authorizes the Company to withhold the applicable Repayment Amount from any other amounts the Company may owe to Employee (but, for the avoidance of doubt, Employee shall be required to directly repay the Company to the extent such withheld amounts do not fully satisfy the applicable Repayment Amount).</w:t>
      </w:r>
    </w:p>
    <w:p>
      <w:pPr>
        <w:pStyle w:val="TextBody"/>
        <w:bidi w:val="0"/>
        <w:spacing w:before="77" w:after="283"/>
        <w:jc w:val="left"/>
        <w:rPr/>
      </w:pPr>
      <w:r>
        <w:rPr/>
      </w:r>
    </w:p>
    <w:p>
      <w:pPr>
        <w:pStyle w:val="TextBody"/>
        <w:bidi w:val="0"/>
        <w:spacing w:lineRule="auto" w:line="288" w:before="1" w:after="283"/>
        <w:jc w:val="left"/>
        <w:rPr/>
      </w:pPr>
      <w:r>
        <w:rPr/>
        <w:drawing>
          <wp:inline distT="0" distB="0" distL="0" distR="0">
            <wp:extent cx="104775" cy="104775"/>
            <wp:effectExtent l="0" t="0" r="0" b="0"/>
            <wp:docPr id="7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 descr=""/>
                    <pic:cNvPicPr>
                      <a:picLocks noChangeAspect="1" noChangeArrowheads="1"/>
                    </pic:cNvPicPr>
                  </pic:nvPicPr>
                  <pic:blipFill>
                    <a:blip r:embed="rId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Times New Roman;serif" w:hAnsi="Times New Roman;serif"/>
          <w:b/>
          <w:color w:val="000000"/>
          <w:sz w:val="24"/>
        </w:rPr>
        <w:t>Other Provisions.</w:t>
      </w:r>
    </w:p>
    <w:p>
      <w:pPr>
        <w:pStyle w:val="TextBody"/>
        <w:bidi w:val="0"/>
        <w:spacing w:before="79" w:after="283"/>
        <w:jc w:val="left"/>
        <w:rPr/>
      </w:pPr>
      <w:r>
        <w:rPr/>
      </w:r>
    </w:p>
    <w:p>
      <w:pPr>
        <w:pStyle w:val="TextBody"/>
        <w:bidi w:val="0"/>
        <w:spacing w:lineRule="auto" w:line="285" w:before="0" w:after="0"/>
        <w:ind w:left="0" w:right="0" w:hanging="576"/>
        <w:jc w:val="left"/>
        <w:rPr/>
      </w:pPr>
      <w:r>
        <w:rPr>
          <w:rFonts w:ascii="Times New Roman;serif" w:hAnsi="Times New Roman;serif"/>
          <w:b/>
          <w:color w:val="000000"/>
          <w:sz w:val="24"/>
        </w:rPr>
        <w:t xml:space="preserve">(a)Entire Agreement. </w:t>
      </w:r>
      <w:r>
        <w:rPr>
          <w:rFonts w:ascii="Times New Roman;serif" w:hAnsi="Times New Roman;serif"/>
          <w:b w:val="false"/>
          <w:color w:val="000000"/>
          <w:sz w:val="24"/>
        </w:rPr>
        <w:t>This Agreement contains the entire agreement between the parties with respect to the subject matter hereof and supersedes all prior agreements and understandings, written or oral, with respect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81685"/>
                <wp:effectExtent l="0" t="0" r="0" b="0"/>
                <wp:wrapNone/>
                <wp:docPr id="74" name="Frame71"/>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5" w:before="80" w:after="283"/>
        <w:ind w:left="0" w:right="0" w:hanging="576"/>
        <w:jc w:val="left"/>
        <w:rPr/>
      </w:pPr>
      <w:r>
        <w:rPr>
          <w:rFonts w:ascii="Times New Roman;serif" w:hAnsi="Times New Roman;serif"/>
          <w:b/>
          <w:color w:val="000000"/>
          <w:sz w:val="24"/>
        </w:rPr>
        <w:t xml:space="preserve">(b)No Guarantee of Employment. </w:t>
      </w:r>
      <w:r>
        <w:rPr>
          <w:rFonts w:ascii="Times New Roman;serif" w:hAnsi="Times New Roman;serif"/>
          <w:b w:val="false"/>
          <w:color w:val="000000"/>
          <w:sz w:val="24"/>
        </w:rPr>
        <w:t>Nothing herein shall prohibit the Company from terminating Employee’s employment at any time and for any reason.</w:t>
      </w:r>
    </w:p>
    <w:p>
      <w:pPr>
        <w:pStyle w:val="TextBody"/>
        <w:bidi w:val="0"/>
        <w:spacing w:lineRule="auto" w:line="288" w:before="110" w:after="283"/>
        <w:ind w:left="0" w:right="0" w:hanging="576"/>
        <w:jc w:val="left"/>
        <w:rPr/>
      </w:pPr>
      <w:r>
        <w:rPr>
          <w:rFonts w:ascii="Times New Roman;serif" w:hAnsi="Times New Roman;serif"/>
          <w:b/>
          <w:color w:val="000000"/>
          <w:sz w:val="24"/>
        </w:rPr>
        <w:t xml:space="preserve">(c)Waivers and Amendments. </w:t>
      </w:r>
      <w:r>
        <w:rPr>
          <w:rFonts w:ascii="Times New Roman;serif" w:hAnsi="Times New Roman;serif"/>
          <w:b w:val="false"/>
          <w:color w:val="000000"/>
          <w:sz w:val="24"/>
        </w:rPr>
        <w:t>This Agreement may be amended, modified, superseded, canceled, renewed, or extended, and the terms and conditions hereof may be waived, only by a written instrument signed by Employee and a duly authorized officer of the Company (each, in such capacity, a party) or, in the case of a waiver, by the party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waiving compliance. No delay on the part of any party in exercising any right, power, or privilege hereunder shall operate as a waiver thereof, nor shall any waiver on the</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part of any party of any right, power, or privilege hereunder, nor any single or partial exercise of any right, power, or privilege hereunder, preclude any other or further</w:t>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exercise thereof or the exercise of any other right, power, or privilege hereunder.</w:t>
      </w:r>
    </w:p>
    <w:p>
      <w:pPr>
        <w:pStyle w:val="TextBody"/>
        <w:bidi w:val="0"/>
        <w:spacing w:lineRule="auto" w:line="288" w:before="115" w:after="283"/>
        <w:ind w:left="0" w:right="0" w:hanging="576"/>
        <w:jc w:val="left"/>
        <w:rPr/>
      </w:pPr>
      <w:r>
        <w:rPr>
          <w:rFonts w:ascii="Times New Roman;serif" w:hAnsi="Times New Roman;serif"/>
          <w:b/>
          <w:color w:val="000000"/>
          <w:sz w:val="24"/>
        </w:rPr>
        <w:t xml:space="preserve">(d)Governing Law. </w:t>
      </w:r>
      <w:r>
        <w:rPr>
          <w:rFonts w:ascii="Times New Roman;serif" w:hAnsi="Times New Roman;serif"/>
          <w:b w:val="false"/>
          <w:color w:val="000000"/>
          <w:sz w:val="24"/>
        </w:rPr>
        <w:t>This Agreement has been negotiated and is to be performed in the</w:t>
      </w:r>
    </w:p>
    <w:p>
      <w:pPr>
        <w:pStyle w:val="TextBody"/>
        <w:bidi w:val="0"/>
        <w:spacing w:lineRule="auto" w:line="285" w:before="12" w:after="283"/>
        <w:jc w:val="left"/>
        <w:rPr>
          <w:rFonts w:ascii="Times New Roman;serif" w:hAnsi="Times New Roman;serif"/>
          <w:b w:val="false"/>
          <w:color w:val="000000"/>
          <w:sz w:val="24"/>
        </w:rPr>
      </w:pPr>
      <w:r>
        <w:rPr>
          <w:rFonts w:ascii="Times New Roman;serif" w:hAnsi="Times New Roman;serif"/>
          <w:b w:val="false"/>
          <w:color w:val="000000"/>
          <w:sz w:val="24"/>
        </w:rPr>
        <w:t>State of Colorado, and shall be governed and construed in accordance with the laws of the State of Colorado applicable to agreements made and to be performed entirely</w:t>
      </w:r>
    </w:p>
    <w:p>
      <w:pPr>
        <w:pStyle w:val="TextBody"/>
        <w:bidi w:val="0"/>
        <w:spacing w:lineRule="auto" w:line="288" w:before="3" w:after="283"/>
        <w:jc w:val="left"/>
        <w:rPr>
          <w:rFonts w:ascii="Times New Roman;serif" w:hAnsi="Times New Roman;serif"/>
          <w:b w:val="false"/>
          <w:color w:val="000000"/>
          <w:sz w:val="24"/>
        </w:rPr>
      </w:pPr>
      <w:r>
        <w:rPr>
          <w:rFonts w:ascii="Times New Roman;serif" w:hAnsi="Times New Roman;serif"/>
          <w:b w:val="false"/>
          <w:color w:val="000000"/>
          <w:sz w:val="24"/>
        </w:rPr>
        <w:t>within such state.</w:t>
      </w:r>
    </w:p>
    <w:p>
      <w:pPr>
        <w:pStyle w:val="TextBody"/>
        <w:bidi w:val="0"/>
        <w:spacing w:lineRule="auto" w:line="288" w:before="118" w:after="283"/>
        <w:ind w:left="0" w:right="0" w:hanging="576"/>
        <w:jc w:val="both"/>
        <w:rPr/>
      </w:pPr>
      <w:r>
        <w:rPr>
          <w:rFonts w:ascii="Times New Roman;serif" w:hAnsi="Times New Roman;serif"/>
          <w:b/>
          <w:color w:val="000000"/>
          <w:sz w:val="24"/>
        </w:rPr>
        <w:t xml:space="preserve">(e)Counterparts. </w:t>
      </w:r>
      <w:r>
        <w:rPr>
          <w:rFonts w:ascii="Times New Roman;serif" w:hAnsi="Times New Roman;serif"/>
          <w:b w:val="false"/>
          <w:color w:val="000000"/>
          <w:sz w:val="24"/>
        </w:rPr>
        <w:t>This Agreement may be executed electronically and/or in two or more counterparts, each of which shall be deemed an original but all of which together shall constitute one and the same instrument.</w:t>
      </w:r>
    </w:p>
    <w:p>
      <w:pPr>
        <w:pStyle w:val="TextBody"/>
        <w:bidi w:val="0"/>
        <w:spacing w:lineRule="auto" w:line="285" w:before="106" w:after="283"/>
        <w:ind w:left="0" w:right="0" w:hanging="576"/>
        <w:jc w:val="left"/>
        <w:rPr/>
      </w:pPr>
      <w:r>
        <w:rPr>
          <w:rFonts w:ascii="Times New Roman;serif" w:hAnsi="Times New Roman;serif"/>
          <w:b/>
          <w:color w:val="000000"/>
          <w:sz w:val="24"/>
        </w:rPr>
        <w:t xml:space="preserve">(f)Confidentiality. </w:t>
      </w:r>
      <w:r>
        <w:rPr>
          <w:rFonts w:ascii="Times New Roman;serif" w:hAnsi="Times New Roman;serif"/>
          <w:b w:val="false"/>
          <w:color w:val="000000"/>
          <w:sz w:val="24"/>
        </w:rPr>
        <w:t>Neither party shall disclose the contents of this Agreement or of any other agreement they have simultaneously entered into to any person, firm, or entity, except the agents or representatives of the parties, or except as required by law.</w:t>
      </w:r>
    </w:p>
    <w:p>
      <w:pPr>
        <w:pStyle w:val="TextBody"/>
        <w:bidi w:val="0"/>
        <w:spacing w:lineRule="auto" w:line="288" w:before="112" w:after="283"/>
        <w:ind w:left="0" w:right="0" w:hanging="576"/>
        <w:jc w:val="left"/>
        <w:rPr/>
      </w:pPr>
      <w:r>
        <w:rPr>
          <w:rFonts w:ascii="Times New Roman;serif" w:hAnsi="Times New Roman;serif"/>
          <w:b/>
          <w:color w:val="000000"/>
          <w:sz w:val="24"/>
        </w:rPr>
        <w:t xml:space="preserve">(g)Headings. </w:t>
      </w:r>
      <w:r>
        <w:rPr>
          <w:rFonts w:ascii="Times New Roman;serif" w:hAnsi="Times New Roman;serif"/>
          <w:b w:val="false"/>
          <w:color w:val="000000"/>
          <w:sz w:val="24"/>
        </w:rPr>
        <w:t>The Section headings have been included for convenience only, are not part of this Agreement, and are not to be used to interpret any provision hereof.</w:t>
      </w:r>
    </w:p>
    <w:p>
      <w:pPr>
        <w:pStyle w:val="TextBody"/>
        <w:bidi w:val="0"/>
        <w:spacing w:lineRule="auto" w:line="288" w:before="106" w:after="283"/>
        <w:ind w:left="0" w:right="0" w:hanging="576"/>
        <w:jc w:val="left"/>
        <w:rPr/>
      </w:pPr>
      <w:r>
        <w:rPr>
          <w:rFonts w:ascii="Times New Roman;serif" w:hAnsi="Times New Roman;serif"/>
          <w:b/>
          <w:color w:val="000000"/>
          <w:sz w:val="24"/>
        </w:rPr>
        <w:t xml:space="preserve">(h)Binding Effect and Benefit. </w:t>
      </w:r>
      <w:r>
        <w:rPr>
          <w:rFonts w:ascii="Times New Roman;serif" w:hAnsi="Times New Roman;serif"/>
          <w:b w:val="false"/>
          <w:color w:val="000000"/>
          <w:sz w:val="24"/>
        </w:rPr>
        <w:t>This Agreement shall be binding upon and inure to the benefit of the parties, their successors, heirs, personal representatives, and other legal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representatives. This Agreement may be assigned by the Company to any entity which buys substantially all of the Company’s assets. However, Employee may not assign this Agreement without the prior written consent of the Company.</w:t>
      </w:r>
    </w:p>
    <w:p>
      <w:pPr>
        <w:pStyle w:val="TextBody"/>
        <w:bidi w:val="0"/>
        <w:spacing w:lineRule="auto" w:line="288" w:before="105" w:after="283"/>
        <w:ind w:left="0" w:right="0" w:hanging="576"/>
        <w:jc w:val="left"/>
        <w:rPr/>
      </w:pPr>
      <w:r>
        <w:rPr>
          <w:rFonts w:ascii="Times New Roman;serif" w:hAnsi="Times New Roman;serif"/>
          <w:b/>
          <w:color w:val="000000"/>
          <w:sz w:val="24"/>
        </w:rPr>
        <w:t xml:space="preserve">(i)Separability. </w:t>
      </w:r>
      <w:r>
        <w:rPr>
          <w:rFonts w:ascii="Times New Roman;serif" w:hAnsi="Times New Roman;serif"/>
          <w:b w:val="false"/>
          <w:color w:val="000000"/>
          <w:sz w:val="24"/>
        </w:rPr>
        <w:t>The covenants contained in this Agreement are separable, and if any court of competent jurisdiction declares any of them to be invalid or unenforceable, that declaration of invalidity or unenforceability shall not affect the validity or enforceability of any of the other covenants, each of which shall remain in full force and effect.</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81685"/>
                <wp:effectExtent l="0" t="0" r="0" b="0"/>
                <wp:wrapNone/>
                <wp:docPr id="75" name="Frame72"/>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80" w:after="283"/>
        <w:ind w:left="0" w:right="0" w:hanging="1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intending to be legally bound, have executed this Agreement or caused it to be executed and attested by their duly authorized officers as a document under seal on the day and year first above written.</w:t>
      </w:r>
    </w:p>
    <w:p>
      <w:pPr>
        <w:pStyle w:val="TextBody"/>
        <w:bidi w:val="0"/>
        <w:spacing w:before="254" w:after="283"/>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TriSalus Life Sciences, Inc.</w:t>
      </w:r>
    </w:p>
    <w:p>
      <w:pPr>
        <w:pStyle w:val="TextBody"/>
        <w:bidi w:val="0"/>
        <w:spacing w:before="0" w:after="0"/>
        <w:jc w:val="left"/>
        <w:rPr/>
      </w:pPr>
      <w:r>
        <w:rPr/>
      </w:r>
    </w:p>
    <w:p>
      <w:pPr>
        <w:pStyle w:val="TextBody"/>
        <w:bidi w:val="0"/>
        <w:spacing w:before="77" w:after="283"/>
        <w:jc w:val="left"/>
        <w:rPr/>
      </w:pPr>
      <w:r>
        <w:rPr/>
      </w:r>
    </w:p>
    <w:tbl>
      <w:tblPr>
        <w:tblW w:w="2609" w:type="dxa"/>
        <w:jc w:val="left"/>
        <w:tblInd w:w="0" w:type="dxa"/>
        <w:tblLayout w:type="fixed"/>
        <w:tblCellMar>
          <w:top w:w="28" w:type="dxa"/>
          <w:left w:w="28" w:type="dxa"/>
          <w:bottom w:w="28" w:type="dxa"/>
          <w:right w:w="28" w:type="dxa"/>
        </w:tblCellMar>
      </w:tblPr>
      <w:tblGrid>
        <w:gridCol w:w="227"/>
        <w:gridCol w:w="200"/>
        <w:gridCol w:w="203"/>
        <w:gridCol w:w="578"/>
        <w:gridCol w:w="578"/>
        <w:gridCol w:w="823"/>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Mary Szela</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Ms. Mary Szela</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CEO</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1, 2026</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EMPLOYEE:</w:t>
      </w:r>
    </w:p>
    <w:p>
      <w:pPr>
        <w:pStyle w:val="TextBody"/>
        <w:bidi w:val="0"/>
        <w:spacing w:before="228" w:after="283"/>
        <w:jc w:val="left"/>
        <w:rPr/>
      </w:pPr>
      <w:r>
        <w:rPr/>
      </w:r>
    </w:p>
    <w:tbl>
      <w:tblPr>
        <w:tblW w:w="2865" w:type="dxa"/>
        <w:jc w:val="left"/>
        <w:tblInd w:w="0" w:type="dxa"/>
        <w:tblLayout w:type="fixed"/>
        <w:tblCellMar>
          <w:top w:w="28" w:type="dxa"/>
          <w:left w:w="28" w:type="dxa"/>
          <w:bottom w:w="28" w:type="dxa"/>
          <w:right w:w="28" w:type="dxa"/>
        </w:tblCellMar>
      </w:tblPr>
      <w:tblGrid>
        <w:gridCol w:w="227"/>
        <w:gridCol w:w="200"/>
        <w:gridCol w:w="203"/>
        <w:gridCol w:w="652"/>
        <w:gridCol w:w="652"/>
        <w:gridCol w:w="931"/>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Marshall</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Dr. Richard Marshall</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Medical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April 1, 2026</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83"/>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81685"/>
                <wp:effectExtent l="0" t="0" r="0" b="0"/>
                <wp:wrapNone/>
                <wp:docPr id="76" name="Frame73"/>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419.2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Mary Szela,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the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1949" w:type="dxa"/>
        <w:jc w:val="left"/>
        <w:tblInd w:w="0" w:type="dxa"/>
        <w:tblLayout w:type="fixed"/>
        <w:tblCellMar>
          <w:top w:w="28" w:type="dxa"/>
          <w:left w:w="28" w:type="dxa"/>
          <w:bottom w:w="28" w:type="dxa"/>
          <w:right w:w="28" w:type="dxa"/>
        </w:tblCellMar>
      </w:tblPr>
      <w:tblGrid>
        <w:gridCol w:w="200"/>
        <w:gridCol w:w="177"/>
        <w:gridCol w:w="178"/>
        <w:gridCol w:w="407"/>
        <w:gridCol w:w="407"/>
        <w:gridCol w:w="5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David Patience,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TriSalus Life Sciences,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 presented in the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0" w:after="0"/>
        <w:jc w:val="left"/>
        <w:rPr>
          <w:color w:val="000000"/>
        </w:rPr>
      </w:pPr>
      <w:r>
        <w:rPr>
          <w:color w:val="000000"/>
        </w:rPr>
        <w:t> </w:t>
      </w:r>
    </w:p>
    <w:tbl>
      <w:tblPr>
        <w:tblW w:w="1949" w:type="dxa"/>
        <w:jc w:val="left"/>
        <w:tblInd w:w="0" w:type="dxa"/>
        <w:tblLayout w:type="fixed"/>
        <w:tblCellMar>
          <w:top w:w="28" w:type="dxa"/>
          <w:left w:w="28" w:type="dxa"/>
          <w:bottom w:w="28" w:type="dxa"/>
          <w:right w:w="28" w:type="dxa"/>
        </w:tblCellMar>
      </w:tblPr>
      <w:tblGrid>
        <w:gridCol w:w="200"/>
        <w:gridCol w:w="177"/>
        <w:gridCol w:w="178"/>
        <w:gridCol w:w="407"/>
        <w:gridCol w:w="407"/>
        <w:gridCol w:w="5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lineRule="auto" w:line="240" w:before="0" w:after="0"/>
        <w:jc w:val="left"/>
        <w:rPr>
          <w:color w:val="000000"/>
        </w:rPr>
      </w:pPr>
      <w:r>
        <w:rPr>
          <w:color w:val="000000"/>
        </w:rPr>
        <w:t> </w:t>
      </w:r>
    </w:p>
    <w:tbl>
      <w:tblPr>
        <w:tblW w:w="2025" w:type="dxa"/>
        <w:jc w:val="left"/>
        <w:tblInd w:w="0" w:type="dxa"/>
        <w:tblLayout w:type="fixed"/>
        <w:tblCellMar>
          <w:top w:w="28" w:type="dxa"/>
          <w:left w:w="28" w:type="dxa"/>
          <w:bottom w:w="28" w:type="dxa"/>
          <w:right w:w="28" w:type="dxa"/>
        </w:tblCellMar>
      </w:tblPr>
      <w:tblGrid>
        <w:gridCol w:w="648"/>
        <w:gridCol w:w="570"/>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20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20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4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TriSalus Life Sciences, Inc. (the "Company") for the quarter ended June 30, 2026, as filed with the Securities and Exchange Commission on the date hereof (the "Report"), I, Mary Szela, Chief Executive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1"/>
        <w:gridCol w:w="2791"/>
        <w:gridCol w:w="3967"/>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000"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40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1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Mary Szela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Mary Szela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left"/>
        <w:rPr/>
      </w:pPr>
      <w:r>
        <w:rPr/>
      </w:r>
    </w:p>
    <w:p>
      <w:pPr>
        <w:pStyle w:val="TextBody"/>
        <w:bidi w:val="0"/>
        <w:spacing w:before="16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160" w:after="283"/>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TriSalus Life Sciences, Inc. (the "Company") for the quarter ended June 30, 2026, as filed with the Securities and Exchange Commission on the date hereof (the "Report"), I, David Patience, Chief Financial Officer of the Company certify, pursuant to 18 U.S.C. Section 1350, as adopted pursuant to Section 906 of the Sarbanes-Oxley Act of 2002, that, to the best of my knowledge:</w:t>
      </w:r>
    </w:p>
    <w:tbl>
      <w:tblPr>
        <w:tblW w:w="10205" w:type="dxa"/>
        <w:jc w:val="left"/>
        <w:tblInd w:w="0" w:type="dxa"/>
        <w:tblLayout w:type="fixed"/>
        <w:tblCellMar>
          <w:top w:w="28" w:type="dxa"/>
          <w:left w:w="28" w:type="dxa"/>
          <w:bottom w:w="28" w:type="dxa"/>
          <w:right w:w="28" w:type="dxa"/>
        </w:tblCellMar>
      </w:tblPr>
      <w:tblGrid>
        <w:gridCol w:w="237"/>
        <w:gridCol w:w="209"/>
        <w:gridCol w:w="210"/>
        <w:gridCol w:w="2791"/>
        <w:gridCol w:w="2791"/>
        <w:gridCol w:w="3967"/>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0"/>
              <w:ind w:left="0" w:right="0" w:firstLine="555"/>
              <w:jc w:val="both"/>
              <w:rPr/>
            </w:pPr>
            <w:r>
              <w:rPr/>
            </w:r>
          </w:p>
        </w:tc>
        <w:tc>
          <w:tcPr>
            <w:tcW w:w="9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3295" w:type="dxa"/>
        <w:jc w:val="left"/>
        <w:tblInd w:w="0" w:type="dxa"/>
        <w:tblLayout w:type="fixed"/>
        <w:tblCellMar>
          <w:top w:w="28" w:type="dxa"/>
          <w:left w:w="28" w:type="dxa"/>
          <w:bottom w:w="28" w:type="dxa"/>
          <w:right w:w="28" w:type="dxa"/>
        </w:tblCellMar>
      </w:tblPr>
      <w:tblGrid>
        <w:gridCol w:w="124"/>
        <w:gridCol w:w="109"/>
        <w:gridCol w:w="109"/>
        <w:gridCol w:w="179"/>
        <w:gridCol w:w="179"/>
        <w:gridCol w:w="181"/>
        <w:gridCol w:w="918"/>
        <w:gridCol w:w="617"/>
        <w:gridCol w:w="8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32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Patience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left"/>
        <w:rPr/>
      </w:pPr>
      <w:r>
        <w:rPr/>
      </w:r>
    </w:p>
    <w:p>
      <w:pPr>
        <w:pStyle w:val="TextBody"/>
        <w:bidi w:val="0"/>
        <w:spacing w:before="16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35266</Words>
  <Characters>192633</Characters>
  <CharactersWithSpaces>226378</CharactersWithSpaces>
  <Paragraphs>2420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