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6" w:lineRule="exact"/>
        <w:rPr>
          <w:sz w:val="24"/>
          <w:szCs w:val="24"/>
          <w:color w:val="auto"/>
        </w:rPr>
      </w:pPr>
    </w:p>
    <w:p>
      <w:pPr>
        <w:ind w:left="3660" w:right="1580" w:hanging="3634"/>
        <w:spacing w:after="0" w:line="427" w:lineRule="auto"/>
        <w:tabs>
          <w:tab w:leader="none" w:pos="504"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6" w:lineRule="exact"/>
        <w:rPr>
          <w:sz w:val="24"/>
          <w:szCs w:val="24"/>
          <w:color w:val="auto"/>
        </w:rPr>
      </w:pPr>
    </w:p>
    <w:p>
      <w:pPr>
        <w:ind w:left="3780" w:right="1560" w:hanging="3754"/>
        <w:spacing w:after="0" w:line="443" w:lineRule="auto"/>
        <w:tabs>
          <w:tab w:leader="none" w:pos="5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001-39813</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TRISALUS LIFE SCIENCES,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69"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85-3009869</w:t>
            </w:r>
          </w:p>
        </w:tc>
      </w:tr>
      <w:tr>
        <w:trPr>
          <w:trHeight w:val="270"/>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3"/>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6272 W 91st Ave, Westminster, CO</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80031</w:t>
            </w:r>
          </w:p>
        </w:tc>
      </w:tr>
      <w:tr>
        <w:trPr>
          <w:trHeight w:val="270"/>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(888) 321-5212</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color w:val="auto"/>
        </w:rPr>
        <w:t>N/A (Former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TLSI</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TLSIW</w:t>
            </w:r>
          </w:p>
        </w:tc>
        <w:tc>
          <w:tcPr>
            <w:tcW w:w="4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r>
        <w:trPr>
          <w:trHeight w:val="216"/>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registrant's common stock at an exercise price of $11.50 per</w:t>
            </w:r>
          </w:p>
        </w:tc>
        <w:tc>
          <w:tcPr>
            <w:tcW w:w="2100" w:type="dxa"/>
            <w:vAlign w:val="bottom"/>
            <w:tcBorders>
              <w:right w:val="single" w:sz="8" w:color="auto"/>
            </w:tcBorders>
            <w:vMerge w:val="continue"/>
          </w:tcPr>
          <w:p>
            <w:pPr>
              <w:spacing w:after="0"/>
              <w:rPr>
                <w:sz w:val="18"/>
                <w:szCs w:val="18"/>
                <w:color w:val="auto"/>
              </w:rPr>
            </w:pPr>
          </w:p>
        </w:tc>
        <w:tc>
          <w:tcPr>
            <w:tcW w:w="4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10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220"/>
        <w:spacing w:after="0" w:line="30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2" w:lineRule="exact"/>
        <w:rPr>
          <w:sz w:val="24"/>
          <w:szCs w:val="24"/>
          <w:color w:val="auto"/>
        </w:rPr>
      </w:pPr>
    </w:p>
    <w:p>
      <w:pPr>
        <w:jc w:val="both"/>
        <w:ind w:right="280"/>
        <w:spacing w:after="0" w:line="30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9" w:lineRule="exact"/>
        <w:rPr>
          <w:sz w:val="24"/>
          <w:szCs w:val="24"/>
          <w:color w:val="auto"/>
        </w:rPr>
      </w:pPr>
    </w:p>
    <w:p>
      <w:pPr>
        <w:jc w:val="both"/>
        <w:ind w:right="30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“smaller reporting company,” and "emerging growth company" in Rule 12b-2 of the Exchange Act. (Check one):</w:t>
      </w:r>
    </w:p>
    <w:p>
      <w:pPr>
        <w:spacing w:after="0" w:line="26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rPr>
              <w:t>o</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940"/>
              <w:spacing w:after="0"/>
              <w:rPr>
                <w:sz w:val="20"/>
                <w:szCs w:val="20"/>
                <w:color w:val="auto"/>
              </w:rPr>
            </w:pPr>
            <w:r>
              <w:rPr>
                <w:rFonts w:ascii="Wingdings" w:cs="Wingdings" w:eastAsia="Wingdings" w:hAnsi="Wingdings"/>
                <w:sz w:val="18"/>
                <w:szCs w:val="18"/>
                <w:b w:val="1"/>
                <w:bCs w:val="1"/>
                <w:color w:val="auto"/>
              </w:rPr>
              <w:t>x</w:t>
            </w: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5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92" w:lineRule="exact"/>
        <w:rPr>
          <w:sz w:val="24"/>
          <w:szCs w:val="24"/>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243" w:right="35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30,493,137 shares of common stock outstanding as of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22"/>
                <w:szCs w:val="22"/>
                <w:color w:val="auto"/>
              </w:rPr>
            </w:pPr>
          </w:p>
        </w:tc>
      </w:tr>
      <w:tr>
        <w:trPr>
          <w:trHeight w:val="405"/>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r>
      <w:tr>
        <w:trPr>
          <w:trHeight w:val="256"/>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419"/>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Risk Factor Summary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r>
      <w:tr>
        <w:trPr>
          <w:trHeight w:val="256"/>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4"/>
                <w:szCs w:val="24"/>
                <w:color w:val="auto"/>
              </w:rPr>
            </w:pPr>
          </w:p>
        </w:tc>
      </w:tr>
      <w:tr>
        <w:trPr>
          <w:trHeight w:val="250"/>
        </w:trPr>
        <w:tc>
          <w:tcPr>
            <w:tcW w:w="11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1"/>
                <w:szCs w:val="21"/>
                <w:color w:val="auto"/>
              </w:rPr>
            </w:pPr>
          </w:p>
        </w:tc>
      </w:tr>
      <w:tr>
        <w:trPr>
          <w:trHeight w:val="297"/>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Stockholders’ Deficit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spacing w:after="0"/>
              <w:rPr>
                <w:sz w:val="24"/>
                <w:szCs w:val="24"/>
                <w:color w:val="auto"/>
              </w:rPr>
            </w:pP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4"/>
                <w:szCs w:val="24"/>
                <w:color w:val="auto"/>
              </w:rPr>
            </w:pPr>
          </w:p>
        </w:tc>
      </w:tr>
      <w:tr>
        <w:trPr>
          <w:trHeight w:val="297"/>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57"/>
        </w:trPr>
        <w:tc>
          <w:tcPr>
            <w:tcW w:w="114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40" w:type="dxa"/>
            <w:vAlign w:val="bottom"/>
            <w:shd w:val="clear" w:color="auto" w:fill="CCEEFF"/>
          </w:tcPr>
          <w:p>
            <w:pPr>
              <w:spacing w:after="0"/>
              <w:rPr>
                <w:sz w:val="23"/>
                <w:szCs w:val="23"/>
                <w:color w:val="auto"/>
              </w:rPr>
            </w:pPr>
          </w:p>
        </w:tc>
        <w:tc>
          <w:tcPr>
            <w:tcW w:w="90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r>
      <w:tr>
        <w:trPr>
          <w:trHeight w:val="931"/>
        </w:trPr>
        <w:tc>
          <w:tcPr>
            <w:tcW w:w="1140" w:type="dxa"/>
            <w:vAlign w:val="bottom"/>
          </w:tcPr>
          <w:p>
            <w:pPr>
              <w:spacing w:after="0"/>
              <w:rPr>
                <w:sz w:val="24"/>
                <w:szCs w:val="24"/>
                <w:color w:val="auto"/>
              </w:rPr>
            </w:pPr>
          </w:p>
        </w:tc>
        <w:tc>
          <w:tcPr>
            <w:tcW w:w="90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9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Form10-Q (the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spacing w:after="0" w:line="124"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spacing w:after="0" w:line="9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numerous risks and uncertainties, most of which are difficult to predict and many of which are beyond our control. Some factors that could cause actual results to differ include:</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 and to access additional delayed draws that may in the future become available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retain or recruit, or changes required in, our officers, key employees or directors;</w:t>
      </w:r>
    </w:p>
    <w:p>
      <w:pPr>
        <w:spacing w:after="0" w:line="116" w:lineRule="exact"/>
        <w:rPr>
          <w:rFonts w:ascii="Arial" w:cs="Arial" w:eastAsia="Arial" w:hAnsi="Arial"/>
          <w:sz w:val="18"/>
          <w:szCs w:val="18"/>
          <w:color w:val="auto"/>
        </w:rPr>
      </w:pPr>
    </w:p>
    <w:p>
      <w:pPr>
        <w:ind w:left="660" w:right="380" w:hanging="328"/>
        <w:spacing w:after="0" w:line="281"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successfully commercialize any product candidates that we successfully develop and that are approved by applicable regulatory authorities;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for the timing and results of data from clinical trials and regulatory approval applications;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operations and financial performance including: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history of operating losses and expectations of significant expenses and continuing losses for the foreseeable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execute our business strategy, including the growth potential of the markets for our products and our ability to serve those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and maintain our brand and reputation;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partner with other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size of the addressable markets for our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in the Nasdaq Global Market, and the potential liquidity and trading of such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outcome of any legal proceedings that may be instituted against us; and</w:t>
      </w:r>
    </w:p>
    <w:p>
      <w:pPr>
        <w:spacing w:after="0" w:line="116"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financial and credit market fluctuations, international trade relations, pandemics, political turmoil, natural catastrophes, warfare and terrorist attacks.</w:t>
      </w:r>
    </w:p>
    <w:p>
      <w:pPr>
        <w:spacing w:after="0" w:line="8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Should one or more of the risks or uncertainties described in this Quarterly Report occur, or should underlying</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“Risk Factors.”</w:t>
      </w:r>
    </w:p>
    <w:p>
      <w:pPr>
        <w:spacing w:after="0" w:line="9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200" w:lineRule="exact"/>
        <w:rPr>
          <w:sz w:val="20"/>
          <w:szCs w:val="20"/>
          <w:color w:val="auto"/>
        </w:rPr>
      </w:pPr>
    </w:p>
    <w:p>
      <w:pPr>
        <w:spacing w:after="0" w:line="3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in the more detailed discussion in Item 1A in this Quarterly Report, and the below summary is qualified in its entirety by that more complete discussion of such risks and uncertainties. You should carefully consider the risks and uncertainties described herein as part of your evaluation of an investment in our securities:</w:t>
      </w:r>
    </w:p>
    <w:p>
      <w:pPr>
        <w:spacing w:after="0" w:line="75" w:lineRule="exact"/>
        <w:rPr>
          <w:sz w:val="20"/>
          <w:szCs w:val="20"/>
          <w:color w:val="auto"/>
        </w:rPr>
      </w:pPr>
    </w:p>
    <w:p>
      <w:pPr>
        <w:ind w:left="660" w:right="7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incurring increasing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Purchase Agreement dated July 31, 2020, which TriSalus Operating Life Sciences, Inc. (formerly known as TriSalus Life Sciences, Inc.) entered into with Dynavax Technologies Corporation (“Dynavax”) in connection with the purchase of nelitolimod requires us to make potentially significant payments to Dynavax before we will have regulatory approval of nelitolimod and be able to generate revenue from sales of nelitolimod.</w:t>
      </w:r>
    </w:p>
    <w:p>
      <w:pPr>
        <w:spacing w:after="0" w:line="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our indebtedness or borrow additional funds pursuant to our Loan Facility.</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pharmaceutical development efforts for nelitolimod, and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spacing w:after="0" w:line="71"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spacing w:after="0" w:line="31" w:lineRule="exact"/>
        <w:rPr>
          <w:rFonts w:ascii="Times New Roman" w:cs="Times New Roman" w:eastAsia="Times New Roman" w:hAnsi="Times New Roman"/>
          <w:sz w:val="17"/>
          <w:szCs w:val="17"/>
          <w:color w:val="auto"/>
        </w:rPr>
      </w:pPr>
    </w:p>
    <w:p>
      <w:pPr>
        <w:ind w:left="660" w:right="5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third-party coverage or our inability to maintain and secure favorable reimbursement may impact our ability to sell our products, which would materially and adversely impact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complex regulatory requirements, and failure to comply with these regulations, or the cost of compliance with these regulations, may harm our business.</w:t>
      </w:r>
    </w:p>
    <w:p>
      <w:pPr>
        <w:spacing w:after="0" w:line="53"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6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adequately protect, maintain or enforce our intellectual property rights could substantially harm our business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loss of patent protection may adversely affect our future revenues.</w:t>
      </w:r>
    </w:p>
    <w:p>
      <w:pPr>
        <w:spacing w:after="0" w:line="11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6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identified material weaknesses in its internal control over financial reporting and we may identify additional material weaknesses in the future. If we fail to remediate the material weaknesses or if</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has been and may continue to be volatile.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5"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77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37"/>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63"/>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24,598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7"/>
        </w:trPr>
        <w:tc>
          <w:tcPr>
            <w:tcW w:w="7720" w:type="dxa"/>
            <w:vAlign w:val="bottom"/>
            <w:tcBorders>
              <w:bottom w:val="single" w:sz="8" w:color="CCEEFF"/>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unamortized discount and debt issuance costs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and SEPA liabilities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43" w:lineRule="exact"/>
        <w:rPr>
          <w:sz w:val="20"/>
          <w:szCs w:val="20"/>
          <w:color w:val="auto"/>
        </w:rPr>
      </w:pPr>
    </w:p>
    <w:p>
      <w:pPr>
        <w:ind w:left="360" w:right="460"/>
        <w:spacing w:after="0" w:line="261" w:lineRule="auto"/>
        <w:rPr>
          <w:sz w:val="20"/>
          <w:szCs w:val="20"/>
          <w:color w:val="auto"/>
        </w:rPr>
      </w:pPr>
      <w:r>
        <w:rPr>
          <w:rFonts w:ascii="Times New Roman" w:cs="Times New Roman" w:eastAsia="Times New Roman" w:hAnsi="Times New Roman"/>
          <w:sz w:val="18"/>
          <w:szCs w:val="18"/>
          <w:color w:val="auto"/>
        </w:rPr>
        <w:t>Preferred stock, Series A, $0.0001 par value per share, $10.00 liquidation value per share. Authorized 10,000,000 shares at September 30, 2024 and December 31, 2023, respectively; issued and outstanding, 3,985,002 and 4,015,002 shares at September 30, 2024, and December 31, 2023, respectively.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47,911</w:t>
      </w:r>
      <w:r>
        <w:rPr>
          <w:sz w:val="20"/>
          <w:szCs w:val="20"/>
          <w:color w:val="auto"/>
        </w:rPr>
        <w:tab/>
      </w:r>
      <w:r>
        <w:rPr>
          <w:rFonts w:ascii="Times New Roman" w:cs="Times New Roman" w:eastAsia="Times New Roman" w:hAnsi="Times New Roman"/>
          <w:sz w:val="18"/>
          <w:szCs w:val="18"/>
          <w:b w:val="1"/>
          <w:bCs w:val="1"/>
          <w:color w:val="auto"/>
        </w:rPr>
        <w:t>51,663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36830</wp:posOffset>
            </wp:positionV>
            <wp:extent cx="2228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40"/>
        <w:spacing w:after="0"/>
        <w:tabs>
          <w:tab w:leader="none" w:pos="214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p>
    <w:p>
      <w:pPr>
        <w:spacing w:after="0" w:line="558" w:lineRule="exact"/>
        <w:rPr>
          <w:sz w:val="20"/>
          <w:szCs w:val="20"/>
          <w:color w:val="auto"/>
        </w:rPr>
      </w:pPr>
    </w:p>
    <w:p>
      <w:pPr>
        <w:sectPr>
          <w:pgSz w:w="11900" w:h="16838" w:orient="portrait"/>
          <w:cols w:equalWidth="0" w:num="2">
            <w:col w:w="8140" w:space="720"/>
            <w:col w:w="238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$0.0001 par value per share. Authorized 400,000,000 shares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September 30, 2024 and December 31, 2023, respectively; issued and outstanding, 30,469,664 and</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26,413,213 shares at September 30, 2024, and December 31, 2023, respectively.</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222,437</w:t>
            </w: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(249,504)</w:t>
            </w:r>
          </w:p>
        </w:tc>
      </w:tr>
      <w:tr>
        <w:trPr>
          <w:trHeight w:val="27"/>
        </w:trPr>
        <w:tc>
          <w:tcPr>
            <w:tcW w:w="7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(27,065)</w:t>
            </w:r>
          </w:p>
        </w:tc>
      </w:tr>
      <w:tr>
        <w:trPr>
          <w:trHeight w:val="264"/>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24,598</w:t>
            </w:r>
          </w:p>
        </w:tc>
      </w:tr>
      <w:tr>
        <w:trPr>
          <w:trHeight w:val="21"/>
        </w:trPr>
        <w:tc>
          <w:tcPr>
            <w:tcW w:w="7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6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0" w:type="dxa"/>
            <w:vAlign w:val="bottom"/>
          </w:tcPr>
          <w:p>
            <w:pPr>
              <w:spacing w:after="0"/>
              <w:rPr>
                <w:sz w:val="1"/>
                <w:szCs w:val="1"/>
                <w:color w:val="auto"/>
              </w:rPr>
            </w:pPr>
          </w:p>
        </w:tc>
      </w:tr>
      <w:tr>
        <w:trPr>
          <w:trHeight w:val="237"/>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equity issuance</w:t>
            </w:r>
          </w:p>
        </w:tc>
        <w:tc>
          <w:tcPr>
            <w:tcW w:w="3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Extinguishment of tranche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2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SEPA, warrant, and revenue base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liabilities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Deemed dividend related to Series B-2 preferred stock down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round provision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6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26,501,597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13,173,422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24,588,500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4,749,849</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60" w:type="dxa"/>
            <w:vAlign w:val="bottom"/>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60" w:type="dxa"/>
            <w:vAlign w:val="bottom"/>
          </w:tcPr>
          <w:p>
            <w:pPr>
              <w:spacing w:after="0"/>
              <w:rPr>
                <w:sz w:val="17"/>
                <w:szCs w:val="17"/>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5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56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5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26,413,213</w:t>
            </w:r>
          </w:p>
        </w:tc>
        <w:tc>
          <w:tcPr>
            <w:tcW w:w="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32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5"/>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March 31,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26,758,272</w:t>
            </w:r>
          </w:p>
        </w:tc>
        <w:tc>
          <w:tcPr>
            <w:tcW w:w="5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226,671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(262,710)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(36,037)</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Record exchange warrants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Record issuance costs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June 30,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27,159,463</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25"/>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warrants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2,110,366</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6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September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3,985,002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30,469,664</w:t>
            </w:r>
          </w:p>
        </w:tc>
        <w:tc>
          <w:tcPr>
            <w:tcW w:w="3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(20,434)</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 Amount reflects 2,906 shares issued for option exercises and 7,847 shares returned from options exercised in 2023 to correct clerical error.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925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Exercise of options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Deemed dividend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loss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 March 31, 2023</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Exercise of options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Deemed dividend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loss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 June 30, 2023</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Exercise of options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Impact of Business Combination</w:t>
      </w:r>
    </w:p>
    <w:p>
      <w:pPr>
        <w:spacing w:after="0" w:line="63"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8"/>
          <w:szCs w:val="18"/>
          <w:color w:val="auto"/>
        </w:rPr>
        <w:t>Conversion of redeemable convertible preferred stock into common stock in connection with the Business Combination</w:t>
      </w:r>
    </w:p>
    <w:p>
      <w:pPr>
        <w:spacing w:after="0" w:line="18" w:lineRule="exact"/>
        <w:rPr>
          <w:sz w:val="20"/>
          <w:szCs w:val="20"/>
          <w:color w:val="auto"/>
        </w:rPr>
      </w:pPr>
    </w:p>
    <w:p>
      <w:pPr>
        <w:ind w:left="160" w:right="340"/>
        <w:spacing w:after="0" w:line="261" w:lineRule="auto"/>
        <w:rPr>
          <w:sz w:val="20"/>
          <w:szCs w:val="20"/>
          <w:color w:val="auto"/>
        </w:rPr>
      </w:pPr>
      <w:r>
        <w:rPr>
          <w:rFonts w:ascii="Times New Roman" w:cs="Times New Roman" w:eastAsia="Times New Roman" w:hAnsi="Times New Roman"/>
          <w:sz w:val="18"/>
          <w:szCs w:val="18"/>
          <w:color w:val="auto"/>
        </w:rPr>
        <w:t>Assumption of warrants to purchase common stock in connection with the Business Combination</w:t>
      </w:r>
    </w:p>
    <w:p>
      <w:pPr>
        <w:spacing w:after="0" w:line="18" w:lineRule="exact"/>
        <w:rPr>
          <w:sz w:val="20"/>
          <w:szCs w:val="20"/>
          <w:color w:val="auto"/>
        </w:rPr>
      </w:pPr>
    </w:p>
    <w:p>
      <w:pPr>
        <w:ind w:left="160" w:right="120"/>
        <w:spacing w:after="0" w:line="266" w:lineRule="auto"/>
        <w:rPr>
          <w:sz w:val="20"/>
          <w:szCs w:val="20"/>
          <w:color w:val="auto"/>
        </w:rPr>
      </w:pPr>
      <w:r>
        <w:rPr>
          <w:rFonts w:ascii="Times New Roman" w:cs="Times New Roman" w:eastAsia="Times New Roman" w:hAnsi="Times New Roman"/>
          <w:sz w:val="18"/>
          <w:szCs w:val="18"/>
          <w:color w:val="auto"/>
        </w:rPr>
        <w:t>Issuance of common stock upon closing the Business Combination, net of expenses</w:t>
      </w:r>
    </w:p>
    <w:p>
      <w:pPr>
        <w:spacing w:after="0" w:line="14" w:lineRule="exact"/>
        <w:rPr>
          <w:sz w:val="20"/>
          <w:szCs w:val="20"/>
          <w:color w:val="auto"/>
        </w:rPr>
      </w:pPr>
    </w:p>
    <w:p>
      <w:pPr>
        <w:ind w:left="160" w:right="220"/>
        <w:spacing w:after="0" w:line="266" w:lineRule="auto"/>
        <w:rPr>
          <w:sz w:val="20"/>
          <w:szCs w:val="20"/>
          <w:color w:val="auto"/>
        </w:rPr>
      </w:pPr>
      <w:r>
        <w:rPr>
          <w:rFonts w:ascii="Times New Roman" w:cs="Times New Roman" w:eastAsia="Times New Roman" w:hAnsi="Times New Roman"/>
          <w:sz w:val="18"/>
          <w:szCs w:val="18"/>
          <w:color w:val="auto"/>
        </w:rPr>
        <w:t>Contingent earnout liability recognized upon closing of the Business Combination</w:t>
      </w:r>
    </w:p>
    <w:p>
      <w:pPr>
        <w:spacing w:after="0" w:line="14" w:lineRule="exact"/>
        <w:rPr>
          <w:sz w:val="20"/>
          <w:szCs w:val="20"/>
          <w:color w:val="auto"/>
        </w:rPr>
      </w:pPr>
    </w:p>
    <w:p>
      <w:pPr>
        <w:ind w:left="160" w:right="60"/>
        <w:spacing w:after="0" w:line="266" w:lineRule="auto"/>
        <w:rPr>
          <w:sz w:val="20"/>
          <w:szCs w:val="20"/>
          <w:color w:val="auto"/>
        </w:rPr>
      </w:pPr>
      <w:r>
        <w:rPr>
          <w:rFonts w:ascii="Times New Roman" w:cs="Times New Roman" w:eastAsia="Times New Roman" w:hAnsi="Times New Roman"/>
          <w:sz w:val="18"/>
          <w:szCs w:val="18"/>
          <w:color w:val="auto"/>
        </w:rPr>
        <w:t>Assumption of preferred stock in connection with the Business Combination</w:t>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loss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At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54349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3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(176,329)</w:t>
            </w:r>
          </w:p>
        </w:tc>
        <w:tc>
          <w:tcPr>
            <w:tcW w:w="0" w:type="dxa"/>
            <w:vAlign w:val="bottom"/>
          </w:tcPr>
          <w:p>
            <w:pPr>
              <w:spacing w:after="0"/>
              <w:rPr>
                <w:sz w:val="1"/>
                <w:szCs w:val="1"/>
                <w:color w:val="auto"/>
              </w:rPr>
            </w:pPr>
          </w:p>
        </w:tc>
      </w:tr>
      <w:tr>
        <w:trPr>
          <w:trHeight w:val="270"/>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0"/>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(195,630)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(184,519)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0"/>
        </w:trPr>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(211,637)</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(198,419)</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188"/>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21,500,867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204,236</w:t>
            </w:r>
          </w:p>
        </w:tc>
        <w:tc>
          <w:tcPr>
            <w:tcW w:w="0" w:type="dxa"/>
            <w:vAlign w:val="bottom"/>
          </w:tcPr>
          <w:p>
            <w:pPr>
              <w:spacing w:after="0"/>
              <w:rPr>
                <w:sz w:val="1"/>
                <w:szCs w:val="1"/>
                <w:color w:val="auto"/>
              </w:rPr>
            </w:pPr>
          </w:p>
        </w:tc>
      </w:tr>
      <w:tr>
        <w:trPr>
          <w:trHeight w:val="918"/>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702"/>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702"/>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0" w:type="dxa"/>
            <w:vAlign w:val="bottom"/>
          </w:tcPr>
          <w:p>
            <w:pPr>
              <w:spacing w:after="0"/>
              <w:rPr>
                <w:sz w:val="1"/>
                <w:szCs w:val="1"/>
                <w:color w:val="auto"/>
              </w:rPr>
            </w:pPr>
          </w:p>
        </w:tc>
      </w:tr>
      <w:tr>
        <w:trPr>
          <w:trHeight w:val="702"/>
        </w:trPr>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34,151</w:t>
            </w:r>
          </w:p>
        </w:tc>
        <w:tc>
          <w:tcPr>
            <w:tcW w:w="0" w:type="dxa"/>
            <w:vAlign w:val="bottom"/>
          </w:tcPr>
          <w:p>
            <w:pPr>
              <w:spacing w:after="0"/>
              <w:rPr>
                <w:sz w:val="1"/>
                <w:szCs w:val="1"/>
                <w:color w:val="auto"/>
              </w:rPr>
            </w:pPr>
          </w:p>
        </w:tc>
      </w:tr>
      <w:tr>
        <w:trPr>
          <w:trHeight w:val="270"/>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4,015,002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26,316,682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221,351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(213,062)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-5331460</wp:posOffset>
            </wp:positionV>
            <wp:extent cx="710628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-4979670</wp:posOffset>
            </wp:positionV>
            <wp:extent cx="71062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-4636770</wp:posOffset>
            </wp:positionV>
            <wp:extent cx="71062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-4285615</wp:posOffset>
            </wp:positionV>
            <wp:extent cx="710628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-3933825</wp:posOffset>
            </wp:positionV>
            <wp:extent cx="710628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-3590925</wp:posOffset>
            </wp:positionV>
            <wp:extent cx="710628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-3230880</wp:posOffset>
            </wp:positionV>
            <wp:extent cx="71062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-2887980</wp:posOffset>
            </wp:positionV>
            <wp:extent cx="7106285" cy="582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58293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-1722120</wp:posOffset>
            </wp:positionV>
            <wp:extent cx="7106285"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44577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-831215</wp:posOffset>
            </wp:positionV>
            <wp:extent cx="7106285"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44577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-213995</wp:posOffset>
            </wp:positionV>
            <wp:extent cx="7106285"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60"/>
            <w:col w:w="8560"/>
          </w:cols>
          <w:pgMar w:left="320" w:top="135" w:right="35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Reduction in the carrying amount of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tranche and SEPA liability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Initial OrbiMed Warrants and revenue base redemption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(19,904)</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equity issuance</w:t>
            </w:r>
          </w:p>
        </w:tc>
        <w:tc>
          <w:tcPr>
            <w:tcW w:w="3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Extinguishment of tranche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4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Milestone payments to Dynavax</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43"/>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43"/>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8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(35,136)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(41,401)</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Milestone payments to Dynavax</w:t>
            </w:r>
          </w:p>
        </w:tc>
        <w:tc>
          <w:tcPr>
            <w:tcW w:w="3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preferred stock warrants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3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related to Business Combination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debt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 for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6"/>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34,942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54,586</w:t>
            </w:r>
          </w:p>
        </w:tc>
      </w:tr>
      <w:tr>
        <w:trPr>
          <w:trHeight w:val="27"/>
        </w:trPr>
        <w:tc>
          <w:tcPr>
            <w:tcW w:w="8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r>
      <w:tr>
        <w:trPr>
          <w:trHeight w:val="27"/>
        </w:trPr>
        <w:tc>
          <w:tcPr>
            <w:tcW w:w="8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 with OrbiMed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revenue base redemption liability related to OrbiMed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35" w:right="359" w:bottom="488"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488"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71"/>
        </w:trPr>
        <w:tc>
          <w:tcPr>
            <w:tcW w:w="20" w:type="dxa"/>
            <w:vAlign w:val="bottom"/>
          </w:tcPr>
          <w:p>
            <w:pPr>
              <w:spacing w:after="0"/>
              <w:rPr>
                <w:sz w:val="24"/>
                <w:szCs w:val="24"/>
                <w:color w:val="auto"/>
              </w:rPr>
            </w:pPr>
          </w:p>
        </w:tc>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 with Series B-2 preferred stock</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w:t>
            </w:r>
          </w:p>
        </w:tc>
      </w:tr>
      <w:tr>
        <w:trPr>
          <w:trHeight w:val="27"/>
        </w:trPr>
        <w:tc>
          <w:tcPr>
            <w:tcW w:w="2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Transfer of warrant liability to preferred stock upon exercise of warrants</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August 10, 2023 (the "Closing Date"), TriSalus Life Sciences, Inc., a Delaware corporation (the “Company,” “TriSalus,” “we,” “us”), formerly known as MedTech Acquisition Corporation (“MTAC”), consummated the previously announced merger pursuant to the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(as amended, the “Merger Agreement”),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and TriSalus Life Sciences, Inc. becoming the surviving company. The closing of the Business Combination is herein referred to as “the Closing.” In connection with the consummation of the Merger, on August 10, 2023, Legacy TriSalus changed its name from TriSalus Life Sciences, Inc. to TriSalus Operating Life Sciences, Inc., and MTAC changed its name from MedTech Acquisition Corporation to TriSalus Life Sciences, Inc., the surviving company ("New TriSalus”). As further described in Note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Legacy TriSalus was deemed to be the accounting acquirer and predecessor company in the Business Combination. Thus,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presented in these condensed consolidated financial statements are of Legacy TriSalus.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8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dedicated to the research, development, and commercialization of an innovative drug delivery technology platform and an immuno-oncology therapeutic, aimed at improving outcomes for patients with difficult-to-treat liver and pancreatic cancers. Our advanced technology is designed for use by interventional radiologists to enhance the delivery of therapeutics and improve patient outcomes.</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market our cutting-edge Pressure Enabled Drug Delivery (PEDD™) infusion systems, which optimize therapeutic delivery for hepatocellular carcinoma, pancreatic cancer, and other solid liver tumors. Our PEDD with SmartValve™ is the only technology designed to work in synchrony with the cardiac cycle to open collapsed vessels in the tumor to enable deeper perfusion and improve therapeutic drug delivery in tumors with high intratumoral pressure. PEDD with SmartValve has been shown in prospective and retrospective clinical studies and in multiple pre-clinical models to improve therapy uptake and tumor response. Additionally, we are developing a drug product candidate, nelitolimod (A TLR9 agonist), which has demonstrated a potential to enhance immune system response, when delivered via PEDD, in the treatment of pancreatic cancer and other liver solid tumors. The combination of our PEDD technology with nelitolimod is focused on solving the two main barriers in the tumor microenvironment that inhibits the success of systemic therapies. The first barrier (mechanical) is comprised of high intratumoral pressure within tumors that limits drug uptake and the second barrier (biological) is the reversal of intratumoral immunosuppression. Nelitolimod has a dual mechanism of action in solid tumors which includes the alteration of the tumor microenvironment by reducing immunosuppressive myeloid derived suppressor cells while simultaneously activating immune response and recruiting T-cells to the tumor, allowing checkpoint inhibitors to work more effectively. </w:t>
      </w:r>
      <w:r>
        <w:rPr>
          <w:rFonts w:ascii="Times New Roman" w:cs="Times New Roman" w:eastAsia="Times New Roman" w:hAnsi="Times New Roman"/>
          <w:sz w:val="18"/>
          <w:szCs w:val="18"/>
          <w:color w:val="231F20"/>
        </w:rPr>
        <w:t>We have initiated Phase 1 and Phase 1b clinical trials for this nelitolimod,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which are focused on a different target indication, specifically: uveal melanoma, intrahepatic cholangiocarcinoma and hepatocellular carcinoma ("ICC" and "HCC"), and pancreatic cancer. Based on our review of the preliminary data regarding the ICC/HCC studies, we do not intend to proceed to Phase II trials for those indications. Based on the changing landscape for second line treatment of uveal melanoma, we do not intend to proceed to Phase II trials for that indication on our own, but we are looking for potential partners to advance that indication. Our PERIO-3 clinical trial in pancreatic cancer is continuing with additional patient enrollment and we anticipate data from the study will be available in sometime in 2025, depending on when patient enrollment and treatment is completed.</w:t>
      </w:r>
    </w:p>
    <w:p>
      <w:pPr>
        <w:spacing w:after="0" w:line="8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TriNav™ is the newest therapy delivery device with SmartValve technology for the proprietary PEDD approach. Current sales consist of the TriNav Infusion System, introduced in 2020. In 2020, we gained transitional pass-through payments (“TPT”) approval from the Centers for Medicare &amp; Medicaid Services (“CMS”), which allows hospitals to cover the cost of using TriNav. The approval expired at the end of 2023. On June 1, 2023, </w:t>
      </w:r>
      <w:r>
        <w:rPr>
          <w:rFonts w:ascii="Times New Roman" w:cs="Times New Roman" w:eastAsia="Times New Roman" w:hAnsi="Times New Roman"/>
          <w:sz w:val="18"/>
          <w:szCs w:val="18"/>
          <w:color w:val="231F20"/>
        </w:rPr>
        <w:t>we applied for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new technology APC code with CMS. In December 2023, CMS granted a New Technology Healthcare Common Procedure Coding System ("HCPCS") code for both mapping and therapeutic procedures involving TriNav. This new code, HCPCS C9797, has been assigned to the Ambulatory Payment Classification ("APC") code 5194 - Level 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Endovascular procedures. The new code became effective on January 1, 2024, and may be reported by hospital outpatient departments and ambulatory surgical centers.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full potential of our technology can be realized through the combination of our drug delivery technology with therapeutics. In</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July 2020, we acquired our first immune-oncology drug, nelitolimod, and began clinical development of nelitolimod for treatment of liver and pancreatic cancers.</w:t>
      </w:r>
    </w:p>
    <w:p>
      <w:pPr>
        <w:spacing w:after="0" w:line="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funded operations to date principally with proceeds from the sale of preferred stock, from the issuance of debt and convertible debt, and the closing of the Business Combination. Since inception of the Company in 2009 through September 30, 2024, we have issued for cash $164,364 of preferred stock (of which $36,854 was raised at the closing of the Business Combination from issuance of Series A convertible preferred stock), which, along with $13,159 from common stock and $57,466 from convertible notes and warrants, has funded our accumulated deficit of $269,441. During the nine months ended September 30, 2024, we raised $12,390 in cash through the sale of common stock under the Standby Equity Purchase Agreement, which we entered into with YA II PN, Ltd. ("Yorkville") on October 2, 2023 (the "SEPA") and $14 from the exercise of stock options. See Note </w:t>
      </w:r>
      <w:r>
        <w:rPr>
          <w:rFonts w:ascii="Times New Roman" w:cs="Times New Roman" w:eastAsia="Times New Roman" w:hAnsi="Times New Roman"/>
          <w:sz w:val="18"/>
          <w:szCs w:val="18"/>
          <w:i w:val="1"/>
          <w:iCs w:val="1"/>
          <w:color w:val="auto"/>
        </w:rPr>
        <w:t>(12) Standby Equity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for discussion of the SEPA.</w:t>
      </w:r>
    </w:p>
    <w:p>
      <w:pPr>
        <w:spacing w:after="0" w:line="8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April 30, 2024 (the "OrbiMed Closing Date"), we entered into a Credit Agreement (the "Credit Agreement") with OrbiMed Royalty &amp; Credit Opportunities IV, LP ("OrbiMed"), a healthcare investment firm. Under the terms of the Credit Agreement, we may borrow up to $50,000, of which we immediately drew $25,000, before expenses. The remaining debt is available in two increments of $10,000 and $15,000, subject to the achievement of certain revenue targets. See Note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for further discussion.</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we had cash, cash equivalents, and restricted cash of $11,638. The Company is still in its early stage, has a history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 operating losses, has yet to generate revenues sufficient to create positive cash flow and has an accumulated deficit of $269,441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We expect that our existing cash and cash equivalents will not be sufficient to fund our projected liquidity requirements for the next 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from the issuance date of the condensed financial statements. If we are able to achieve certain targets specified in the Credit Agreement and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able to draw the remainder of the funds available, and if market conditions allow us to sell additional shares under the SEPA, we believe we can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through the end of 2025.</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ASC Topic 205-40, Presentation of Financial Statements, Going Concern: Disclosure of Uncertainties about an Entity’s Ability to Continue as a Going Concern, we are required to evaluate whether there is substantial doubt about our ability to continue as a going concern each reporting period. In evaluating our ability to continue as a going concern, management projected our cash flow sources and needs and evaluated the conditions and events that could raise substantial doubt about our ability to continue as a going concern within one year after the date that these condensed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condensed consolidated financial statements as to whether we have the ability to fund future operations and meet our obligations as they become due in the normal course of business.</w:t>
      </w:r>
    </w:p>
    <w:p>
      <w:pPr>
        <w:spacing w:after="0" w:line="15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ability to fund future operations and to continue the execution of our long-term business plan and strategy, including our transformation into a therapeutics company, will require that we raise additional capital through a combination of collaborations, strategic alliances and licensing arrangements, and issuance of additional equity and/or debt. As described in Note (12) Standby Equity Purchase Agreement, we have the right but not the obligation, to sell up to $30,000 of our Common Stock at our request under the SEPA, subject to terms and conditions specified in the agreement. During the nine months ended September 30, 2024, we sold 1,874,867 shares of common stock under the SEPA, raising $12,390. In addition, as described in Note (13) Debt, in April 2024, we drew $25,000, before expenses, under the Credit Agreement. Outside of these agreements,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spacing w:after="0" w:line="15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 capital, a volatile business and technological environment, the process to test and obtain approval to market the candidate pharmaceutical, an evolving business model, and demand for our products. To address these risks, we must, among other things, gain access to capital in sufficient amounts and on acceptable terms, maintain and increase our customer base, implement and successfully execute our business strategy, develop the candidate pharmaceutical, continue to enhance our technology, provide superior customer service, and attract, retain, and motivate qualified personnel. There can be no guarantee that we will succeed in addressing such risks.</w:t>
      </w:r>
    </w:p>
    <w:p>
      <w:pPr>
        <w:spacing w:after="0" w:line="179"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U.S. Generally Accepted Accounting Principles (“GAAP”). The interim unaudited condensed consolidated financial statements are comprised of the condensed financial statements of the Company. In management’s opinion, the interim financial data presented includes all adjustments necessary for a fair presentation. All intercompany accounts and transactions have been eliminated. Certain information required by GAAP has been condensed or omitted in accordance with rules and regulations of the SEC. Operating results for the nine months ended September 30, 2024, are not necessarily indicative of the results that may be expected for any future period or for the year ending December 31, 2024. The accompanying interim unaudited condensed consolidated financial statements should be read in conjunction with the Annual Report on Form 10-K for the year ended December 31, 2023. The December 31, 2023, condensed consolidated balance sheet is derived from the audited balance sheet included in the Annual Report on Form 10-K for the year ended December 31, 2023. A summary of our significant accounting policies is included in Note 2 to our consolidated financial statements in our Annual Report on Form 10-K for the year ended December 31, 2023. Certain of our accounting policies are considered critical, as these policies are the most important to the depiction of our financial statements and require significant, difficult or complex judgments by us, often employing the use of estimates about the effects of matters that are inherently uncertain. Such policies are summarized below.</w:t>
      </w:r>
    </w:p>
    <w:p>
      <w:pPr>
        <w:spacing w:after="0" w:line="13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have modified the presentation of certain warrants. In previous filings, we reported the Working Capital Warrants in combination with the Private Warrants, calling them collectively the Private Warrants. For the current Quarterly Report on Form 10-Q, we have separated the Working Capital Warrants from the Private Placement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Revision of Previously Issued Financial Statements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for the condensed consolidated financial statements for the period ended September 30, 2024, we identified errors in our previously filed consolidated financial statements and unaudited quarterly condensed consolidated financial statements relating to incorrectly capitalizing the costs of obtaining and maintaining patents.</w:t>
      </w:r>
    </w:p>
    <w:p>
      <w:pPr>
        <w:spacing w:after="0" w:line="12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Staff Accounting Bulletins (“SAB”) No. 99, Materiality and SAB No. 108, </w:t>
      </w:r>
      <w:r>
        <w:rPr>
          <w:rFonts w:ascii="Times New Roman" w:cs="Times New Roman" w:eastAsia="Times New Roman" w:hAnsi="Times New Roman"/>
          <w:sz w:val="18"/>
          <w:szCs w:val="18"/>
          <w:i w:val="1"/>
          <w:iCs w:val="1"/>
          <w:color w:val="auto"/>
        </w:rPr>
        <w:t>Considering the Effects of Misstatements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Quantifying Misstatements in the Current Year Financial Statements</w:t>
      </w:r>
      <w:r>
        <w:rPr>
          <w:rFonts w:ascii="Times New Roman" w:cs="Times New Roman" w:eastAsia="Times New Roman" w:hAnsi="Times New Roman"/>
          <w:sz w:val="18"/>
          <w:szCs w:val="18"/>
          <w:color w:val="auto"/>
        </w:rPr>
        <w:t>, we assessed the materiality of these errors to our previously issued and current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Based upon our evaluation of both quantitative and qualitative factors, we concluded the errors were not material to our previously issued annual or interim condensed consolidated financial statements.</w:t>
      </w:r>
    </w:p>
    <w:p>
      <w:pPr>
        <w:spacing w:after="0" w:line="12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 the effects of the revision on our previously issued consolidated financial statements for prior year ended December 31, 2023, and for the nine months ended September 30, 2024 (in thousands, except net loss per share) for associated activity all of which occurred through March 31, 2024:</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3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5"/>
        </w:trPr>
        <w:tc>
          <w:tcPr>
            <w:tcW w:w="3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03"/>
        </w:trPr>
        <w:tc>
          <w:tcPr>
            <w:tcW w:w="3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260" w:type="dxa"/>
            <w:vAlign w:val="bottom"/>
          </w:tcPr>
          <w:p>
            <w:pPr>
              <w:spacing w:after="0"/>
              <w:rPr>
                <w:sz w:val="17"/>
                <w:szCs w:val="17"/>
                <w:color w:val="auto"/>
              </w:rPr>
            </w:pPr>
          </w:p>
        </w:tc>
        <w:tc>
          <w:tcPr>
            <w:tcW w:w="1420" w:type="dxa"/>
            <w:vAlign w:val="bottom"/>
            <w:gridSpan w:val="3"/>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12/31/23</w:t>
            </w:r>
          </w:p>
        </w:tc>
        <w:tc>
          <w:tcPr>
            <w:tcW w:w="260" w:type="dxa"/>
            <w:vAlign w:val="bottom"/>
          </w:tcPr>
          <w:p>
            <w:pPr>
              <w:spacing w:after="0"/>
              <w:rPr>
                <w:sz w:val="17"/>
                <w:szCs w:val="17"/>
                <w:color w:val="auto"/>
              </w:rPr>
            </w:pPr>
          </w:p>
        </w:tc>
        <w:tc>
          <w:tcPr>
            <w:tcW w:w="1340" w:type="dxa"/>
            <w:vAlign w:val="bottom"/>
            <w:gridSpan w:val="3"/>
          </w:tcPr>
          <w:p>
            <w:pPr>
              <w:jc w:val="right"/>
              <w:ind w:right="480"/>
              <w:spacing w:after="0" w:line="202" w:lineRule="exact"/>
              <w:rPr>
                <w:sz w:val="20"/>
                <w:szCs w:val="20"/>
                <w:color w:val="auto"/>
              </w:rPr>
            </w:pPr>
            <w:r>
              <w:rPr>
                <w:rFonts w:ascii="Times New Roman" w:cs="Times New Roman" w:eastAsia="Times New Roman" w:hAnsi="Times New Roman"/>
                <w:sz w:val="18"/>
                <w:szCs w:val="18"/>
                <w:b w:val="1"/>
                <w:bCs w:val="1"/>
                <w:color w:val="auto"/>
              </w:rPr>
              <w:t>12/31/23</w:t>
            </w:r>
          </w:p>
        </w:tc>
        <w:tc>
          <w:tcPr>
            <w:tcW w:w="380" w:type="dxa"/>
            <w:vAlign w:val="bottom"/>
          </w:tcPr>
          <w:p>
            <w:pPr>
              <w:spacing w:after="0"/>
              <w:rPr>
                <w:sz w:val="17"/>
                <w:szCs w:val="17"/>
                <w:color w:val="auto"/>
              </w:rPr>
            </w:pPr>
          </w:p>
        </w:tc>
        <w:tc>
          <w:tcPr>
            <w:tcW w:w="1480" w:type="dxa"/>
            <w:vAlign w:val="bottom"/>
            <w:gridSpan w:val="3"/>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12/31/23</w:t>
            </w:r>
          </w:p>
        </w:tc>
      </w:tr>
      <w:tr>
        <w:trPr>
          <w:trHeight w:val="48"/>
        </w:trPr>
        <w:tc>
          <w:tcPr>
            <w:tcW w:w="3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250"/>
        </w:trPr>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spacing w:after="0"/>
              <w:rPr>
                <w:sz w:val="21"/>
                <w:szCs w:val="21"/>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25,725</w:t>
            </w:r>
          </w:p>
        </w:tc>
        <w:tc>
          <w:tcPr>
            <w:tcW w:w="26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24,598</w:t>
            </w:r>
          </w:p>
        </w:tc>
      </w:tr>
      <w:tr>
        <w:trPr>
          <w:trHeight w:val="27"/>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(248,377)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(249,504)</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(25,938)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(27,065)</w:t>
            </w:r>
          </w:p>
        </w:tc>
      </w:tr>
      <w:tr>
        <w:trPr>
          <w:trHeight w:val="27"/>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3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bl>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tc>
        <w:tc>
          <w:tcPr>
            <w:tcW w:w="40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26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8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(18,477)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(18,616)</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(1,286)</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4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(40,032)</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(40,227)</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(23,529)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(26,968)</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56"/>
        </w:trPr>
        <w:tc>
          <w:tcPr>
            <w:tcW w:w="4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5,857</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(13,219)</w:t>
            </w:r>
          </w:p>
        </w:tc>
        <w:tc>
          <w:tcPr>
            <w:tcW w:w="2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(14,020)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bl>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40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26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8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4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(23,529)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(41,196)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(41,401)</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intellectual property and licenses</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56"/>
        </w:trPr>
        <w:tc>
          <w:tcPr>
            <w:tcW w:w="4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(10,867)</w:t>
            </w:r>
          </w:p>
        </w:tc>
        <w:tc>
          <w:tcPr>
            <w:tcW w:w="2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w:t>
            </w:r>
          </w:p>
        </w:tc>
      </w:tr>
    </w:tbl>
    <w:p>
      <w:pPr>
        <w:spacing w:after="0" w:line="200" w:lineRule="exact"/>
        <w:rPr>
          <w:sz w:val="20"/>
          <w:szCs w:val="20"/>
          <w:color w:val="auto"/>
        </w:rPr>
      </w:pPr>
    </w:p>
    <w:p>
      <w:pPr>
        <w:sectPr>
          <w:pgSz w:w="11900" w:h="16838" w:orient="portrait"/>
          <w:cols w:equalWidth="0" w:num="1">
            <w:col w:w="10139"/>
          </w:cols>
          <w:pgMar w:left="320" w:top="135" w:right="1440"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 w:right="1440" w:bottom="1109"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Warrants Liabilities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condensed consolidated financial statements. We present such liabilities on the balance sheets at their estimated fair values. Changes in fair value of the liability are calculated each reporting period, and any change in value are recognized in the condensed consolidated statements of operations.</w:t>
      </w:r>
    </w:p>
    <w:p>
      <w:pPr>
        <w:spacing w:after="0" w:line="13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warrants to purchase common stock. The warrants include the Public Warrants, Private Placement Warrants and Working Capital Warrants. We value the liability for all of the warrants based on the trading price of the publicly held warrants.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(4) Financial Instruments</w:t>
      </w:r>
      <w:r>
        <w:rPr>
          <w:rFonts w:ascii="Times New Roman" w:cs="Times New Roman" w:eastAsia="Times New Roman" w:hAnsi="Times New Roman"/>
          <w:sz w:val="18"/>
          <w:szCs w:val="18"/>
          <w:color w:val="auto"/>
        </w:rPr>
        <w:t xml:space="preserve"> for further discussion.</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$25,000 funded amount on the OrbiMed Closing Date (the "Initial OrbiMed Loan"), we issued the Initial OrbiMed Warrant, which we classified as a derivative liability because it did not meet the equity classification criteria under ASC 815-40. We calculated the fair value of the Initial OrbiMed Warrant based on the Black-Scholes-Merton option pricing model. This model considers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We calculated the expected terms as the contractual expiration period. The risk-free interest rate is estimated using the rate of return on U.S. treasury notes with a life that approximates the expected term. Our common stock does not have sufficient trading history and, therefore, we used the historical volatility of the stock prices of similar publicly traded peer companies. We utilized a dividend yield of zero, as we have no history or plan of declaring dividends on the Company's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Revenue Base Redemption Liability</w:t>
      </w:r>
    </w:p>
    <w:p>
      <w:pPr>
        <w:spacing w:after="0" w:line="187"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We determined that we should bifurcate and separately recognize the Revenue Base Redemption Feature (see Note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for further detail). We determined the value of the Revenue Base Redemption Feature using a Monte Carlo simulation of future revenue and valuing the Initial Term Loan using the with and without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Contingent Earnout Liability</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("Common Stock") held by the Sponsor Holders immediately after the Closing Date (such shares, the “Sponsor Earnout Shares”) became unvested and subject to potential forfeiture if certain triggering events are not achieved prior to the 5th anniversary of the Closing Date (the “Earnout Period”). The Sponsor Earnout Shares are classified as a liability in the Company’s condensed consolidated balance sheets because they do not qualify as being indexed to the Company’s own stock. The earnout liability was initially measured at fair value at the Closing Date and is subsequently remeasured at the end of each reporting period. The change in fair value of the earnout liability is recorded in the condensed consolidated statements of operations. See Notes </w:t>
      </w:r>
      <w:r>
        <w:rPr>
          <w:rFonts w:ascii="Times New Roman" w:cs="Times New Roman" w:eastAsia="Times New Roman" w:hAnsi="Times New Roman"/>
          <w:sz w:val="18"/>
          <w:szCs w:val="18"/>
          <w:i w:val="1"/>
          <w:iCs w:val="1"/>
          <w:color w:val="auto"/>
        </w:rPr>
        <w:t>(8) Contingent Earnout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(4) Financial Instruments</w:t>
      </w:r>
      <w:r>
        <w:rPr>
          <w:rFonts w:ascii="Times New Roman" w:cs="Times New Roman" w:eastAsia="Times New Roman" w:hAnsi="Times New Roman"/>
          <w:sz w:val="18"/>
          <w:szCs w:val="18"/>
          <w:color w:val="auto"/>
        </w:rPr>
        <w:t xml:space="preserve"> and for further detail.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Standby Equity Purchase Agreement</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we entered into the SEPA with Yorkville. Pursuant to the SEPA, we have the right, but not the obligation, to sell to Yorkville up to $30.0 million of shares of Common Stock at our request at any time during the 24 months following the execution of the SEPA, subject to certain conditions. We evaluated the contract that includes the right to require Yorkville to purchase shares of common stock in the future (“put right”) considering the guidance in ASC 815-40, </w:t>
      </w:r>
      <w:r>
        <w:rPr>
          <w:rFonts w:ascii="Times New Roman" w:cs="Times New Roman" w:eastAsia="Times New Roman" w:hAnsi="Times New Roman"/>
          <w:sz w:val="18"/>
          <w:szCs w:val="18"/>
          <w:i w:val="1"/>
          <w:iCs w:val="1"/>
          <w:color w:val="auto"/>
        </w:rPr>
        <w:t>Derivatives and Hedging — Contracts on an Entity’s Own Equity</w:t>
      </w:r>
      <w:r>
        <w:rPr>
          <w:rFonts w:ascii="Times New Roman" w:cs="Times New Roman" w:eastAsia="Times New Roman" w:hAnsi="Times New Roman"/>
          <w:sz w:val="18"/>
          <w:szCs w:val="18"/>
          <w:color w:val="auto"/>
        </w:rPr>
        <w:t xml:space="preserve"> and concluded that it is an equity-linked contract that does not qualify for equity classification, and therefore requires fair value accounting. Each period, we analyze the terms of the freestanding put right and record the balance as a liability. Changes in the fair value are recognized in earnings.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Use of Estimates</w:t>
      </w:r>
    </w:p>
    <w:p>
      <w:pPr>
        <w:spacing w:after="0" w:line="202" w:lineRule="exact"/>
        <w:rPr>
          <w:sz w:val="20"/>
          <w:szCs w:val="20"/>
          <w:color w:val="auto"/>
        </w:rPr>
      </w:pPr>
    </w:p>
    <w:p>
      <w:pPr>
        <w:jc w:val="both"/>
        <w:ind w:right="260" w:firstLine="324"/>
        <w:spacing w:after="0" w:line="281"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 The most significant estimates relate to the valuation of earnout, warrant and tranche liabilities, and the valuation allowance on deferred tax assets.</w:t>
      </w:r>
    </w:p>
    <w:p>
      <w:pPr>
        <w:spacing w:after="0" w:line="200" w:lineRule="exact"/>
        <w:rPr>
          <w:sz w:val="20"/>
          <w:szCs w:val="20"/>
          <w:color w:val="auto"/>
        </w:rPr>
      </w:pPr>
    </w:p>
    <w:p>
      <w:pPr>
        <w:spacing w:after="0" w:line="34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1"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Research and development (“R&amp;D”) costs include our engineering, regulatory, pre-clinical and clinical activities. R&amp;D costs are expensed as incurred.</w:t>
      </w:r>
    </w:p>
    <w:p>
      <w:pPr>
        <w:spacing w:after="0" w:line="15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expended. We account for these expenses according to the progress of the agreements, along with the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Segment Reporting</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its Chief Executive Officer, reviews our financial information on a consolidated basis for purposes of allocating resources and evaluating its financial performance. Accordingly, we have determined that we operate as a single reportable segment. All of our long-lived assets are located in the United States. Since the Company operates as a single reporting segment, all required segment reporting disclosures can be found in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of Equity Securities Subject to Contractual Sale Restrictions</w:t>
      </w:r>
      <w:r>
        <w:rPr>
          <w:rFonts w:ascii="Times New Roman" w:cs="Times New Roman" w:eastAsia="Times New Roman" w:hAnsi="Times New Roman"/>
          <w:sz w:val="18"/>
          <w:szCs w:val="18"/>
          <w:color w:val="auto"/>
        </w:rPr>
        <w:t>, which clarifies the guidance on ASC Topic 820 on the fair value measurement of equity security that is subject to a contractual sale restriction and requires specific disclosures related to such an equity security. Specifically, the ASU clarifies that a "contractual sale restriction prohibiting the sale of an equity security is a characteristic of the reporting entity holding the equity security and is not included in the equity security's unit of account." As such, the entity should not apply a discount related to the contractual sale restriction when measuring the equity security's fair value. In addition, the ASU prohibits an entity from recognizing a contractual sale restriction as a separate unit of account. For public companies, the amendments for this update are effective for fiscal years beginning after December 15, 2023. For all other entities, the amendments are effective for fiscal year beginning after December 15, 2024, and interim periods within those fiscal years. We adopted ASU 2022-03 on January 1, 2024. The effect of the adoption had an immaterial impact on our condensed consolidated financial statements.</w:t>
      </w:r>
    </w:p>
    <w:p>
      <w:pPr>
        <w:spacing w:after="0" w:line="14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Disclosures About Reportable Segments</w:t>
      </w:r>
      <w:r>
        <w:rPr>
          <w:rFonts w:ascii="Times New Roman" w:cs="Times New Roman" w:eastAsia="Times New Roman" w:hAnsi="Times New Roman"/>
          <w:sz w:val="18"/>
          <w:szCs w:val="18"/>
          <w:color w:val="auto"/>
        </w:rPr>
        <w:t>. The ASU improves reportable segment disclosure requirements through enhanced disclosures about significant segment expenses in annual and interim reports, clarifies circumstances in which an entity can disclose multiple segment measures of profit or loss, add disclosure requirements for entities with a single reportable segment, and other enhancements. The ASU is effective for all public entities for fiscal years beginning after December 15, 2023, and interim periods within fiscal years beginning after December 15, 2024. We adopted ASU 2023-07 on January 1, 2024. The effect of the adoption had no impact on our condensed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60"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Under the ASU, Public Business Entity ("PBE") must annually "(1) disclose specific categories in the rate reconciliation and (2) provide additional information for reconciling items that meet a quantitative threshold (if the effect of those reconciling items is equal to or greater than 5% of the amount computed by multiplying pretax income or loss by the applicable statutory income tax rate)." This guidance is effective for public companies for annual periods beginning after December 15, 2024. For other companies, the amendments are effective for annual periods beginning after December 15, 2025. We are currently evaluating the impact the adoption of this ASU will have on our condensed consolidated financial statements.</w:t>
      </w:r>
    </w:p>
    <w:p>
      <w:pPr>
        <w:spacing w:after="0" w:line="14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 - 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which clarifies the guidance on ASC Topic 718 by illustrating how to apply the scope guidance to determine whether a profit interest award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 shared-based payment arrangement under ASC 718 or another accounting standard (e.g., employee profit-sharing arrangement under ASC 710). The ASU aims to reduce the complexity diversity in practice by adding an example to ASC 718 that describes four fact patterns and illustrates how an entity evaluates common terms and characteristics of profit interests and similar awards to reach a conclusion about whether an award meets the scope conditions in ASC 718-10-15-3. The ASU is effective for all public entities for fiscal years beginning after December 15, 2024 and interim periods within</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fiscal years. We are currently evaluating the impact the adoption of this ASU will have on our condensed consolidated financial statements.</w:t>
      </w:r>
    </w:p>
    <w:p>
      <w:pPr>
        <w:spacing w:after="0" w:line="19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 Statements,</w:t>
      </w:r>
      <w:r>
        <w:rPr>
          <w:rFonts w:ascii="Times New Roman" w:cs="Times New Roman" w:eastAsia="Times New Roman" w:hAnsi="Times New Roman"/>
          <w:sz w:val="18"/>
          <w:szCs w:val="18"/>
          <w:color w:val="auto"/>
        </w:rPr>
        <w:t xml:space="preserve"> which removes references to the Board's concepts statement from the FASB Accounting Standards Codification (the "Codification" or ASC). The ASU is part of the Board’s standing project to make “Codification updates for technical corrections such as conforming amendments, clarifications to guidance, simplifications to wording or the structure of guidance, and other minor improvements.” Before establishing the Codification in 2009, the FASB used or referred to the concepts statements as part of its standard setting. However, the Board is now removing those references since “references to the Concepts Statements in the Codification could imply that the Concepts Statements are authoritative." The amendment is effective for all public entities for fiscal years beginning after December 15, 2024. Those who adopt the amendments in an interim period would have to adopt them as of the beginning of the fiscal year that includes that interim period. We are currently evaluating the impact the adoption of this ASU will have on our condensed consolidated financial statements.</w:t>
      </w:r>
    </w:p>
    <w:p>
      <w:pPr>
        <w:spacing w:after="0" w:line="14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89"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On August 10, 2023, we consummated the previously announced merger pursuant to the Merger Agreement by and among MTAC, Merger Sub, Inc., and TriSalus Life Sciences, Inc. Upon the closing of the transactions contemplated by the Merger Agreement, Merger Sub merged with and into Legacy TriSalus (the “Business Combination”) with Legacy TriSalus surviving the merger as a wholly owned subsidiary of MTAC, renamed “TriSalus Operating Life Sciences, Inc.” In addition, in connection with the consummation of the Business Combination, MTAC was renamed “TriSalus Life Sciences, Inc.”</w:t>
      </w:r>
    </w:p>
    <w:p>
      <w:pPr>
        <w:spacing w:after="0" w:line="13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effective time of the Business Combination, each in-the-money warrant of Legacy TriSalus that was unexercised and unexpired was automatically net exercised into the respective series of preferred stock of Legacy TriSalus. Each share of preferred stock of Legacy TriSalus (“Legacy TriSalus Preferred Stock”) that was issued and outstanding was then automatically converted into shares of common stock of Legacy TriSalus (“Legacy TriSalus Common Stock”) in accordance with the Amended and Restated Certificate of Incorporation of Legacy TriSalus at the then current conversion price, such that each converted share of Legacy TriSalus Preferred Stock was no longer outstanding and ceased to exist, and each holder of Legacy TriSalus Preferred Stock thereafter ceased to have any rights with respect to such securities.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Proceeds from this transaction totaled $42,854. These proceeds were comprised of $2,704 from the MTAC trust account, and $40,150 received from the assumption of a concurrent private investment in public equity financing (“PIPE Financing”). Pursuant to the terms of the Merger Agreement, $6,000 of the proceeds were used to pay expenses incurred by MTAC related to the merger, resulting in net cash proceeds of $36,854. The Company incurred $6,069 in transaction costs relating to the merger with MTAC, of which $1,742 was recorded as a reduction of equity and the balance of $4,327 was recorded in general and administrative expense.</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the existing stockholders of Legacy TriSalus exchanged their equity holdings at an exchange ratio of 0.02471853 (the “Exchange Ratio”) for an aggregate of 21,999,886 shares of our Common Stock. In addition, MTAC had previously issued public warrants and private placement warrants (collectively, the “MTAC Warrants”) as part of its initial public offering in November 2020. None of the terms of the MTAC Warrants were modified as a result of the Business Combination.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for additional discussion of the warrants.</w:t>
      </w:r>
    </w:p>
    <w:p>
      <w:pPr>
        <w:spacing w:after="0" w:line="149"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of cash, cash equivalents, accounts receivable, trade payables, contingent earnout liability, revenue base redemption derivative liability, and warrants to purchase preferred and common stock. The carrying values of these financial instruments (other than warrants and tranche, earnout liabilities and revenue base redemption derivative liabilities, which are held at fair value) approximate fair value at September 30, 2024, and December 31, 2023. In general, asset and liability fair values are determined using the following categories: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utilize quoted prices in active markets for identical assets or liabilities.</w:t>
      </w:r>
    </w:p>
    <w:p>
      <w:pPr>
        <w:spacing w:after="0" w:line="198"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Level 2 — Inputs include quoted prices for similar assets or liabilities in active markets, and inputs other than quoted prices that are observable for the asset or liability, either directly or indirectly.</w:t>
      </w:r>
    </w:p>
    <w:p>
      <w:pPr>
        <w:spacing w:after="0" w:line="121"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warrant, earnout liabilities, SEPA, tranche, and revenue base redemption feature are measured at fair value on a recurring basis.</w:t>
      </w:r>
    </w:p>
    <w:p>
      <w:pPr>
        <w:spacing w:after="0" w:line="19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At the Closing Date, we assumed warrants to purchase 14,266,605 shares of common stock for $11.50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Of these, 8,333,272 were traded publicly (the "Public Warrants"), 5,933,333 were privately held (the 4,933,333 "Private Placement Warrants" and 1,000,000 "Working Capital Warrants" and together with the Public Warrants, the "SPAC Warrants"). At the Closing Date, we determined the fair value of all the SPAC warrants to be $2,568 based on the closing price of $0.18 for the Public Warrants (Level 1).</w:t>
      </w:r>
    </w:p>
    <w:p>
      <w:pPr>
        <w:spacing w:after="0" w:line="7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At the Closing Date, we determined the fair value of the earnout liability to be $28,927 based on a Monte Carlo simulation of future trading prices for our common stock. See Note </w:t>
      </w:r>
      <w:r>
        <w:rPr>
          <w:rFonts w:ascii="Times New Roman" w:cs="Times New Roman" w:eastAsia="Times New Roman" w:hAnsi="Times New Roman"/>
          <w:sz w:val="18"/>
          <w:szCs w:val="18"/>
          <w:i w:val="1"/>
          <w:iCs w:val="1"/>
          <w:color w:val="auto"/>
        </w:rPr>
        <w:t>(8) Contingent Earnout Liability</w:t>
      </w:r>
      <w:r>
        <w:rPr>
          <w:rFonts w:ascii="Times New Roman" w:cs="Times New Roman" w:eastAsia="Times New Roman" w:hAnsi="Times New Roman"/>
          <w:sz w:val="18"/>
          <w:szCs w:val="18"/>
          <w:color w:val="auto"/>
        </w:rPr>
        <w:t xml:space="preserve"> for further discussion.</w:t>
      </w:r>
    </w:p>
    <w:p>
      <w:pPr>
        <w:spacing w:after="0" w:line="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 of our outstanding SPAC warrants liabilities was $7,253 at September 30, 2024. The carrying amount of outstanding earnout liability was $6,571 at September 30, 2024. 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contingent earnout liability and SEPA derivative liability represent the remeasurement to fair value each reporting period based on unobservable, or Level 3, inputs, using assumptions made by us, including the market price of our common stock and the observed volatility of a peer group of companies.</w:t>
      </w:r>
    </w:p>
    <w:p>
      <w:pPr>
        <w:spacing w:after="0" w:line="7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2, 2023, we entered into the SEPA with Yorkville. Upon execution of the SEPA, we determined the fair value of the SEPA derivative liability to be $183 based on a scenario-based model. See Note </w:t>
      </w:r>
      <w:r>
        <w:rPr>
          <w:rFonts w:ascii="Times New Roman" w:cs="Times New Roman" w:eastAsia="Times New Roman" w:hAnsi="Times New Roman"/>
          <w:sz w:val="18"/>
          <w:szCs w:val="18"/>
          <w:i w:val="1"/>
          <w:iCs w:val="1"/>
          <w:color w:val="auto"/>
        </w:rPr>
        <w:t>(12) Standby Equity Purchase Agreement</w:t>
      </w:r>
      <w:r>
        <w:rPr>
          <w:rFonts w:ascii="Times New Roman" w:cs="Times New Roman" w:eastAsia="Times New Roman" w:hAnsi="Times New Roman"/>
          <w:sz w:val="18"/>
          <w:szCs w:val="18"/>
          <w:color w:val="auto"/>
        </w:rPr>
        <w:t xml:space="preserve"> for further discussion. We determined the fair value of the SEPA derivative liability to be $235 at September 30, 2024; we recorded the change in fair value in other income (expense).</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debt closing with OrbiMed on April 30, 2024, we also issued OrbiMed a warrant to purchase 130,805 shares of our common stock, with the initial exercise price of $9.5562 (the "Initial OrbiMed Warrant") per share, or approximately $1.25 million in the aggregate, assuming none of the Initial OrbiMed Warrant is exercised through a "cashless" exercise. In the three months ended September 30, 2024, the exercise price was adjusted pursuant to the terms of the Initial OrbiMed Warrant to $9.4487 per share, or approximately $1.24 million in the aggregate. The Initial OrbiMed Warrant expires on April 30, 2031 (see Notes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for more information on the OrbiMed Credit Agreement). The Initial OrbiMed Warrant is accounted for as a liability under ASC 815, </w:t>
      </w:r>
      <w:r>
        <w:rPr>
          <w:rFonts w:ascii="Times New Roman" w:cs="Times New Roman" w:eastAsia="Times New Roman" w:hAnsi="Times New Roman"/>
          <w:sz w:val="18"/>
          <w:szCs w:val="18"/>
          <w:i w:val="1"/>
          <w:iCs w:val="1"/>
          <w:color w:val="auto"/>
        </w:rPr>
        <w:t>Derivatives and Hedging, Contracts in Equity's Own Equity</w:t>
      </w:r>
      <w:r>
        <w:rPr>
          <w:rFonts w:ascii="Times New Roman" w:cs="Times New Roman" w:eastAsia="Times New Roman" w:hAnsi="Times New Roman"/>
          <w:sz w:val="18"/>
          <w:szCs w:val="18"/>
          <w:color w:val="auto"/>
        </w:rPr>
        <w:t xml:space="preserve"> ("ASC 815-40"), as it provides settled provision that does not meet the requirements of the indexation guidance under ASC 815-40. On August 15, 2024, at OrbiMed's request, the Initial OrbiMed warrant was split into two separate warrants ("Substitute Warrant Certificate #1" and "Substitute Warrant Certificate #2" and, together, the "OrbiMed Warrants") held by two of OrbiMed's operating entities; one for 92,801 and second for 38,004 common shares, with no change to their term conditions.</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use a Black-Scholes option pricing model to estimate the fair value of the Initial OrbiMed Warrant, as warrants give the holders the right, but not the obligation, to purchase the underlying securities at a contractual exercise price. This method utilizes certain unobservable inputs, including the determination of the expected volatility, and is therefore considered a Level 3 fair value measurement. Certain inputs used in this Black-Scholes pricing model may fluctuate in future periods based upon factors that are outside of our control, including potential change in control outside of our control. A significant change in one or more of these inputs used in the calculation of the fair value may cause a significant change to the fair value of the warrant liabilities, which could also result in material non-cash gains or losses being reported in the condensed statement of operations. The expected volatility was implied from a blend of the Company's own common shares and the average historical share volatilizes of several unrelated public companies within the Company's industry that the Company considers to be comparable to its own business. We determined the fair value of the revenue base redemption liability to be $425 at September 30, 2024 and recorded the adjustment to the change in fair value of SEPA, warrant, and revenue base redemption liabilities.</w:t>
      </w:r>
    </w:p>
    <w:p>
      <w:pPr>
        <w:spacing w:after="0" w:line="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the "Product Base Revenue", such as the net revenues for such period from sales of TriNav, on a trailing 12-month ("TTM") basis does not equal or exceed the specified amount as stipulated (see table in </w:t>
      </w:r>
      <w:r>
        <w:rPr>
          <w:rFonts w:ascii="Times New Roman" w:cs="Times New Roman" w:eastAsia="Times New Roman" w:hAnsi="Times New Roman"/>
          <w:sz w:val="18"/>
          <w:szCs w:val="18"/>
          <w:i w:val="1"/>
          <w:iCs w:val="1"/>
          <w:color w:val="auto"/>
        </w:rPr>
        <w:t>Note (13) Debt)</w:t>
      </w:r>
      <w:r>
        <w:rPr>
          <w:rFonts w:ascii="Times New Roman" w:cs="Times New Roman" w:eastAsia="Times New Roman" w:hAnsi="Times New Roman"/>
          <w:sz w:val="18"/>
          <w:szCs w:val="18"/>
          <w:color w:val="auto"/>
        </w:rPr>
        <w:t xml:space="preserve">, we will start repaying the outstanding principal amount in equal monthly installments through Maturity date. Such repayments will commence in the calendar month immediately following the applicable Test Date per the Credit Agreement (see table in </w:t>
      </w:r>
      <w:r>
        <w:rPr>
          <w:rFonts w:ascii="Times New Roman" w:cs="Times New Roman" w:eastAsia="Times New Roman" w:hAnsi="Times New Roman"/>
          <w:sz w:val="18"/>
          <w:szCs w:val="18"/>
          <w:i w:val="1"/>
          <w:iCs w:val="1"/>
          <w:color w:val="auto"/>
        </w:rPr>
        <w:t>Note (13) Debt</w:t>
      </w:r>
      <w:r>
        <w:rPr>
          <w:rFonts w:ascii="Times New Roman" w:cs="Times New Roman" w:eastAsia="Times New Roman" w:hAnsi="Times New Roman"/>
          <w:sz w:val="18"/>
          <w:szCs w:val="18"/>
          <w:color w:val="auto"/>
        </w:rPr>
        <w:t xml:space="preserve">) and occur on the last day of each calendar month ("Amortization Payment Date"). The repayments are calculated from the first Amortization Payment Date through the Maturity Date and the balance principal amount of the Term Loans shall be repaid on the Maturity Date. The repayments include the applicable Repayment Premium and the Exit Fee (see </w:t>
      </w:r>
      <w:r>
        <w:rPr>
          <w:rFonts w:ascii="Times New Roman" w:cs="Times New Roman" w:eastAsia="Times New Roman" w:hAnsi="Times New Roman"/>
          <w:sz w:val="18"/>
          <w:szCs w:val="18"/>
          <w:i w:val="1"/>
          <w:iCs w:val="1"/>
          <w:color w:val="auto"/>
        </w:rPr>
        <w:t>Note (13) Debt</w:t>
      </w:r>
      <w:r>
        <w:rPr>
          <w:rFonts w:ascii="Times New Roman" w:cs="Times New Roman" w:eastAsia="Times New Roman" w:hAnsi="Times New Roman"/>
          <w:sz w:val="18"/>
          <w:szCs w:val="18"/>
          <w:color w:val="auto"/>
        </w:rPr>
        <w:t xml:space="preserve"> ). The repayment of the Term Loans as aforementioned, is referred to as the “Revenue Base Redemption Feature.” Furthermore, if on the subsequent test date, the revenue-based condition is met, we will stop repaying the outstanding principal amount in equal installments and directly repay the balance amount on the Maturity Date.</w:t>
      </w:r>
    </w:p>
    <w:p>
      <w:pPr>
        <w:spacing w:after="0" w:line="13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May 24, 2024, we commenced an offer (the “Offer”) to all holders of Public Warrants, Private Placement Warrants and Working Capital Warrants (collectively, the "Exchange Warrants") to receive 0.30 shares of common</w:t>
      </w:r>
    </w:p>
    <w:p>
      <w:pPr>
        <w:spacing w:after="0" w:line="200" w:lineRule="exact"/>
        <w:rPr>
          <w:sz w:val="20"/>
          <w:szCs w:val="20"/>
          <w:color w:val="auto"/>
        </w:rPr>
      </w:pPr>
    </w:p>
    <w:p>
      <w:pPr>
        <w:spacing w:after="0" w:line="3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 of the Company in exchange for each Exchange Warrant tendered by the holder and exchanged pursuant to the Offer. The Offer expired at one minute after 11:59 p.m., Eastern Standard Time, on June 25, 2024. The Exchange Warrants tendered were comprised of 6,529,954 Public Warrants and 504,685 Private Placement Warrants. We determined the Exchange Warrants met the criteria to be equity classified at June 26, 2024, and that their fair value was $11,924. Adjusting for issuance costs of $1,699, the net fair value of the Exchange Warrants was $10,225. Accordingly, we recorded that amount as a reduction of the warrant liability and a charge to APIC.</w:t>
      </w:r>
    </w:p>
    <w:p>
      <w:pPr>
        <w:spacing w:after="0" w:line="1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fair value of our outstanding warrant liabilities, contingent earnout liability, SEPA derivative liability, and revenue base redemption liability for the nine months ended September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SPAC Warrant Liabilities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 Level 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center"/>
              <w:ind w:left="698"/>
              <w:spacing w:after="0"/>
              <w:rPr>
                <w:sz w:val="20"/>
                <w:szCs w:val="20"/>
                <w:color w:val="auto"/>
              </w:rPr>
            </w:pPr>
            <w:r>
              <w:rPr>
                <w:rFonts w:ascii="Times New Roman" w:cs="Times New Roman" w:eastAsia="Times New Roman" w:hAnsi="Times New Roman"/>
                <w:sz w:val="18"/>
                <w:szCs w:val="18"/>
                <w:color w:val="auto"/>
                <w:w w:val="98"/>
              </w:rPr>
              <w:t>2,982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(11,068)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 - Level 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 - Level 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6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16,916</w:t>
            </w:r>
          </w:p>
        </w:tc>
        <w:tc>
          <w:tcPr>
            <w:tcW w:w="16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center"/>
              <w:ind w:left="698"/>
              <w:spacing w:after="0"/>
              <w:rPr>
                <w:sz w:val="20"/>
                <w:szCs w:val="20"/>
                <w:color w:val="auto"/>
              </w:rPr>
            </w:pPr>
            <w:r>
              <w:rPr>
                <w:rFonts w:ascii="Times New Roman" w:cs="Times New Roman" w:eastAsia="Times New Roman" w:hAnsi="Times New Roman"/>
                <w:sz w:val="18"/>
                <w:szCs w:val="18"/>
                <w:color w:val="auto"/>
                <w:w w:val="98"/>
              </w:rPr>
              <w:t>2,260</w:t>
            </w:r>
          </w:p>
        </w:tc>
        <w:tc>
          <w:tcPr>
            <w:tcW w:w="14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c>
          <w:tcPr>
            <w:tcW w:w="14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7,253</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SEPA derivative liability</w:t>
            </w: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818"/>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OrbiMed Warrant liability</w:t>
            </w:r>
          </w:p>
        </w:tc>
        <w:tc>
          <w:tcPr>
            <w:tcW w:w="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as presented in the Condensed Consolidated Statements of Cash Flows,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50"/>
        </w:trPr>
        <w:tc>
          <w:tcPr>
            <w:tcW w:w="80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0" w:type="dxa"/>
            <w:vAlign w:val="bottom"/>
          </w:tcPr>
          <w:p>
            <w:pPr>
              <w:spacing w:after="0"/>
              <w:rPr>
                <w:sz w:val="1"/>
                <w:szCs w:val="1"/>
                <w:color w:val="auto"/>
              </w:rPr>
            </w:pPr>
          </w:p>
        </w:tc>
      </w:tr>
      <w:tr>
        <w:trPr>
          <w:trHeight w:val="254"/>
        </w:trPr>
        <w:tc>
          <w:tcPr>
            <w:tcW w:w="80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Flows</w:t>
            </w: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Restricted cash of $350 is held by our bank to support our corporate credit card program.</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inventory are summarized as follows: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obsolete inventory</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6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tab/>
        <w:t>Accrued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consists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 clinical trials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w:t>
            </w: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Contingent Earnout Liability</w:t>
      </w:r>
    </w:p>
    <w:p>
      <w:pPr>
        <w:spacing w:after="0" w:line="160"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 xml:space="preserve">In connection with the execution of the Merger Agreement (see Note </w:t>
      </w:r>
      <w:r>
        <w:rPr>
          <w:rFonts w:ascii="Times New Roman" w:cs="Times New Roman" w:eastAsia="Times New Roman" w:hAnsi="Times New Roman"/>
          <w:sz w:val="18"/>
          <w:szCs w:val="18"/>
          <w:i w:val="1"/>
          <w:iCs w:val="1"/>
          <w:color w:val="auto"/>
        </w:rPr>
        <w:t>(3) Business Combination)</w:t>
      </w:r>
      <w:r>
        <w:rPr>
          <w:rFonts w:ascii="Times New Roman" w:cs="Times New Roman" w:eastAsia="Times New Roman" w:hAnsi="Times New Roman"/>
          <w:sz w:val="18"/>
          <w:szCs w:val="18"/>
          <w:color w:val="auto"/>
        </w:rPr>
        <w:t>, MTAC entered into the Sponsor Support Agreement. Pursuant to the Sponsor Support Agreement, the 3,125,000 Sponsor Earnout Shares became unvested and subject to potential forfeiture if certain triggering events are not achieved prior to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Closing Date. Pursuant to the Sponsor Support Agreement, (i) 25% of the shares of the unvested Common Stock held by the Sponsor Holders will only vest if, during the five year period following the Closing, the volume weighted average price of our Common Stock equals or exceeds $15.00 for any 20 trading days within a period of 30 consecutive trading days, (ii) 25% of the shares of the unvested Common Stock held by the Sponsor Holders will only vest if, during the five year period following the Closing, the volume weighted average price of our Common Stock equals or exceeds $20.00 for any 20 trading days within a period of 30 consecutive trading days, (iii) 25% of the shares of the unvested Common Stock held by the Sponsor Holders will only vest if, during the five year period following the Closing, the volume weighted average price of our Common Stock equals or exceeds $25.00 for any 20 trading days within a period of 30 consecutive trading days; and (iv) 25% of the shares of the unvested Common Stock held by the Sponsor Holders will only vest if, during the five year period following the Closing, the volume weighted average price of our Common Stock equals or exceeds $30.00 for any 20 trading days within a period of 30 consecutive trading days. Additionally, the Sponsor Earnout Shares will vest if there is a change in control of our company on or before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Closing Date that results in the holders of our Common Stock receiving a price per share equal to or in excess of the applicable earnout targets. Any such shares held by the Sponsor Holders that remain unvested after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Closing will be forfeited.</w:t>
      </w:r>
    </w:p>
    <w:p>
      <w:pPr>
        <w:spacing w:after="0" w:line="9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contingent earnout liability on the Closing Date, August 10, 2023, was $28,927, based on a Monte Carlo simulation valuation model. The liability was remeasured to its fair value of $18,632 and $6,571 as of December 31, 2023 and September 30, 2024, respectively. This remeasurement resulted in the recording of a gain of $2,360 and $12,061 for the three and nine months ended September 30, 2024, respectively, classified as change in fair value of contingent earnout liability in the Condensed Consolidated Statements of Operations. Assumptions used in the valuation are described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4"/>
                <w:szCs w:val="14"/>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78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8.45</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the liability was determined using a Monte Carlo simulation valuation model using a distribution of potential outcomes.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and assumptions utilized in the calculation require management to apply judgment and make estimates including:</w:t>
      </w:r>
    </w:p>
    <w:p>
      <w:pPr>
        <w:spacing w:after="0" w:line="45" w:lineRule="exact"/>
        <w:rPr>
          <w:sz w:val="20"/>
          <w:szCs w:val="20"/>
          <w:color w:val="auto"/>
        </w:rPr>
      </w:pPr>
    </w:p>
    <w:p>
      <w:pPr>
        <w:ind w:left="660" w:hanging="328"/>
        <w:spacing w:after="0" w:line="281" w:lineRule="auto"/>
        <w:tabs>
          <w:tab w:leader="none" w:pos="7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is based on the historical equity volatility of publicly traded peer companies for a term equal to the expected term of the earnout period;</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which we based on the earnout period per the agreement;</w:t>
      </w:r>
    </w:p>
    <w:p>
      <w:pPr>
        <w:spacing w:after="0" w:line="6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earnout period;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which we estimate to be 0% based on the fact that we have never paid or declared dividends.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Warrants that have not been tendered for exchange and outstanding at September 30, 2024, and December 31, 2023,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04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8,281,779</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4,933,333</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OrbiMed Warrant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warrants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7,311,278</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14,215,112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Private Placement and Working Capital Warrant Liabilities</w:t>
      </w:r>
    </w:p>
    <w:p>
      <w:pPr>
        <w:spacing w:after="0" w:line="18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consummation of the Business Combination, we assumed the warrant liabilities associated with 8,333,272 Public Warrants. Each Public Warrant is exercisable to purchase one share of common stock at a price of $11.50 per share, subject to adjustment. Under a plan approved by the Board, we repurchased 51,493 Public Warrants for $20 during the fourth quarter of 2023. The purchase plan was discontinued in December 2023.</w:t>
      </w:r>
    </w:p>
    <w:p>
      <w:pPr>
        <w:spacing w:after="0" w:line="14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expire 5 years after the completion of the Business Combination or earlier upon redemption or liquidation. We may redeem for cash the outstanding Public Warrants:</w:t>
      </w:r>
    </w:p>
    <w:p>
      <w:pPr>
        <w:spacing w:after="0" w:line="54"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17"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closing price of the Common Stock equals or exceeds $18.00 per share (as adjusted for stock splits, stock dividends, reorganizations, recapitalizations and the like) for any 20 trading days within a 30 trading day period ending three business days before we send the notice of redemption to the warrant holders.</w:t>
      </w:r>
    </w:p>
    <w:p>
      <w:pPr>
        <w:spacing w:after="0" w:line="13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If and when the SPAC Warrants become redeemable, we may exercise its redemption right even if it is unable to register or qualify the underlying securities for sale under all applicable state securities laws.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we be required to net cash settle the warrants. Accordingly, the warrants may expire worthless.</w:t>
      </w:r>
    </w:p>
    <w:p>
      <w:pPr>
        <w:spacing w:after="0" w:line="1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September 30, 2024, there were 4,428,648 Private Placement Warrants and 1,000,000 Working Capital Warrants outstanding.</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the Public Warrants, Private Placement Warrants, and Working Capital Warrants do not meet the criteria to be equity classified and should be recorded as liabilities. Our analysis concluded liability classification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these warrants include a provision that could allow cash settlement upon an event outside our control, and such event may not result in a change in control of the Company. As a result, the Private and Public Warrants do not meet the criteria for equity classification.</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At the close of the Business Combination, the fair values of the Public Warrants, Private Placement Warrants, and Working Capital Warrants were $1,500, $888, and $180, respectively. As of September 30, 2024, the fair values of the Public Warrants, Private Placement Warrants and Working Capital Warrants were $1,769, $4,473, and $1,010, respectively. The fair value of the Public Warrants has been measured based on the quoted price of such warrants on the Nasdaq Global Market.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 is equivalent to that of each Public Warrant.</w:t>
      </w:r>
    </w:p>
    <w:p>
      <w:pPr>
        <w:spacing w:after="0" w:line="8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May 24, 2024, we commenced (i) the Offer and (ii) the solicitation of consent (the “Consent Solicitation”) from holders of the Exchange Warrants to amend the Warrant Agreement, dated as of December 17, 2020 (the “Warrant Agreement” and such amendment, the “Warrant Amendment”), by and between the Company and Continental Stock Transfer &amp; Trust Company, which governs all of the Exchange Warrants.</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Offer and Consent Solicitation expired at one minute after 11:59 p.m., Eastern Standard Time, on June 25, 2024. The Exchange Warrants tendered were comprised of 6,529,954 Public Warrants and 504,685 Private Placement Warrants, which represents approximately 78.8% and 10.2% of the outstanding warrants of each respective class. The Warrants were validly tendered and not validly withdrawn prior to the expiration of the Offer and Consent Solicitation. No Working Capital Warrants were tendered. We determined the Exchange Warrants met the criteria to be equity classified at June 26, 2024, and that their fair value was $10,225. Accordingly, we recorded that amount as a reduction of the warrant liability and a charge to APIC, partially offset by issuance costs of $1,699. On July 1, 2024, we issued 2,110,366 shares of common stock in exchange for the Exchange Warrants.</w:t>
      </w:r>
    </w:p>
    <w:p>
      <w:pPr>
        <w:spacing w:after="0" w:line="79" w:lineRule="exact"/>
        <w:rPr>
          <w:sz w:val="20"/>
          <w:szCs w:val="20"/>
          <w:color w:val="auto"/>
        </w:rPr>
      </w:pPr>
    </w:p>
    <w:p>
      <w:pPr>
        <w:jc w:val="both"/>
        <w:ind w:right="340" w:firstLine="324"/>
        <w:spacing w:after="0" w:line="281" w:lineRule="auto"/>
        <w:rPr>
          <w:sz w:val="20"/>
          <w:szCs w:val="20"/>
          <w:color w:val="auto"/>
        </w:rPr>
      </w:pPr>
      <w:r>
        <w:rPr>
          <w:rFonts w:ascii="Times New Roman" w:cs="Times New Roman" w:eastAsia="Times New Roman" w:hAnsi="Times New Roman"/>
          <w:sz w:val="17"/>
          <w:szCs w:val="17"/>
          <w:color w:val="auto"/>
        </w:rPr>
        <w:t>In addition, the Warrant Amendment was entered into with respect to the Public Warrants. As a result all (and not less than all) of the outstanding Public Warrants may be exchanged, at our option, at any time while they are exercisable and prior to their expiration, at the office of the warrant agent, upon notice to the holders of the then outstanding Public Warrants, at the exchange rate of 0.27 shares of Common Stock per Public Warrant (subject to equitable adjustment by us in the event of any stock splits, stock dividends, recapitalizations or similar transaction with respect to the Common Stock).</w:t>
      </w:r>
    </w:p>
    <w:p>
      <w:pPr>
        <w:spacing w:after="0" w:line="5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the Public Warrants, Private Placement Warrants, Working Capital Warrants and Exchange Warrants in the nine months ended September 30, 2024. There was no activity in the nine months ended September 30, 2023.</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month ended September 30, 2024, we issued 2,110,366 shares of common stock in exchange for 6,529,954 (or approximately 78.8%) of our publicly traded warrants and 504,685 (or approximately 10.2%) of our private warrants.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Retirements /</w:t>
            </w:r>
          </w:p>
        </w:tc>
        <w:tc>
          <w:tcPr>
            <w:tcW w:w="14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0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Exchanges</w:t>
            </w: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7"/>
        </w:trPr>
        <w:tc>
          <w:tcPr>
            <w:tcW w:w="3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8,281,779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(6,529,954)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4,933,333</w:t>
            </w:r>
          </w:p>
        </w:tc>
        <w:tc>
          <w:tcPr>
            <w:tcW w:w="100" w:type="dxa"/>
            <w:vAlign w:val="bottom"/>
          </w:tcPr>
          <w:p>
            <w:pPr>
              <w:spacing w:after="0"/>
              <w:rPr>
                <w:sz w:val="21"/>
                <w:szCs w:val="21"/>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(504,685)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r>
      <w:tr>
        <w:trPr>
          <w:trHeight w:val="27"/>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7"/>
        </w:trPr>
        <w:tc>
          <w:tcPr>
            <w:tcW w:w="3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OrbiMed Warrant</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OrbiMed Credit Agreement, we also issued OrbiMed a warrant to purchase 130,805 shares of our common stock (the "Warrant Shares"), with the initial exercise price of $9.5562, (the "Exercise Price") per share, or approximately $1.25 million in the aggregate, assuming none of the Initial OrbiMed Warrant is exercised through a "cashless" exercise. In the three months ended September 30, 2024, the exercise price was adjusted pursuant to the terms of the Initial OrbiMed Warrant to $9.4487 per share, or approximately $1.24 million in the aggregate. The Initial OrbiMed Warrant expires on April 30, 2031 (the "Expiration Date"). On each of the closings of the Delayed Draw Commitment Amounts,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Initial OrbiMed Warrant may be exercised in whole or in part, at any time prior to the Expiration Date (the "Exercise Period"), by either: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20" w:hanging="328"/>
        <w:spacing w:after="0" w:line="282"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payment to the Company, in an amount in immediately available funds equal to the aggregate Exercise Price to be paid upon the exercise of the Initial OrbiMed Warrant; or</w:t>
      </w:r>
    </w:p>
    <w:p>
      <w:pPr>
        <w:spacing w:after="0" w:line="53"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Company to withhold a number of Warrant Shares then issuable upon exercise of the Initial OrbiMed Warrant with an aggregate fair market value as of the exercise date equal to such aggregate Exercise Price to be paid upon the exercise of the Initial OrbiMed Warrant (the “Cashless Exercise”).</w:t>
      </w:r>
    </w:p>
    <w:p>
      <w:pPr>
        <w:spacing w:after="0" w:line="6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If either upon (i) the occurrence of the Expiration Date, or (ii) the date on which a Sale of the Company (defined in the Initial OrbiMed Warrant)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Initial OrbiMed Warrant that remains unexercised on such date shall be deemed to have been exercised automatically pursuant to a Cashless Exercise (the “Automatic Cashless Exercise”).</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Ownership Cap</w:t>
      </w:r>
    </w:p>
    <w:p>
      <w:pPr>
        <w:spacing w:after="0" w:line="11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Holder in any circumstance cannot exercise the Initial OrbiMed Warrant if such exercise would result in the holder and its affiliates to own more than 9.99% of the Company's common stock (the “Ownership Cap”).</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and the number of Warrant Shares underlying the Initial OrbiMed Warrant are subject to certain anti-dilutive adjustments. These are triggered by events such as stock splits, reclassification of shares, combinations, or substitutions. Additionally, the Exercise Price will be adjusted if shares (which include shares, options, and convertible securities settled in common stock) are issued at a price per share less than the current Exercise Price. These adjustments are collectively referred to as "Warrant Adjustments.”</w:t>
      </w:r>
    </w:p>
    <w:p>
      <w:pPr>
        <w:spacing w:after="0" w:line="12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we declare or pay a dividend or distribution on our outstanding common shares payable in cash, capital securities or other property, the Holder shall be entitled to receive, at the time such dividend or distribution is paid, without additional cost to the Holder, the total number and kind of cash, capital securities or other property which the Holder would have received had the Holder owned the Warrant Shares of record as of the date such dividend or distribution was paid (the “Pro-Rata Distribution”).</w:t>
      </w:r>
    </w:p>
    <w:p>
      <w:pPr>
        <w:spacing w:after="0" w:line="12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the Initial OrbiMed Warrant is subject to customary price-based anti-dilution protections, such that, in certain circumstances, if we issue shares of our common stock below the current exercise price of the Initial OrbiMed Warrant, the exercise price of the Initial OrbiMed Warrant will be adjusted downward based on such issuance. As a result of any adjustments, the amount of proceeds we receive from the exercise of the Initial OrbiMed Warrant would be less than the amount we would receive immediately prior to such adjustment. In the three months ended September 30, 2024, the exercise price of the Initial OrbiMed Warrant was adjusted down from $9.5562 to $9.4487 per share in accordance with the above described adjustment mechanics.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Transfers of Initial OrbiMed Warrant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Initial OrbiMed Warrant may be transferred or assigned in whole or in part, subject to compliance with applicable federal and state securities laws.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Proceeds and Issuance Costs</w:t>
      </w:r>
    </w:p>
    <w:p>
      <w:pPr>
        <w:spacing w:after="0" w:line="17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agreement explicitly permits the settlement of the Initial OrbiMed Warrant in a cashless manner (i.e., net share settlement) and not indexed to the Company's own stock, therefore, it is considered as a derivative instrument and will be classified as a liability and is subsequently measured at fair value with changes reported to earnings following the proceeds from the issuance of the Initial Term Loan.</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Initial OrbiMed Warrant was measured using the Black-Scholes option pricing model. The key inputs used in the valuations were as follows: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264"/>
        </w:trPr>
        <w:tc>
          <w:tcPr>
            <w:tcW w:w="468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7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42"/>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9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70.0%</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$9.4487</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$9.5562</w:t>
            </w:r>
          </w:p>
        </w:tc>
      </w:tr>
      <w:tr>
        <w:trPr>
          <w:trHeight w:val="27"/>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$4.61</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r>
      <w:tr>
        <w:trPr>
          <w:trHeight w:val="27"/>
        </w:trPr>
        <w:tc>
          <w:tcPr>
            <w:tcW w:w="46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inputs utilized by management to value the warrant liabilities are subjective. The assumptions used in calculating the fair value of the warrant liabilities represent our best estimates, but these estimates involve inherent uncertainties and the application of management judgment. As a result, if factors change and we use different assumptions, the fair value of the warrant liabilities may be materially different in the future.</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utilize the balance sheet method of accounting for income taxes and deferred taxes which are determined based on the differences between the condensed consolidated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spacing w:after="0" w:line="14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Based on our full valuation allowance against the net deferred tax assets, our effective federal tax rate for the calendar year is zero, and we recorded an immaterial income tax expense in the nine months ended September 30, 2024 and 2023. We continue to believe it is more likely than not that some or all of the benefits from its deferred tax assets will not be realized, and accordingly, believe a valuation allowance is still warranted on these assets. Management assesses the available positive and negative evidence, including future reversals of temporary differences, tax-planning strategies and future taxable income, to estimate whether sufficient future taxable income will be generated to permit the use of deferred tax assets. If we conclude it is more likely than not that a portion, or all, of our deferred tax assets will not be realized, the deferred tax asset is reduced by a valuation allowance. A significant piece of objective negative evidence evaluated is the cumulative loss incurred over recent years. Such objective negative evidence limits the ability to consider other subjective positive evidence. The amount of the deferred tax asset considered realizable could be adjusted if estimates of future taxable income change or if objective negative evidence, in the form of cumulative losses, is no longer present and additional weight is given to subjective evidence such as future growth. We evaluate the appropriateness of its valuation allowance on a quarterly basis.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Dynavax Purchase</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We purchased all of the intellectual property and trial drug substance for nelitolimod from Dynavax Technologies (“Dynavax”) in 2020. This was a purchase of in-process research and development (“IPR&amp;D”). Nelitolimod, an investigational agent in development, is a toll-like receptor 9 (“TLR9”) agonist which is believed to bind to the TLR9 receptors found on suppressive immune cells including myeloid-derived suppressor cells (“MDSCs”) and antigen-presenting immune cells. We believe that nelitolimod, when delivered using our PEDD devices, can improve therapeutic distribution to solid tumors and improve outcomes for liver metastases and pancreatic cancer.</w:t>
      </w:r>
    </w:p>
    <w:p>
      <w:pPr>
        <w:spacing w:after="0" w:line="11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Payments under the Dynavax purchase agreement consist of: (a) an upfront payment of $9,000, (b) milestone payments upon the achievement of certain development and commercial milestones, and (c) royalty payments based on aggregate annual net sales after nelitolimod receives Food and Drug Administration ("FDA") approval to be sold.</w:t>
      </w:r>
    </w:p>
    <w:p>
      <w:pPr>
        <w:spacing w:after="0" w:line="95" w:lineRule="exact"/>
        <w:rPr>
          <w:sz w:val="20"/>
          <w:szCs w:val="20"/>
          <w:color w:val="auto"/>
        </w:rPr>
      </w:pPr>
    </w:p>
    <w:p>
      <w:pPr>
        <w:jc w:val="both"/>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milestone payments range from $1,000 to $10,000, triggered by development achievements for each of up to four indications. The development milestone payments cannot exceed $170,000. We have made milestone payments of $1,000 in September 2021, after initiating our clinical study of uveal melanoma liver metastases, June 2022, after initiating our clinical study for primary liver tumors, and August 2023, after initiating our clinical study for pancreatic cancer. In aggregate, the commercial milestones shall not exceed $80,000. We will also pay annual royalties at the rate of 10.0% for aggregate annual net sales less than or equal to $1,000,000 and 12.0% for aggregate annual net sales above that amount.</w:t>
      </w:r>
    </w:p>
    <w:p>
      <w:pPr>
        <w:spacing w:after="0" w:line="11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record the milestone payments in R&amp;D expense when they are incurred. We have reflected these milestone payments in the Condensed Consolidated Statements of Cash Flows as investing activities to reflect the contractual investment in the IPR&amp;D. The milestone payments and royalty payments are contingent upon future events and therefore will also be recorded as expense when it is probable that a milestone has been achieved or when royalties are due.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Standby Equity Purchase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Yorkville is a fund managed by Yorkville Advisors Global, LP.</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Pursuant to the SEPA, we have the right, but not the obligation, to sell to Yorkville up to $30.0 million of Common Stock, par value $0.0001 per share, at our request any time during the commitment period commencing on October 2, 2023 (the “Effective Date”), and terminating on the first day of the month following the 24-month anniversary of the Effective Date. Each issuance and sale to Yorkville under the SEPA (an “Advance”) is subject to a maximum limit equal to the greater of: (i) an amount equal to 100% of the average of the daily volume of the Common Stock on the Nasdaq Stock Market (“Nasdaq”) for the 10 trading days immediately preceding an Advance notice, or (ii) 1,000,000 shares of Common Stock. At our election, the shares will be issued and sold to Yorkville at a per-share price equal to: (i) 96.0% of the Market Price (as defined below) for any period commencing on the receipt of the Advance notice by Yorkville and ending on 4:00 p.m. New York City time on the applicable Advance notice date (the “Option 1 Pricing Period”), or (ii)</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97.0%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outstanding voting power or Common Stock. Further, Yorkville cannot purchase shares that would result in it acquiring more than 5,260,704 shares of Common Stock, which represents 19.99% of the outstanding Common Stock, as of the Effective Date of SEPA.</w:t>
      </w:r>
    </w:p>
    <w:p>
      <w:pPr>
        <w:spacing w:after="0" w:line="119"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the SEPA is accounted for as a derivative and is recognized as a liability measured at fair value in accordance with ASC 820. We intend to utilize the SEPA to access capital to fund our operations. We did not issue any Advances during the year ended December 31, 2023.</w:t>
      </w:r>
    </w:p>
    <w:p>
      <w:pPr>
        <w:spacing w:after="0" w:line="9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estimated fair value of the SEPA liability on December 31, 2023, was $185, which was determined using a scenario-based valuation model. The liability was remeasured to its fair value of $235 as of September 30, 2024, and is classified within other long-term liabilities in the Condensed Consolidated Balance Sheets. This remeasurement resulted in the recognition of a loss of $51 for nine months ended September 30, 2024, classified as change in fair value of SEPA, tranche and warrant liabilities in the Condensed Consolidated Statement of Operations. Assumptions used in the valuation are described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assumptions:</w:t>
            </w:r>
          </w:p>
        </w:tc>
        <w:tc>
          <w:tcPr>
            <w:tcW w:w="20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2"/>
        </w:trPr>
        <w:tc>
          <w:tcPr>
            <w:tcW w:w="41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draws</w:t>
            </w:r>
          </w:p>
        </w:tc>
        <w:tc>
          <w:tcPr>
            <w:tcW w:w="2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probability of draws</w:t>
            </w:r>
          </w:p>
        </w:tc>
        <w:tc>
          <w:tcPr>
            <w:tcW w:w="20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- 100%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20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5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liability was determined using a scenario-based valuation model which assigned a probability to a number of different outcomes. The inputs and assumptions utilized in the calculation require management to apply judgment and make estimates including:</w:t>
      </w:r>
    </w:p>
    <w:p>
      <w:pPr>
        <w:spacing w:after="0" w:line="54" w:lineRule="exact"/>
        <w:rPr>
          <w:sz w:val="20"/>
          <w:szCs w:val="20"/>
          <w:color w:val="auto"/>
        </w:rPr>
      </w:pPr>
    </w:p>
    <w:p>
      <w:pPr>
        <w:ind w:left="340" w:hanging="8"/>
        <w:spacing w:after="0" w:line="282" w:lineRule="auto"/>
        <w:tabs>
          <w:tab w:leader="none" w:pos="6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expected draws of $8,000 and $5,000, at September 30, 2024, and December 31, 2023, respectively, through the issuance of multiple separate advances under the Option 2 Pricing Period at September 30, 2024, and Option 1 Pricing Period at December 31, 2023;</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probability of the draws on the SEPA, which we estimate based on our expectation of the draws being completed; and</w:t>
      </w:r>
    </w:p>
    <w:p>
      <w:pPr>
        <w:spacing w:after="0" w:line="117" w:lineRule="exact"/>
        <w:rPr>
          <w:rFonts w:ascii="Times New Roman" w:cs="Times New Roman" w:eastAsia="Times New Roman" w:hAnsi="Times New Roman"/>
          <w:sz w:val="18"/>
          <w:szCs w:val="18"/>
          <w:color w:val="auto"/>
        </w:rPr>
      </w:pPr>
    </w:p>
    <w:p>
      <w:pPr>
        <w:ind w:left="340" w:right="100" w:hanging="8"/>
        <w:spacing w:after="0" w:line="282" w:lineRule="auto"/>
        <w:tabs>
          <w:tab w:leader="none" w:pos="6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agreement in relation to the date of the expected draw.</w:t>
      </w:r>
    </w:p>
    <w:p>
      <w:pPr>
        <w:spacing w:after="0" w:line="8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9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sold 1,124,867 and 1,874,867 shares of common stock under the SEPA, respectively, raising $5,647 and $12,390,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April 30, 2024 (the "OrbiMed Closing Date"), we entered into the Credit Agreement with OrbiMed, a healthcare investment firm, and certain of its affiliates to support the execution of strategic expansion plans, fuel continued growth, and provide financial flexibility.</w:t>
      </w:r>
    </w:p>
    <w:p>
      <w:pPr>
        <w:spacing w:after="0" w:line="40"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Pursuant to the to the Agreement, OrbiMed agreed to provide a term loan facility to the borrower, in an aggregate principal amount of $50,000, as follows: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funded on the OrbiMed Closing Date (the “Initial Term Loan”).</w:t>
      </w:r>
    </w:p>
    <w:p>
      <w:pPr>
        <w:spacing w:after="0" w:line="103"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term loan available at the election of the borrower, provided that Product Revenue Base (defined below) for the trailing 12-months ending on the last day of the month immediately prior to the funding of such loan was at least $30,000 (the “First Delayed Draw Term Loan Commitment”). The First Delayed Draw Term Loan Commitment expires on June 30, 2025.</w:t>
      </w:r>
    </w:p>
    <w:p>
      <w:pPr>
        <w:spacing w:after="0" w:line="68" w:lineRule="exact"/>
        <w:rPr>
          <w:rFonts w:ascii="Times New Roman" w:cs="Times New Roman" w:eastAsia="Times New Roman" w:hAnsi="Times New Roman"/>
          <w:sz w:val="18"/>
          <w:szCs w:val="18"/>
          <w:color w:val="auto"/>
        </w:rPr>
      </w:pPr>
    </w:p>
    <w:p>
      <w:pPr>
        <w:ind w:left="660" w:right="40" w:hanging="328"/>
        <w:spacing w:after="0"/>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 term loan available at the election of the borrower, provided that Product Revenue Base (defined below) for the trailing 12-months ending on the last day of the month immediately prior to the funding of such loan was at least $50,000 (the “Second Delayed Draw Term Loan Commitment” and together with the First Delayed Draw Term Loan Commitment the “DDTL Commitments”). The Second Delayed Draw Term Loan Commitment expires on December 31, 2025.</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 loan will mature on April 30, 2029. On April 30, 2024, we borrowed the initial commitment amount, resulting in gross proceeds of $25,000.</w:t>
      </w:r>
    </w:p>
    <w:p>
      <w:pPr>
        <w:spacing w:after="0" w:line="117"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includes a subjective acceleration clause whereby an event of default, including a material adverse change in the business, operations, or conditions (financial or otherwise), could result in the acceleration of the obligations under the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If the “Product Revenue Base” (i.e., with respect to any period, the net revenues for such period from sales of TriNav) on a trailing 12-month basis does not equal or exceed the specified amount as stipulated in table below, the Borrower will start repaying the outstanding principal amount of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principal amount of the Term Loans shall be repaid on the Maturity Date. The repayments include the applicable Repayment Premium and the Exit Fee (each as defined below). The repayment of the Term Loans as aforementioned, is referred to as the “Revenue Base Redemption Feature.”</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4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Test Dates (fiscal Quarter Ending)</w:t>
            </w:r>
          </w:p>
        </w:tc>
        <w:tc>
          <w:tcPr>
            <w:tcW w:w="700" w:type="dxa"/>
            <w:vAlign w:val="bottom"/>
            <w:tcBorders>
              <w:bottom w:val="single" w:sz="8" w:color="auto"/>
            </w:tcBorders>
            <w:shd w:val="clear" w:color="auto" w:fill="CCEEFF"/>
          </w:tcPr>
          <w:p>
            <w:pPr>
              <w:spacing w:after="0"/>
              <w:rPr>
                <w:sz w:val="22"/>
                <w:szCs w:val="22"/>
                <w:color w:val="auto"/>
              </w:rPr>
            </w:pPr>
          </w:p>
        </w:tc>
        <w:tc>
          <w:tcPr>
            <w:tcW w:w="39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Product Revenue Base for 12 months Period</w:t>
            </w:r>
          </w:p>
        </w:tc>
      </w:tr>
      <w:tr>
        <w:trPr>
          <w:trHeight w:val="24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22,300</w:t>
            </w:r>
          </w:p>
        </w:tc>
      </w:tr>
      <w:tr>
        <w:trPr>
          <w:trHeight w:val="27"/>
        </w:trPr>
        <w:tc>
          <w:tcPr>
            <w:tcW w:w="4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7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700" w:type="dxa"/>
            <w:vAlign w:val="bottom"/>
          </w:tcPr>
          <w:p>
            <w:pPr>
              <w:spacing w:after="0"/>
              <w:rPr>
                <w:sz w:val="21"/>
                <w:szCs w:val="21"/>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r>
      <w:tr>
        <w:trPr>
          <w:trHeight w:val="27"/>
        </w:trPr>
        <w:tc>
          <w:tcPr>
            <w:tcW w:w="4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7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700" w:type="dxa"/>
            <w:vAlign w:val="bottom"/>
          </w:tcPr>
          <w:p>
            <w:pPr>
              <w:spacing w:after="0"/>
              <w:rPr>
                <w:sz w:val="21"/>
                <w:szCs w:val="21"/>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r>
      <w:tr>
        <w:trPr>
          <w:trHeight w:val="27"/>
        </w:trPr>
        <w:tc>
          <w:tcPr>
            <w:tcW w:w="4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7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700" w:type="dxa"/>
            <w:vAlign w:val="bottom"/>
          </w:tcPr>
          <w:p>
            <w:pPr>
              <w:spacing w:after="0"/>
              <w:rPr>
                <w:sz w:val="21"/>
                <w:szCs w:val="21"/>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46,400</w:t>
            </w:r>
          </w:p>
        </w:tc>
      </w:tr>
      <w:tr>
        <w:trPr>
          <w:trHeight w:val="27"/>
        </w:trPr>
        <w:tc>
          <w:tcPr>
            <w:tcW w:w="4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2026 and each Fiscal Quarter ending thereafter</w:t>
            </w:r>
          </w:p>
        </w:tc>
        <w:tc>
          <w:tcPr>
            <w:tcW w:w="700" w:type="dxa"/>
            <w:vAlign w:val="bottom"/>
            <w:shd w:val="clear" w:color="auto" w:fill="CCEEFF"/>
          </w:tcPr>
          <w:p>
            <w:pPr>
              <w:spacing w:after="0"/>
              <w:rPr>
                <w:sz w:val="21"/>
                <w:szCs w:val="21"/>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4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Premium</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All repayments and prepayments of the Term Loans (other than on Maturity Date) shall be accompanied by the payment of the premium, which shall be determined based on the timing of the repayment as follows (the “Repayment Premium”):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403225</wp:posOffset>
            </wp:positionV>
            <wp:extent cx="669480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948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12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Time of Repayment</w:t>
      </w:r>
      <w:r>
        <w:rPr>
          <w:sz w:val="20"/>
          <w:szCs w:val="20"/>
          <w:color w:val="auto"/>
        </w:rPr>
        <w:tab/>
      </w:r>
      <w:r>
        <w:rPr>
          <w:rFonts w:ascii="Times New Roman" w:cs="Times New Roman" w:eastAsia="Times New Roman" w:hAnsi="Times New Roman"/>
          <w:sz w:val="17"/>
          <w:szCs w:val="17"/>
          <w:b w:val="1"/>
          <w:bCs w:val="1"/>
          <w:color w:val="auto"/>
        </w:rPr>
        <w:t>Premium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6694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Within the first 12 months from the funding date of each respective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94615</wp:posOffset>
            </wp:positionV>
            <wp:extent cx="6694805"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94805" cy="308610"/>
                    </a:xfrm>
                    <a:prstGeom prst="rect">
                      <a:avLst/>
                    </a:prstGeom>
                    <a:noFill/>
                  </pic:spPr>
                </pic:pic>
              </a:graphicData>
            </a:graphic>
          </wp:anchor>
        </w:drawing>
      </w:r>
    </w:p>
    <w:p>
      <w:pPr>
        <w:spacing w:after="0" w:line="138" w:lineRule="exact"/>
        <w:rPr>
          <w:sz w:val="20"/>
          <w:szCs w:val="20"/>
          <w:color w:val="auto"/>
        </w:rPr>
      </w:pPr>
    </w:p>
    <w:p>
      <w:pPr>
        <w:ind w:left="360"/>
        <w:spacing w:after="0" w:line="281" w:lineRule="auto"/>
        <w:rPr>
          <w:sz w:val="20"/>
          <w:szCs w:val="20"/>
          <w:color w:val="auto"/>
        </w:rPr>
      </w:pPr>
      <w:r>
        <w:rPr>
          <w:rFonts w:ascii="Times New Roman" w:cs="Times New Roman" w:eastAsia="Times New Roman" w:hAnsi="Times New Roman"/>
          <w:sz w:val="18"/>
          <w:szCs w:val="18"/>
          <w:color w:val="auto"/>
        </w:rPr>
        <w:t>After the first 12 months but before the 24-month anniversary of the funding date of each respective loan.</w:t>
      </w:r>
    </w:p>
    <w:p>
      <w:pPr>
        <w:spacing w:after="0" w:line="1" w:lineRule="exact"/>
        <w:rPr>
          <w:sz w:val="20"/>
          <w:szCs w:val="20"/>
          <w:color w:val="auto"/>
        </w:rPr>
      </w:pPr>
    </w:p>
    <w:p>
      <w:pPr>
        <w:ind w:left="360" w:right="280"/>
        <w:spacing w:after="0" w:line="281" w:lineRule="auto"/>
        <w:rPr>
          <w:sz w:val="20"/>
          <w:szCs w:val="20"/>
          <w:color w:val="auto"/>
        </w:rPr>
      </w:pPr>
      <w:r>
        <w:rPr>
          <w:rFonts w:ascii="Times New Roman" w:cs="Times New Roman" w:eastAsia="Times New Roman" w:hAnsi="Times New Roman"/>
          <w:sz w:val="18"/>
          <w:szCs w:val="18"/>
          <w:color w:val="auto"/>
        </w:rPr>
        <w:t>After the 24-month anniversary but before the 36-month anniversary of the funding date of each respective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-3810</wp:posOffset>
            </wp:positionV>
            <wp:extent cx="669480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94805" cy="308610"/>
                    </a:xfrm>
                    <a:prstGeom prst="rect">
                      <a:avLst/>
                    </a:prstGeom>
                    <a:noFill/>
                  </pic:spPr>
                </pic:pic>
              </a:graphicData>
            </a:graphic>
          </wp:anchor>
        </w:drawing>
      </w:r>
    </w:p>
    <w:p>
      <w:pPr>
        <w:ind w:left="360" w:right="280"/>
        <w:spacing w:after="0" w:line="273" w:lineRule="auto"/>
        <w:rPr>
          <w:sz w:val="20"/>
          <w:szCs w:val="20"/>
          <w:color w:val="auto"/>
        </w:rPr>
      </w:pPr>
      <w:r>
        <w:rPr>
          <w:rFonts w:ascii="Times New Roman" w:cs="Times New Roman" w:eastAsia="Times New Roman" w:hAnsi="Times New Roman"/>
          <w:sz w:val="18"/>
          <w:szCs w:val="18"/>
          <w:color w:val="auto"/>
        </w:rPr>
        <w:t>After the 36-month anniversary but before the 48-month anniversary of the funding date of each respective loan.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3.0% plus the Make-Whole Amount</w:t>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 xml:space="preserve">(defined below) </w:t>
      </w:r>
      <w:r>
        <w:rPr>
          <w:rFonts w:ascii="Times New Roman" w:cs="Times New Roman" w:eastAsia="Times New Roman" w:hAnsi="Times New Roman"/>
          <w:sz w:val="23"/>
          <w:szCs w:val="23"/>
          <w:color w:val="auto"/>
          <w:vertAlign w:val="superscript"/>
        </w:rPr>
        <w:t>(1)</w:t>
      </w:r>
    </w:p>
    <w:p>
      <w:pPr>
        <w:spacing w:after="0" w:line="2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3.0%</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2.0%</w:t>
      </w:r>
    </w:p>
    <w:p>
      <w:pPr>
        <w:spacing w:after="0" w:line="27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171" w:lineRule="exact"/>
        <w:rPr>
          <w:sz w:val="20"/>
          <w:szCs w:val="20"/>
          <w:color w:val="auto"/>
        </w:rPr>
      </w:pPr>
    </w:p>
    <w:p>
      <w:pPr>
        <w:sectPr>
          <w:pgSz w:w="11900" w:h="16838" w:orient="portrait"/>
          <w:cols w:equalWidth="0" w:num="2">
            <w:col w:w="7560" w:space="540"/>
            <w:col w:w="3100"/>
          </w:cols>
          <w:pgMar w:left="320" w:top="135" w:right="379" w:bottom="1440" w:gutter="0" w:footer="0" w:header="0"/>
          <w:type w:val="continuous"/>
        </w:sectPr>
      </w:pPr>
    </w:p>
    <w:tbl>
      <w:tblPr>
        <w:tblLayout w:type="fixed"/>
        <w:tblInd w:w="360" w:type="dxa"/>
        <w:tblCellMar>
          <w:top w:w="0" w:type="dxa"/>
          <w:left w:w="0" w:type="dxa"/>
          <w:bottom w:w="0" w:type="dxa"/>
          <w:right w:w="0" w:type="dxa"/>
        </w:tblCellMar>
      </w:tblPr>
      <w:tr>
        <w:trPr>
          <w:trHeight w:val="24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After the 48-month anniversary of the funding date of each respective loan.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335" w:lineRule="exact"/>
        <w:rPr>
          <w:sz w:val="20"/>
          <w:szCs w:val="20"/>
          <w:color w:val="auto"/>
        </w:rPr>
      </w:pPr>
    </w:p>
    <w:p>
      <w:pPr>
        <w:ind w:left="340" w:right="2660" w:hanging="8"/>
        <w:spacing w:after="0" w:line="213" w:lineRule="auto"/>
        <w:tabs>
          <w:tab w:leader="none" w:pos="505" w:val="left"/>
        </w:tabs>
        <w:numPr>
          <w:ilvl w:val="0"/>
          <w:numId w:val="18"/>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“Make-Whole Amount” is equal to the sum of the remaining scheduled interest payments through the 12-month anniversary of the closing date of each respective loa</w:t>
      </w:r>
      <w:r>
        <w:rPr>
          <w:rFonts w:ascii="Times New Roman" w:cs="Times New Roman" w:eastAsia="Times New Roman" w:hAnsi="Times New Roman"/>
          <w:sz w:val="16"/>
          <w:szCs w:val="16"/>
          <w:color w:val="auto"/>
        </w:rPr>
        <w:t>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Payment</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interest rate is calculated as SOFR Rate for the interest period (which shall not be less than 4.0% (the “Floor”)) plus 8.5% (the “Interest Rate”). Until the first full interest period after the 15 months anniversary of the OrbiMed Closing Date, 3.5% of the Interest Rate shall be designated as paid-in-kind interest, which is added to the outstanding principal amount of the Loans (the “PIK Interest”). However, the Borrower upon written notice can elect to pay all interest in cash, or to pay a percentage less than 3.5% as PIK Interest.</w:t>
      </w:r>
    </w:p>
    <w:p>
      <w:pPr>
        <w:spacing w:after="0" w:line="7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On and after occurrence of any Event of Default, until such Event of Default is cured, the Borrower is obligated to pay 4.0% in addition to the otherwise applicable Interest Rate (the “Default Rate”).</w:t>
      </w:r>
    </w:p>
    <w:p>
      <w:pPr>
        <w:spacing w:after="0" w:line="5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Interest payments (except PIK Interest) are due on the last day of the month. Whenever a prepayment is made on the principal of the Term Loans, the accrued interest on the amount prepaid is also due on such date.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Related Fees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Exit Fee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Borrower on the repayment of the Term Loans is obligated to pay an additional fee equal to 4.0% of the of the principal amount being repaid. This applies whether the repayment is made on the Maturity Date, or under any other conditions specified in the Agreement (the “Exit Fee”).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 Commitment Fee</w:t>
      </w:r>
    </w:p>
    <w:p>
      <w:pPr>
        <w:spacing w:after="0" w:line="11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Borrower on the funding date of the Term Loans, shall pay a commitment fee to the Lender, equal to 2.0% of the principal amount drawn (the “Commitment Fee”).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(3) Undrawn Fee</w:t>
      </w:r>
    </w:p>
    <w:p>
      <w:pPr>
        <w:spacing w:after="0" w:line="11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Every month, the Borrower is obligated to remit a fee to the Lender, calculated as 0.25% per annum of the total undrawn amount under the DDTL Commitments.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(4) Administrative Fee</w:t>
      </w:r>
    </w:p>
    <w:p>
      <w:pPr>
        <w:spacing w:after="0" w:line="11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Borrower will pay to the Agent for its own account a quarterly loan administration fee of $10,000, payable in advance, with the first payment due and payable upon the OrbiMed Closing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Costs</w:t>
      </w:r>
    </w:p>
    <w:p>
      <w:pPr>
        <w:spacing w:after="0" w:line="12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If, at any time, any Lender incurs additional cost, reductions in any sum receivable by the Lender under the Agreement or reduction in the rate of return with respect to the Term Loans because of any change in applicable law or government rule including laws regarding capital adequacy, reserve requirements, taxes, or similar requirements, etc., (collectively, “Yield Adjustment Events”), the Borrower will pay the Lenders an additional amount to compensate the Lender for such increased costs or reduction in rate of return (the “Yield Protection Adjustment Feature”).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Unless otherwise required by applicable law, any and all payments shall be made free and clear of and without deduction for any taxes; provided, that if any taxes shall be deducted (as required by law or otherwise) from such payments, then the Borrower or the withholding agent shall be entitled to make such deductions and shall timely pay the full amount deducted to the relevant government authority in accordance with applicable law.</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such taxes are Non-Excluded Taxes (as defined in the Agreement), then the sum payable by the Borrower shall be increased as necessary so that after all required deductions have been made, the Lenders receive an amount equal to the sum it would have received had no such deduction been made (the "Tax Gross-Up Feature”).</w:t>
      </w:r>
    </w:p>
    <w:p>
      <w:pPr>
        <w:sectPr>
          <w:pgSz w:w="11900" w:h="16838" w:orient="portrait"/>
          <w:cols w:equalWidth="0" w:num="1">
            <w:col w:w="11200"/>
          </w:cols>
          <w:pgMar w:left="320" w:top="13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closing of the OrbiMed Credit Agreement, we issued OrbiMed the Initial OrbiMed Warrant.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for further discussion. In addition to issuing the Initial OrbiMed Warrant, on each of the closings of the Delayed Draw Commitment Amounts,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If we fail to comply with certain of our obligations under the OrbiMed Registration Rights Agreement with respect to maintaining an effective registration statement covering shares of Common Stock underlying the OrbiMed Warrants, then the expiration date of an OrbiMed Warrant may be extended.</w:t>
      </w:r>
    </w:p>
    <w:p>
      <w:pPr>
        <w:spacing w:after="0" w:line="7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Additionally, the Initial OrbiMed Warrant is subject to customary price-based anti-dilution protections, such that, in certain circumstances, if we issue shares of our common stock below the current exercise price of the Initial OrbiMed Warrant, the exercise price of the Initial OrbiMed Warrant will be adjusted downward based on such issuance.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19"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we recorded the Initial Term Loan as long term debt, and recorded the costs incurred to obtain the loan as contra-debt. We incurred $2,593 in legal, origination and other fees to acquire the Credit Agreement. In addition, we determined that the Initial OrbiMed Warrant met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should be recorded as a liability, and that we should bifurcate and separately recognize the Revenue Base Redemption Feature. At April 30, 2024, we determined the initial value of the Initial OrbiMed Warrant was $811 using the Black-Scholes pricing model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for further discussion.). We determined the initial value of the Revenue Base Redemption Feature to be $729 using a Monte Carlo simulation of future revenue and valuing the Initial Term Loan using the with and without method.</w:t>
      </w:r>
    </w:p>
    <w:p>
      <w:pPr>
        <w:spacing w:after="0" w:line="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proceeds related to the Credit Agreement with OrbiMed of $25,000 will be allocated first to the OrbiMed Warrants and to the Revenue Base Redemption Feature, in an amount equal to their respective fair value at the OrbiMed Closing Date. The OrbiMed Warrants and the Revenue Base Redemption will be remeasured subsequently, with changes recorded to expense at each remeasurement date. Any residual proceeds should be allocated to the Initial Term Loan, whereas the issuances should be allocated in proportion to the proceeds between the Initial Term Loan and the Initial Warrant.</w:t>
      </w:r>
    </w:p>
    <w:p>
      <w:pPr>
        <w:spacing w:after="0" w:line="7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interest of $889 related to the Initial Term Loan, of which $226 was recorded as PIK interest. The remaining $664 was paid in cash to OrbiMed. We also expensed $356 of the capitalized debt issuance costs, which was charged to non-cash interest, and we accreted $48 of the exit fee which will be due at the termination of the Initial Term Loan.</w:t>
      </w:r>
    </w:p>
    <w:p>
      <w:pPr>
        <w:spacing w:after="0" w:line="13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within the Initial Term Loan for the nine months ended September 30, 2024. There was no activity in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62865</wp:posOffset>
            </wp:positionV>
            <wp:extent cx="367728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77285" cy="179705"/>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OrbiMed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36830</wp:posOffset>
            </wp:positionV>
            <wp:extent cx="36772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spacing w:after="0" w:line="6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draw</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7"/>
        </w:trPr>
        <w:tc>
          <w:tcPr>
            <w:tcW w:w="3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1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issuance costs</w:t>
            </w:r>
          </w:p>
        </w:tc>
        <w:tc>
          <w:tcPr>
            <w:tcW w:w="1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7"/>
        </w:trPr>
        <w:tc>
          <w:tcPr>
            <w:tcW w:w="3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issuance costs:</w:t>
            </w:r>
          </w:p>
        </w:tc>
        <w:tc>
          <w:tcPr>
            <w:tcW w:w="1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1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7"/>
        </w:trPr>
        <w:tc>
          <w:tcPr>
            <w:tcW w:w="3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1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7"/>
        </w:trPr>
        <w:tc>
          <w:tcPr>
            <w:tcW w:w="3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at April 30, 2024</w:t>
            </w: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w:t>
            </w:r>
          </w:p>
        </w:tc>
      </w:tr>
      <w:tr>
        <w:trPr>
          <w:trHeight w:val="27"/>
        </w:trPr>
        <w:tc>
          <w:tcPr>
            <w:tcW w:w="3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PIK interest</w:t>
            </w:r>
          </w:p>
        </w:tc>
        <w:tc>
          <w:tcPr>
            <w:tcW w:w="1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3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exit fee liability</w:t>
            </w:r>
          </w:p>
        </w:tc>
        <w:tc>
          <w:tcPr>
            <w:tcW w:w="1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3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21,678</w:t>
            </w:r>
          </w:p>
        </w:tc>
      </w:tr>
      <w:tr>
        <w:trPr>
          <w:trHeight w:val="27"/>
        </w:trPr>
        <w:tc>
          <w:tcPr>
            <w:tcW w:w="3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tab/>
        <w:t>Convertible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0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At the Closing Date on August 10, 2023, we issued 4,015,002 shares of Series A Convertible Preferred Stock at a purchase price of $10.00 per share for an aggregate purchase price of $40,150, pursuant to separate subscription agreements dated June 7, 2023, and July 4, 2023 (collectively, the “Subscription Agreements”).</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are authorized to issue up to 10,000,000 shares of preferred stock with 5,984,998 shares available for issuance. The original issue price of the Series A Convertible Preferred Stock was $10.00. The Series A Convertible Preferred Stock accrues cumulative dividends at the rate of 8.00% per annum on the original issue price. As of September 30, 2024, total undeclared cumulative dividends were $3,654. We have not recorded the undeclared dividends in our condensed consolidated financial statements, except the statement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shares of Series A Convertible Preferred Stock had the following rights:</w:t>
      </w:r>
    </w:p>
    <w:p>
      <w:pPr>
        <w:spacing w:after="0" w:line="22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Conversion</w:t>
      </w:r>
    </w:p>
    <w:p>
      <w:pPr>
        <w:spacing w:after="0" w:line="198"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231F20"/>
        </w:rPr>
        <w:t>Optional Conversion</w:t>
      </w:r>
    </w:p>
    <w:p>
      <w:pPr>
        <w:spacing w:after="0" w:line="187" w:lineRule="exact"/>
        <w:rPr>
          <w:sz w:val="20"/>
          <w:szCs w:val="20"/>
          <w:color w:val="auto"/>
        </w:rPr>
      </w:pPr>
    </w:p>
    <w:p>
      <w:pPr>
        <w:ind w:left="660" w:right="80" w:firstLine="324"/>
        <w:spacing w:after="0" w:line="256" w:lineRule="auto"/>
        <w:rPr>
          <w:sz w:val="20"/>
          <w:szCs w:val="20"/>
          <w:color w:val="auto"/>
        </w:rPr>
      </w:pPr>
      <w:r>
        <w:rPr>
          <w:rFonts w:ascii="Times New Roman" w:cs="Times New Roman" w:eastAsia="Times New Roman" w:hAnsi="Times New Roman"/>
          <w:sz w:val="18"/>
          <w:szCs w:val="18"/>
          <w:color w:val="auto"/>
        </w:rPr>
        <w:t>The Series A Convertible Preferred Stock are convertible at any time at the option of the holder thereof into the number of shares of our Common Stock determined by the quotient of (i) the sum of $10.00 (as adjusted for any stock dividend, stock split, reverse stock split, combination or similar event affecting the Series A Convertible Preferred Stock) (the “Liquidation Preference”) and, if we have not elected to otherwise pay the accrued Annual Dividends (as defined below) in cash to the holder, the accrued Annual Dividends on such shares as of the date of conversion, divided by (ii) the Conversion Price (as defined in our Certificate of Designations, Preferences, and Rights of Series A Convertible Preferred Stock (the "Certificate of Designations")) of such shares in effect at the time of conversion.</w:t>
      </w:r>
    </w:p>
    <w:p>
      <w:pPr>
        <w:spacing w:after="0" w:line="14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231F20"/>
        </w:rPr>
        <w:t xml:space="preserve">Automatic </w:t>
      </w:r>
      <w:r>
        <w:rPr>
          <w:rFonts w:ascii="Times New Roman" w:cs="Times New Roman" w:eastAsia="Times New Roman" w:hAnsi="Times New Roman"/>
          <w:sz w:val="18"/>
          <w:szCs w:val="18"/>
          <w:i w:val="1"/>
          <w:iCs w:val="1"/>
          <w:color w:val="000000"/>
        </w:rPr>
        <w:t>Conversion</w:t>
      </w:r>
    </w:p>
    <w:p>
      <w:pPr>
        <w:spacing w:after="0" w:line="200" w:lineRule="exact"/>
        <w:rPr>
          <w:sz w:val="20"/>
          <w:szCs w:val="20"/>
          <w:color w:val="auto"/>
        </w:rPr>
      </w:pPr>
    </w:p>
    <w:p>
      <w:pPr>
        <w:ind w:left="660" w:right="180" w:firstLine="324"/>
        <w:spacing w:after="0" w:line="261" w:lineRule="auto"/>
        <w:rPr>
          <w:sz w:val="20"/>
          <w:szCs w:val="20"/>
          <w:color w:val="auto"/>
        </w:rPr>
      </w:pPr>
      <w:r>
        <w:rPr>
          <w:rFonts w:ascii="Times New Roman" w:cs="Times New Roman" w:eastAsia="Times New Roman" w:hAnsi="Times New Roman"/>
          <w:sz w:val="18"/>
          <w:szCs w:val="18"/>
          <w:color w:val="auto"/>
        </w:rPr>
        <w:t>On the four-year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Voting Rights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Holders of the Series A Convertible Preferred Stock are entitled to vote with the holders of our Common Stock on all matters submitted to a vote of our stockholders, except as otherwise provided in the Certificate of Designations or as required by applicable 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spacing w:after="0" w:line="15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long as any shares of Series A Convertible Preferred Stock are outstanding, we shall not, without the affirmative vote of the Holders of a majority of the then-outstanding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capital stock senior to the Series A Convertible Preferred Stock; (iii) increase the authorized number of shares of Series A Convertible Preferred Stock or enter into any agreement with respect to the foregoing.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Dividends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Holders of the Series A Convertible Preferred Stock are entitled to participate equally in any dividends declared to holders of Common Stock. In addition, each holder of the Series A Convertible Preferred Stock is entitled to receive cumulative annual dividends that accrue and accumulate daily at a rate per annum (calculated on the basis of an actual 365- or 366-day year, as applicable) equal to 8.00% of the original issue price of $10.00 per share (the "Annual Dividends”). The Annual Dividends will be either paid in cash, paid by issuing fully paid and nonassessable shares of</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Common Stock, or a combination thereof when, as and if authorized and declared by our Board. Upon conversion or a change of control, any unpaid Annual Dividends will be paid to the holders, either in the form of common stock upon a conversion, or in cash upon a change of control.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capital stock ranking junior to the Series A Convertible Preferred Stock, subject to certain exceptions.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Anti-dilution Provisions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initial Conversion Price of $10.00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spacing w:after="0" w:line="13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Conversion Price will automatically reset upon each of February 10, 2025, and July 10, 2027, the eighteen-month and forty-seven-month anniversaries of the Closing Date, to be equal to the lowest of:</w:t>
      </w:r>
    </w:p>
    <w:p>
      <w:pPr>
        <w:spacing w:after="0" w:line="54" w:lineRule="exact"/>
        <w:rPr>
          <w:sz w:val="20"/>
          <w:szCs w:val="20"/>
          <w:color w:val="auto"/>
        </w:rPr>
      </w:pPr>
    </w:p>
    <w:p>
      <w:pPr>
        <w:ind w:left="660" w:right="440" w:hanging="328"/>
        <w:spacing w:after="0" w:line="282" w:lineRule="auto"/>
        <w:tabs>
          <w:tab w:leader="none" w:pos="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Conversion Price, subject to adjustments for stock dividends and distributions or other distributions made to common stockholders for which there is no corresponding distribution for Preferred Stock,</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then-current Conversion Price,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of 1) the Floor Price ($2.10 per share) or 2) the trailing ten-Trading Day VWAP of the Common Stock determined as of the date of such reset.</w:t>
      </w:r>
    </w:p>
    <w:p>
      <w:pPr>
        <w:spacing w:after="0" w:line="13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Liquidation Preferences</w:t>
      </w:r>
    </w:p>
    <w:p>
      <w:pPr>
        <w:spacing w:after="0" w:line="1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terms of the Series A Convertible Preferred Stock provide for liquidation preferences in the event of a change in control, liquidation, dissolution, or certain other fundamental transactions of the Company (a “Liquidation Event”), none of which were deemed probable as of September 30, 2024. The Liquidation Preferences of $10.00 per share, plus all unpaid dividends, are payable prior to payment to any class of capital stock that is junior to the Series A Convertible Preferred Stock.</w:t>
      </w:r>
    </w:p>
    <w:p>
      <w:pPr>
        <w:spacing w:after="0" w:line="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the assets of the Company or the consideration received in such Liquidation Event are insufficient to make payment of the full Liquidation Preferences to all holders of Series A Convertible Preferred Stock, then such assets will be distributed ratably to the holders of Series A Convertible Preferred Stock in proportion to the full amounts to which they would otherwise have been entitled. After payment of the aforementioned Liquidation Preferences, any remaining proceeds from a Liquidation Event will be distributed to all classes of capital stock that are junior to the Series A Convertible Preferred Stock pro rata on an as-if converted basis.</w:t>
      </w:r>
    </w:p>
    <w:p>
      <w:pPr>
        <w:spacing w:after="0" w:line="14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Series A Convertible Preferred Stock in the nine months ended September 30, 2024. There was no activity in the nine months ended September 30, 2023.</w:t>
      </w:r>
    </w:p>
    <w:p>
      <w:pPr>
        <w:sectPr>
          <w:pgSz w:w="11900" w:h="16838" w:orient="portrait"/>
          <w:cols w:equalWidth="0" w:num="1">
            <w:col w:w="11220"/>
          </w:cols>
          <w:pgMar w:left="320" w:top="135" w:right="359" w:bottom="1440" w:gutter="0" w:footer="0" w:header="0"/>
        </w:sect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p>
      <w:pPr>
        <w:spacing w:after="0" w:line="88"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Series A convertible preferred stock (assuming maximum conversion)</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convertible preferred stock</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Retirements /</w:t>
            </w:r>
          </w:p>
        </w:tc>
        <w:tc>
          <w:tcPr>
            <w:tcW w:w="15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7"/>
        </w:trPr>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345"/>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25,237,155</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(188,571)</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25,048,584</w:t>
            </w:r>
          </w:p>
        </w:tc>
      </w:tr>
      <w:tr>
        <w:trPr>
          <w:trHeight w:val="135"/>
        </w:trPr>
        <w:tc>
          <w:tcPr>
            <w:tcW w:w="1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37"/>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25,237,155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(188,571)</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25,048,584</w:t>
            </w:r>
          </w:p>
        </w:tc>
      </w:tr>
      <w:tr>
        <w:trPr>
          <w:trHeight w:val="27"/>
        </w:trPr>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-530860</wp:posOffset>
            </wp:positionV>
            <wp:extent cx="7046595" cy="317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46595"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400"/>
            <w:col w:w="6640"/>
          </w:cols>
          <w:pgMar w:left="320" w:top="135" w:right="359" w:bottom="1440" w:gutter="0" w:footer="0" w:header="0"/>
          <w:type w:val="continuous"/>
        </w:sectPr>
      </w:pPr>
    </w:p>
    <w:p>
      <w:pPr>
        <w:spacing w:after="0" w:line="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16, 2024, a holder of Series A Convertible Preferred Stock elected to convert 30,000 shares of preferred stock. In accordance with the subscription agreement, these shares were converted to 32,645 shares of common stock (including common shares issued as consideration for a total of $26 undeclared accumulate dividends, calculated at the rate of 8.00% per annum from the date of original issuance of the Series A Convertible Preferred Stock on the original issue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if any, participates in any dividends declared by us and are therefore considered to be participating securities. Participating securities have the effect of diluting both basic and diluted</w:t>
      </w:r>
    </w:p>
    <w:p>
      <w:pPr>
        <w:sectPr>
          <w:pgSz w:w="11900" w:h="16838" w:orient="portrait"/>
          <w:cols w:equalWidth="0" w:num="1">
            <w:col w:w="11220"/>
          </w:cols>
          <w:pgMar w:left="320" w:top="135" w:right="35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three and nine months ended September 30, 2024 and 2023, diluted net loss per common share is the same as basic net loss per common share for those periods.</w:t>
      </w:r>
    </w:p>
    <w:p>
      <w:pPr>
        <w:spacing w:after="0" w:line="143"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14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25,048,584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25,237,155</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7,311,278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14,266,605</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184,018</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4,909,457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2,632,206</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under the SEPA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3,385,837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41,193,501</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42,319,984</w:t>
            </w:r>
          </w:p>
        </w:tc>
      </w:tr>
      <w:tr>
        <w:trPr>
          <w:trHeight w:val="21"/>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currently maintain the 2023 Equity Incentive Plan (the “2023 Plan”), which our Board of Directors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will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w:t>
      </w:r>
    </w:p>
    <w:p>
      <w:pPr>
        <w:spacing w:after="0" w:line="15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2009 Plan and the 2023 Plan are administered by our chief executive officer and chief financial officer, who act on the recommendation of managers of the Company to select the individuals to whom the awards will be granted and to determine the amount and vesting period for the grants. All grants are subject to approval by the board of directors.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the balances under the two plans are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00" w:type="dxa"/>
            <w:vAlign w:val="bottom"/>
            <w:tcBorders>
              <w:top w:val="single" w:sz="8" w:color="CCEEFF"/>
              <w:bottom w:val="single" w:sz="8" w:color="CCEEFF"/>
            </w:tcBorders>
            <w:shd w:val="clear" w:color="auto" w:fill="CCEEFF"/>
          </w:tcPr>
          <w:p>
            <w:pPr>
              <w:spacing w:after="0"/>
              <w:rPr>
                <w:sz w:val="24"/>
                <w:szCs w:val="24"/>
                <w:color w:val="auto"/>
              </w:rPr>
            </w:pPr>
          </w:p>
        </w:tc>
        <w:tc>
          <w:tcPr>
            <w:tcW w:w="210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2200" w:type="dxa"/>
            <w:vAlign w:val="bottom"/>
            <w:tcBorders>
              <w:top w:val="single" w:sz="8" w:color="auto"/>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8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37"/>
        </w:trPr>
        <w:tc>
          <w:tcPr>
            <w:tcW w:w="4100" w:type="dxa"/>
            <w:vAlign w:val="bottom"/>
          </w:tcPr>
          <w:p>
            <w:pPr>
              <w:spacing w:after="0"/>
              <w:rPr>
                <w:sz w:val="20"/>
                <w:szCs w:val="20"/>
                <w:color w:val="auto"/>
              </w:rPr>
            </w:pPr>
          </w:p>
        </w:tc>
        <w:tc>
          <w:tcPr>
            <w:tcW w:w="2180" w:type="dxa"/>
            <w:vAlign w:val="bottom"/>
            <w:tcBorders>
              <w:top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 for Issue</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Plan</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1,551,473</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1,551,473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Plan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7,969,524</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3,896,329</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4,073,195</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9,520,997</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5,447,802</w:t>
            </w:r>
          </w:p>
        </w:tc>
        <w:tc>
          <w:tcPr>
            <w:tcW w:w="1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4,073,195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Equity Incentive Plan</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there were in total 1,487,505 stock options and 63,968 RSUs issued and outstanding under the 2009 Plan. Stock options were granted with an exercise price equal to the estimated fair value of the stock at the date of grant. Prior to the Business Combination, the fair value was determined by a third-party valuation performed in accordance with IRS Section 409A. No awards have been granted subsequent to the Business Combination, as the 2009 Plan was frozen and replaced by the 2023 Plan (see below). Options generally have a ten-year contractual term and typically have graded vesting over one to four years.</w:t>
      </w:r>
    </w:p>
    <w:p>
      <w:pPr>
        <w:spacing w:after="0" w:line="15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had unrecognized compensation expense of $678 and $442, respectively, for options and RSUs granted under the 2009 Plan. The September 30, 2024, balance will be recognized over a weighted average period of 1.4 years.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2024, there were in total 3,421,952 stock options and 474,377 RSUs issued and outstanding under the 2023 Plan. Under the 2023 Plan, the Company’s Board may grant equity-based incentive awards to employees, consultants and other service providers of the Company and its affiliates within the meaning of Section 422 of the Internal Revenue Code of 1986, as amended.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On January 1, 2024, the authorized shares under the 2023 Plan increased by 2,385,694 shares to 7,970,702. Options for 1,178 shares of Common Stock were exercised during the nine months ended September 30, 2024, reducing the authorized share total to 7,969,524. During the nine months ended September 30, 2024, we granted 1,657,906 options, net of forfeitures, with a weighted average fair value of $4.96, and 474,377 restricted stock units, net of forfeitures, with a weighted average fair value of $9.46.</w:t>
      </w:r>
    </w:p>
    <w:p>
      <w:pPr>
        <w:spacing w:after="0" w:line="16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had unrecognized compensation expense of $12,167 and $2,788, respectively, for options and RSUs granted under the 2023 Plan. The balance at September 30, 2024, will be recognized over a weighted average period of 3.3 years.</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Board, or a duly authorized committee thereof, administers the 2023 Plan. 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spacing w:after="0" w:line="143" w:lineRule="exact"/>
        <w:rPr>
          <w:sz w:val="20"/>
          <w:szCs w:val="20"/>
          <w:color w:val="auto"/>
        </w:rPr>
      </w:pPr>
    </w:p>
    <w:p>
      <w:pPr>
        <w:ind w:right="620" w:firstLine="324"/>
        <w:spacing w:after="0" w:line="422" w:lineRule="auto"/>
        <w:rPr>
          <w:sz w:val="20"/>
          <w:szCs w:val="20"/>
          <w:color w:val="auto"/>
        </w:rPr>
      </w:pPr>
      <w:r>
        <w:rPr>
          <w:rFonts w:ascii="Times New Roman" w:cs="Times New Roman" w:eastAsia="Times New Roman" w:hAnsi="Times New Roman"/>
          <w:sz w:val="18"/>
          <w:szCs w:val="18"/>
          <w:color w:val="auto"/>
        </w:rPr>
        <w:t xml:space="preserve">Stock options are granted with an exercise price no less than 100% of the estimated fair value of a share of Common Stock at the date of grant.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maintain an Employee Stock Purchase Plan ("ESPP"), which provides our eligible employees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Initially, 1,396,252 shares of Common Stock were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2024, the authorized shares under ESPP increased by 954,278 shares to 2,350,530.</w:t>
      </w:r>
    </w:p>
    <w:p>
      <w:pPr>
        <w:spacing w:after="0" w:line="10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41,663 shares were purchased in an offering under the ESPP which closed on June 30, 2024, raising $195. A new offering began on July 1, 2024, and will close on December 31, 2024.</w:t>
      </w:r>
    </w:p>
    <w:p>
      <w:pPr>
        <w:spacing w:after="0" w:line="13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tab/>
        <w:t>Commitments And Contingencies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condensed consolidated financial position, results of operations, or cash flows.</w:t>
      </w:r>
    </w:p>
    <w:p>
      <w:pPr>
        <w:spacing w:after="0" w:line="12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part of the Business Combination, we entered into the Amended and Restated Registration Rights Agreement with certain investors in MedTech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four property leases in effect as of September 30, 2024, which we account for as operating leases:</w:t>
      </w:r>
    </w:p>
    <w:p>
      <w:pPr>
        <w:spacing w:after="0" w:line="171" w:lineRule="exact"/>
        <w:rPr>
          <w:sz w:val="20"/>
          <w:szCs w:val="20"/>
          <w:color w:val="auto"/>
        </w:rPr>
      </w:pPr>
    </w:p>
    <w:p>
      <w:pPr>
        <w:ind w:left="500" w:right="120" w:hanging="168"/>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for our principal administrative and production facility at 6272 West 91st Avenue, Westminster, Colorado, which expires on December 31, 2031. This lease includes one option to extend the lease by five years from the end of the then current term.</w:t>
      </w:r>
    </w:p>
    <w:p>
      <w:pPr>
        <w:spacing w:after="0" w:line="107" w:lineRule="exact"/>
        <w:rPr>
          <w:rFonts w:ascii="Times New Roman" w:cs="Times New Roman" w:eastAsia="Times New Roman" w:hAnsi="Times New Roman"/>
          <w:sz w:val="18"/>
          <w:szCs w:val="18"/>
          <w:color w:val="auto"/>
        </w:rPr>
      </w:pPr>
    </w:p>
    <w:p>
      <w:pPr>
        <w:ind w:left="500" w:right="160" w:hanging="168"/>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for office space at 2275 Half Day Road, Bannockburn, Illinois, which expires in January 2028. This lease includes an option to extend the lease by three years at the end of the current term.</w:t>
      </w:r>
    </w:p>
    <w:p>
      <w:pPr>
        <w:spacing w:after="0" w:line="10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for office space at 1000 Chapel View Blvd, Cranston, Rhode Island, which expired in October 2024.</w:t>
      </w:r>
    </w:p>
    <w:p>
      <w:pPr>
        <w:spacing w:after="0" w:line="17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for laboratory and research space at 1 Hoppin Street, Providence, Rhode Island, which expires on July 31, 2025.</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2024, we exercised one of the two options to extend the current lease for the Westminster facility for an additional period of five years commencing on January 1, 2027, and ending on December 31, 2031 ("Second Extended Lease Term"). All terms and conditions of the lease shall continue to apply during the Second Extended Lease Term. We will pay approximately $1,524 in rent during the Second Extended Lease Term.</w:t>
      </w: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the related notes thereto included elsewhere in this Quarterly Report on Form 10-Q ("Quarterly Report") and for our audited financial statements and related notes thereto as of and for the year ended December 31, 2023 included in our Annual Report on Form 10-K, filed with the Securities and Exchange Commission (“SEC”), on April 11, 2024. Information included in this Form 10-Q, including information with respect to our plans and strategy for our business, includes forward-looking statements that involve risks and uncertainties. For a complete discussion of forward-looking statements, see the section above entitled “Special Note Regarding Forward Looking Statements.” As a result of many factors, including those factors set forth in the section captioned “Item 1A. Risk Factors” of this Quarterly Report, our actual results could differ materially from the results described in or implied by the forward-looking statements contained in the following discussion and analysis. You should carefully read the “Risk Factors” section of this Quarterly Report to gain an understanding of the various factors that could cause actual results to differ materially from our forward-looking statements.</w:t>
      </w:r>
    </w:p>
    <w:p>
      <w:pPr>
        <w:spacing w:after="0" w:line="15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dedicated to the research, development, and commercialization of an innovative drug delivery technology platform and an immuno-oncology therapeutic, aimed at improving outcomes for patients with difficult-to-treat liver and pancreatic cancers. Our advanced technology is designed for use by interventional radiologists to enhance the delivery of therapeutics and improv0e patient outcomes.</w:t>
      </w:r>
    </w:p>
    <w:p>
      <w:pPr>
        <w:spacing w:after="0" w:line="1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market our cutting-edge Pressure Enabled Drug Delivery (PEDD™) infusion systems, which optimize therapeutic delivery for hepatocellular carcinoma, pancreatic cancer, and other solid liver tumors. Additionally, we are pursuing the development of nelitolimod to illustrate how an immunotherapeutic--when administered via PEDD in combination with systemic treatment--can enhance the effectiveness of other therapeutics, ultimately leading to better patient responses. The combination of our PEDD technology with nelitolimod is focused on solving the two main barriers in the tumor</w:t>
      </w:r>
    </w:p>
    <w:p>
      <w:pPr>
        <w:spacing w:after="0" w:line="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microenvironment that inhibits the success of immunotherapy. The first barrier (mechanical) is comprised of high intratumoral pressure within tumors that limits drug uptake and the second barrier (biological) is the reversal of intratumoral immunosuppression.</w:t>
      </w:r>
    </w:p>
    <w:p>
      <w:pPr>
        <w:spacing w:after="0" w:line="8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2020, we launched TriNav™, which is our newest liver therapy delivery device with SmartValve technology for our proprietary PEDD approach. Current sales consist of the TriNav Infusion System, introduced in 2020.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new code became effective on January 1, 2024, and may be reported by hospital outpatient departments (HOPDs) and ambulatory surgical centers (ASCs) for the Company to obtain reimbursement for TriNav device.</w:t>
      </w:r>
    </w:p>
    <w:p>
      <w:pPr>
        <w:spacing w:after="0" w:line="120" w:lineRule="exact"/>
        <w:rPr>
          <w:sz w:val="20"/>
          <w:szCs w:val="20"/>
          <w:color w:val="auto"/>
        </w:rPr>
      </w:pPr>
    </w:p>
    <w:p>
      <w:pPr>
        <w:ind w:right="440" w:firstLine="324"/>
        <w:spacing w:after="0" w:line="256" w:lineRule="auto"/>
        <w:rPr>
          <w:sz w:val="20"/>
          <w:szCs w:val="20"/>
          <w:color w:val="auto"/>
        </w:rPr>
      </w:pPr>
      <w:r>
        <w:rPr>
          <w:rFonts w:ascii="Times New Roman" w:cs="Times New Roman" w:eastAsia="Times New Roman" w:hAnsi="Times New Roman"/>
          <w:sz w:val="18"/>
          <w:szCs w:val="18"/>
          <w:color w:val="auto"/>
        </w:rPr>
        <w:t>TriSalus recently expanded its portfolio of PEDD devices with the launch of the TriNav LV Infusion System and TriGuide Guiding Catheter to optimize therapeutic delivery for patients with larger vessels. The TriNav LV is suitable for patients with vessels sized between 3.5 and 5.0mm and is expected to allow us to meaningfully expand our addressable liver embolization market. The TriGuide Guiding Catheter has a larger inner diameter, lubricious inner lining, and reverse curve design to support femoral access for the TriNav LV, which the Company believes will enhance procedural efficiency. These new products are eligible for the same HCPCS reimbursement codes as existing TriNav products, enabling seamless integration into current billing structures.</w:t>
      </w:r>
    </w:p>
    <w:p>
      <w:pPr>
        <w:spacing w:after="0" w:line="12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currently in our early stage of development and have yet to generate revenues sufficient to drive positive cash flows from operations. Beginning in 2020, we began a strategic transformation from a company focused solely on the sale of our infusion systems to a therapeutic company whereby our medical devices are marketed alongside the pharmaceutical drugs and other treatments that the devices deliver to patients. This transformation led us to acquire our first immune-oncology drug, nelitolimod, in July 2020, and to begin clinical development of nelitolimod for the treatment of liver and pancreatic cancers. </w:t>
      </w:r>
      <w:r>
        <w:rPr>
          <w:rFonts w:ascii="Times New Roman" w:cs="Times New Roman" w:eastAsia="Times New Roman" w:hAnsi="Times New Roman"/>
          <w:sz w:val="18"/>
          <w:szCs w:val="18"/>
          <w:color w:val="231F20"/>
        </w:rPr>
        <w:t>We have initiated Phase 1 and Phase 1b clinical trials for this nelitolimod, each of which are focused on a different target indication,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specifically: uveal melanoma, intrahepatic cholangiocarcinoma and hepatocellular carcinoma ("ICC" and "HCC"), and pancreatic cancer. Based on our review of</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231F20"/>
        </w:rPr>
        <w:t>the preliminary data regarding the ICC/HCC studies, we do not intend to proceed to Phase II trials for those indications. Based on the changing landscape for second line treatment of uveal melanoma, we do not intend to proceed to Phase II trials for that indication on our own, but we are looking for potential partners to advance that indication. Our PERIO-3 clinical trial in pancreatic cancer is continuing with additional patient enrollment and we anticipate data from the study will be available in sometime in 2025, depending on when patient enrollment and treatment is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48"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On November 11, 2022, Legacy TriSalus entered into an Agreement and Plan of Merger (the “Merger Agreement”) with MedTech Acquisition Corporation (“MTAC”) and MTAC Merger Sub, Inc., a wholly owned subsidiary of MTAC (“Merger Sub”), pursuant to which, Legacy TriSalus would merge with and into Merger Sub, with Legacy TriSalus surviving the merger and becoming a wholly owned subsidiary of MTAC (the “Business Combination”). The aggregate consideration payable to the stockholders of Legacy TriSalus was $220.0 million, payable in approximately 22,000,000 shares of MTAC common stock.</w:t>
      </w:r>
    </w:p>
    <w:p>
      <w:pPr>
        <w:spacing w:after="0" w:line="1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August 8, 2023, the stockholders of MTAC approved the Business Combination, and the Business Combination closed on August 10, 2023. Pursuant to the Merger Agreement, 890,020,482 shares of Legacy TriSalus common stock (after conversion of all outstanding shares of Legacy TriSalus preferred stock and all in-the-money warrants) were exchanged for approximately 22,000,000 shares of MTAC common stock, reflecting an exchange ratio of approximately 0.02471853. All share and per share amounts of our common and preferred stock have been retrospectively adjusted for the exchange ratio in the following discussion.</w:t>
      </w:r>
    </w:p>
    <w:p>
      <w:pPr>
        <w:spacing w:after="0" w:line="11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we were deemed the accounting acquirer and are accounting for the Business Combination as a reverse recapitalization.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of this Quarterly Report on Form 10-Q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particular, our performance is affected by:</w:t>
      </w:r>
    </w:p>
    <w:p>
      <w:pPr>
        <w:spacing w:after="0" w:line="66" w:lineRule="exact"/>
        <w:rPr>
          <w:sz w:val="20"/>
          <w:szCs w:val="20"/>
          <w:color w:val="auto"/>
        </w:rPr>
      </w:pPr>
    </w:p>
    <w:p>
      <w:pPr>
        <w:ind w:left="660" w:right="280" w:hanging="328"/>
        <w:spacing w:after="0" w:line="26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continued acceptance and growth of TriNav in the marketplace</w:t>
      </w:r>
      <w:r>
        <w:rPr>
          <w:rFonts w:ascii="Times New Roman" w:cs="Times New Roman" w:eastAsia="Times New Roman" w:hAnsi="Times New Roman"/>
          <w:sz w:val="18"/>
          <w:szCs w:val="18"/>
          <w:color w:val="auto"/>
        </w:rPr>
        <w:t>. While we believe TriNav to be a superior technology for the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to tumors, particularly high-density tumors, there are other technologies with which we compete. Our ability to increase TriNav sales depends on the skills of our sales force and the willingness of the marketplace to use TriNav.</w:t>
      </w:r>
    </w:p>
    <w:p>
      <w:pPr>
        <w:spacing w:after="0" w:line="78" w:lineRule="exact"/>
        <w:rPr>
          <w:rFonts w:ascii="Times New Roman" w:cs="Times New Roman" w:eastAsia="Times New Roman" w:hAnsi="Times New Roman"/>
          <w:sz w:val="18"/>
          <w:szCs w:val="18"/>
          <w:color w:val="auto"/>
        </w:rPr>
      </w:pPr>
    </w:p>
    <w:p>
      <w:pPr>
        <w:ind w:left="660" w:hanging="328"/>
        <w:spacing w:after="0" w:line="252"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Our ability to maintain our current TriNav pricing and gross margins to help fund the rest of our activities. </w:t>
      </w:r>
      <w:r>
        <w:rPr>
          <w:rFonts w:ascii="Times New Roman" w:cs="Times New Roman" w:eastAsia="Times New Roman" w:hAnsi="Times New Roman"/>
          <w:sz w:val="18"/>
          <w:szCs w:val="18"/>
          <w:color w:val="auto"/>
        </w:rPr>
        <w:t>Our current pricing allows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new code, HCPCS C9797, has been assigned to the Ambulatory Payment Classification (APC) 5194 - Level 4 Endovascular Procedures. The new code became effective on January 1, 2024, and may be reported by hospital outpatient departments and ambulatory surgical centers, but there can be no assurance that continuing reimbursement will be available at similar reimbursement rates or at all.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81" w:lineRule="exact"/>
        <w:rPr>
          <w:rFonts w:ascii="Times New Roman" w:cs="Times New Roman" w:eastAsia="Times New Roman" w:hAnsi="Times New Roman"/>
          <w:sz w:val="20"/>
          <w:szCs w:val="20"/>
          <w:color w:val="auto"/>
        </w:rPr>
      </w:pPr>
    </w:p>
    <w:p>
      <w:pPr>
        <w:ind w:left="660" w:right="100" w:hanging="328"/>
        <w:spacing w:after="0" w:line="26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and cost of our clinical trials of nelitolimod</w:t>
      </w:r>
      <w:r>
        <w:rPr>
          <w:rFonts w:ascii="Times New Roman" w:cs="Times New Roman" w:eastAsia="Times New Roman" w:hAnsi="Times New Roman"/>
          <w:sz w:val="18"/>
          <w:szCs w:val="18"/>
          <w:color w:val="auto"/>
        </w:rPr>
        <w:t>. Nelitolimod is in Phase 1 human trials to determine if, when delivered via TriNav,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and effective in treating certain cancers. As with all drug candidates, the cost of operating clinical trials can be substantial, with no guarantee that the trials will result in favorable data.</w:t>
      </w:r>
    </w:p>
    <w:p>
      <w:pPr>
        <w:spacing w:after="0" w:line="6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FDA approval of nelitolimod for sale</w:t>
      </w:r>
      <w:r>
        <w:rPr>
          <w:rFonts w:ascii="Times New Roman" w:cs="Times New Roman" w:eastAsia="Times New Roman" w:hAnsi="Times New Roman"/>
          <w:sz w:val="18"/>
          <w:szCs w:val="18"/>
          <w:color w:val="auto"/>
        </w:rPr>
        <w:t>. Our clinical trials are still in early stages, and there is no certainty that we will generate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or that, upon review, the FDA will approve nelitolimod for sale.</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 Sales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nine months ended September 30, 2024, we sold 1,874,867 shares of common stock under the SEPA, raising $12.4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OrbiMed Credit Agreement</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April 2024 (the "OrbiMed Closing Date"), we entered into a credit agreement (the "OrbiMed Credit Agreement") with OrbiMed Royalty &amp; Credit Opportunities IV, LP ("OrbiMed"), a healthcare investment firm. The OrbiMed Credit Agreement provides for up to $50.0 million in senior secured term debt, of which (i) $25.0 million was made available to us on the Closing Date (the “Initial Commitment Amount”) and (ii) up to $10.0 million will be made available to us on or prior to June 30, 2025, and up to $15.0 million will be made available to us on or prior to December 31, 2025, in each case, subject to the satisfaction of certain revenue requirements (such additional commitment amounts, the “Delayed Draw Commitment Amount”). The term loan will mature on April 30, 2029. On April 30, 2024, we borrowed the Initial Commitment Amount, resulting in gross proceeds of $25.0 million.</w:t>
      </w:r>
    </w:p>
    <w:p>
      <w:pPr>
        <w:spacing w:after="0" w:line="13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Initial commitment Amount, we also issued OrbiMed a warrant to purchase 130,805 shares of our common stock, with the initial exercise price of $9.5562 per share, or approximately $1.25 million in the aggregate, assuming none of the Initial OrbiMed Warrant is exercised through a "cashless" exercise. In the three months ended September 30, 2024, the exercise price was adjusted pursuant to the terms of the Initial OrbiMed Warrant to $9.4487 per share, or approximately $1.24 million in the aggregate. The Initial OrbiMed Warrant expires on April 30, 2031. On each of the closings of the Delayed Draw Commitment Amounts, if any, we agreed to issue additional warrants to purchase a number of shares of our common stock determined by dividing 5% of the applicable Delayed Draw Commitment Amount by the 10-day volume weighted average sale price of our common stock as of the issue date. The Subsequent Warrants will expire seven years from each applicable issuance date, if any. In connection with the OrbiMed Warrants, we entered into a Registration Rights Agreement with OrbiMed, whereby OrbiMed will have certain customary registration rights with respect to the shares of common stock underlying the OrbiMed Warrants.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 Offering</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May 24, 2024, we announced the commencement of (i) our offer (the “Offer”) to all holders of each class of certain outstanding warrants (the “Warrants”), consisting of (a) our publicly-traded Warrants (the “Public Warrants”), (b) certain Warrants we issued in a private placement transaction occurring simultaneously with the closing of the Business Combination (the “Private Placement Warrants”) and (c) certain Warrants we issued for working capital requirements and payment of certain expenses (“Working Capital Warrants”), to receive 0.3 shares of our common stock in exchange for each Warrant tendered by the holder and exchanged pursuant to the Offer, and (ii) the solicitation of consents (the “Consent Solicitation”) from holders of the Warrants to amend the Warrant Agreement, dated as of December 17, 2020 (the “Warrant Agreement” and such amendment, the “Warrant Amendment”), by and between the Company and Continental Stock Transfer &amp; Trust Company, which governs all of the Warrants. Pursuant to the Offer, we offered up to an aggregate of 4,264,532 shares of our common stock in exchange for the Warrants.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terms of the Warrant Agreement, certain amendments, including the Warrant Amendment, require the vote or written consent of holders of at least a majority of the then outstanding (a) Public Warrants (such threshold, the “Public Warrant Consent Threshold”), (b) Private Placement Warrants with respect to modifications or amendments that apply to the Private Placement Warrants (such threshold, the “Private Placement Warrant Consent Threshold”) or any provision of the Warrant Agreement with respect to the Private Placement Warrants, including the Warrant Amendment, and (c) Working Capital Warrants with respect to modifications or amendments that apply to the Working Capital Warrants (such threshold, the “Working Capital Warrant Consent Threshold,”) or any provision of the Warrant Agreement with respect to the Working Capital Warrants, including the Warrant Amendment.</w:t>
      </w:r>
    </w:p>
    <w:p>
      <w:pPr>
        <w:spacing w:after="0" w:line="13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Offer and Consent Solicitation expired at one minute after 11:59 p.m., Eastern Standard Time, on June 25, 2024. The Warrants tendered were comprised of 6,529,954 Public Warrants and 504,685 Private Placement Warrants, which represented approximately 78.8% and 10.2% of the outstanding Warrants of each respective class. The Warrants were validly tendered and not validly withdrawn prior to the expiration of the Offer and Consent Solicitation. No Working Capital Warrants were tendered. On July 1, 2024, we issued 2,110,366 shares of common stock in exchange for the tendered Warrants.</w:t>
      </w:r>
    </w:p>
    <w:p>
      <w:pPr>
        <w:spacing w:after="0" w:line="129" w:lineRule="exact"/>
        <w:rPr>
          <w:sz w:val="20"/>
          <w:szCs w:val="20"/>
          <w:color w:val="auto"/>
        </w:rPr>
      </w:pPr>
    </w:p>
    <w:p>
      <w:pPr>
        <w:jc w:val="both"/>
        <w:ind w:right="120" w:firstLine="324"/>
        <w:spacing w:after="0" w:line="289" w:lineRule="auto"/>
        <w:rPr>
          <w:sz w:val="20"/>
          <w:szCs w:val="20"/>
          <w:color w:val="auto"/>
        </w:rPr>
      </w:pPr>
      <w:r>
        <w:rPr>
          <w:rFonts w:ascii="Times New Roman" w:cs="Times New Roman" w:eastAsia="Times New Roman" w:hAnsi="Times New Roman"/>
          <w:sz w:val="17"/>
          <w:szCs w:val="17"/>
          <w:color w:val="auto"/>
        </w:rPr>
        <w:t>Pursuant to the Consent Solicitation, the Company received the requisite approval to satisfy the Public Warrant Consent Threshold. The Company did not receive the approvals necessary to satisfy the Private Placement Warrant Consent Threshold or the Working Capital Warrant Consent Threshold. As a result, the Warrant Amendment was approved with respect to the Public Warrants but not the Private Placement Warrants or Working Capital Warrants.</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Accordingly, on June 26, 2024, the Company and the Warrant Agent entered into the Warrant Amendment, which permits the Company to require that each Public Warrant that remains outstanding following the closing of the Offer be converted into 0.27 shares of Common Stock, which is a ratio 10% less than the exchange ratio applicable to the Offer. The Warrant Amendment has no effect on either the Private Placement Warrants or the Working Capital Warrants. Pursuant to the Warrant Amendment, the Company has the right to require the exchange of not less than all of the Public Warrants at any time while such Public Warrants are exercisable and prior to their expiration.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 Program</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TriSalus is planning to unveil the DELIVER program, a series of clinical trials designed to evaluate the use of the TriNav system across a diverse range of complex patient populations, with the intent to further validate prior clinical studies that demonstrated the favorable clinical effects of the PEDD technology. This initiative aims to generate comprehensive data and solidify the evidence supporting TriNav's application in patients who might not be suitable candidates for traditional transarterial chemotherapy and radioembolization treatments. A key focus of the DELIVER program is to investigate the potential of combining use of the TriNav system with these therapies to enhance effectiveness and address resistance mechanisms in challenging cancers.</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launch the program with its first clinical study, named "PROTECT" (Pressure Enabled Retrograde Occlusive Therapy with Embolization for Control of Thyroid Disease). The goal of the trial is to highlight the advantages of this novel approach compared to conventional surgical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sets forth certain components of our condensed consolidated statements of operations as well as factors that impact those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operate in one reportable segment and revenue is generated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end-user customers for our products are hospitals, clinics, and physicians, to which we sell directly.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goods sold primarily consists of raw materials, direct labor and manufacturing overhead costs related to production of TriNav.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8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goods sold. Gross margin is gross profit expressed as a percentage of revenue. Our gross margin and overall profitability may in the future fluctuate from period to period based on several factors, such as the innovation initiatives we undertake, manufacturing costs and efficiencies.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of R&amp;D, sales and marketing and general and administrative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R&amp;D expenses include engineering, regulatory, pre-clinical and clinical activities, including salaries, travel, materials purchased for R&amp;D activities and patent expense.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ectPr>
          <w:pgSz w:w="11900" w:h="16838" w:orient="portrait"/>
          <w:cols w:equalWidth="0" w:num="1">
            <w:col w:w="11160"/>
          </w:cols>
          <w:pgMar w:left="320" w:top="135" w:right="4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includes executive management, finance, information technology, human resources, business development, legal, one-time costs associated with the Business Combination,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accounting and other consulting services. We also record public company costs in general and administrative, including board expenses, insurance, audit fees, NASDAQ fees, and costs associated with public company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Equity Issuance</w:t>
      </w:r>
    </w:p>
    <w:p>
      <w:pPr>
        <w:spacing w:after="0" w:line="14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Loss on equity issuance represents the excess of the fair value of the warrants to purchase Series B-3 preferred stock and the Series B-2 tranche liabilities over the proceeds received in a preferred stock financing and its subsequent tranche closings.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SEPA, Warrant, and Revenue Base Redemption Liabilities</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Change in fair value of SEPA, Warrant, and Revenue Base Redemption liabilities represents the change in fair value at each reporting period of the SEPA, the Series B-2 tranche liabilities (with accompanying warrants to purchase Series B-3 preferred stock) that were issued in October 2022, the change in fair value of the SPAC Warrants we assumed in the Business Combination, and the change in fair value of the Initial OrbiMed Warrant issued in connection with the initial draw down under the OrbiMed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Earnout Liability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earnout liability represents the change recorded as a result of remeasurement of the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dividend related to Series B-2 preferred stock down round provision</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deemed dividend represents the value attributed to the increase in shares of Legacy TriSalus common stock that preferred stockholders received as a result of the Series B-2 preferred stock financing rounds in October 2022, March 2023 and June 2023, which were deemed to be down rounds and triggered the anti-dilution provisions associated with our preferred stock. The resulting increase in value of the preferred stock was deemed to be a dividend to the preferred stockholders and was recognized as a non-cash adjustment to additional paid-in-capital.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for each of the periods indicated (in thousands):</w:t>
      </w:r>
    </w:p>
    <w:p>
      <w:pPr>
        <w:sectPr>
          <w:pgSz w:w="11900" w:h="16838" w:orient="portrait"/>
          <w:cols w:equalWidth="0" w:num="1">
            <w:col w:w="11220"/>
          </w:cols>
          <w:pgMar w:left="320" w:top="135" w:right="359" w:bottom="1440" w:gutter="0" w:footer="0" w:header="0"/>
        </w:sectPr>
      </w:pPr>
    </w:p>
    <w:p>
      <w:pPr>
        <w:spacing w:after="0" w:line="246"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41910</wp:posOffset>
            </wp:positionV>
            <wp:extent cx="19462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62" w:lineRule="exact"/>
        <w:rPr>
          <w:sz w:val="20"/>
          <w:szCs w:val="20"/>
          <w:color w:val="auto"/>
        </w:rPr>
      </w:pPr>
    </w:p>
    <w:p>
      <w:pPr>
        <w:ind w:left="546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41910</wp:posOffset>
            </wp:positionV>
            <wp:extent cx="1954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2" w:lineRule="exact"/>
        <w:rPr>
          <w:sz w:val="20"/>
          <w:szCs w:val="20"/>
          <w:color w:val="auto"/>
        </w:rPr>
      </w:pPr>
    </w:p>
    <w:p>
      <w:pPr>
        <w:ind w:left="16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6" w:lineRule="exact"/>
        <w:rPr>
          <w:sz w:val="20"/>
          <w:szCs w:val="20"/>
          <w:color w:val="auto"/>
        </w:rPr>
      </w:pPr>
    </w:p>
    <w:p>
      <w:pPr>
        <w:sectPr>
          <w:pgSz w:w="11900" w:h="16838" w:orient="portrait"/>
          <w:cols w:equalWidth="0" w:num="2">
            <w:col w:w="7740" w:space="720"/>
            <w:col w:w="2760"/>
          </w:cols>
          <w:pgMar w:left="320" w:top="135" w:right="35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48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w:t>
            </w: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r>
      <w:tr>
        <w:trPr>
          <w:trHeight w:val="27"/>
        </w:trPr>
        <w:tc>
          <w:tcPr>
            <w:tcW w:w="4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r>
      <w:tr>
        <w:trPr>
          <w:trHeight w:val="23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(40,227)</w:t>
            </w:r>
          </w:p>
        </w:tc>
      </w:tr>
      <w:tr>
        <w:trPr>
          <w:trHeight w:val="27"/>
        </w:trPr>
        <w:tc>
          <w:tcPr>
            <w:tcW w:w="4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equity issuance</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tranche liability</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bl>
    <w:p>
      <w:pPr>
        <w:spacing w:after="0" w:line="200" w:lineRule="exact"/>
        <w:rPr>
          <w:sz w:val="20"/>
          <w:szCs w:val="20"/>
          <w:color w:val="auto"/>
        </w:rPr>
      </w:pPr>
    </w:p>
    <w:p>
      <w:pPr>
        <w:sectPr>
          <w:pgSz w:w="11900" w:h="16838" w:orient="portrait"/>
          <w:cols w:equalWidth="0" w:num="1">
            <w:col w:w="11220"/>
          </w:cols>
          <w:pgMar w:left="320" w:top="135" w:right="3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SEPA, warrant, and revenue base</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liabilities</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19,904</w:t>
            </w:r>
          </w:p>
        </w:tc>
      </w:tr>
      <w:tr>
        <w:trPr>
          <w:trHeight w:val="27"/>
        </w:trPr>
        <w:tc>
          <w:tcPr>
            <w:tcW w:w="4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7"/>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(23,716)</w:t>
            </w:r>
          </w:p>
        </w:tc>
      </w:tr>
      <w:tr>
        <w:trPr>
          <w:trHeight w:val="27"/>
        </w:trPr>
        <w:tc>
          <w:tcPr>
            <w:tcW w:w="4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w:t>
            </w:r>
          </w:p>
        </w:tc>
      </w:tr>
      <w:tr>
        <w:trPr>
          <w:trHeight w:val="27"/>
        </w:trPr>
        <w:tc>
          <w:tcPr>
            <w:tcW w:w="4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5"/>
        </w:trPr>
        <w:tc>
          <w:tcPr>
            <w:tcW w:w="48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Deemed dividend related to Series B-2 preferred stock down</w:t>
            </w: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1"/>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round provision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4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w:t>
      </w:r>
    </w:p>
    <w:p>
      <w:pPr>
        <w:sectPr>
          <w:pgSz w:w="11900" w:h="16838" w:orient="portrait"/>
          <w:cols w:equalWidth="0" w:num="1">
            <w:col w:w="11240"/>
          </w:cols>
          <w:pgMar w:left="320" w:top="135" w:right="339" w:bottom="1440" w:gutter="0" w:footer="0" w:header="0"/>
        </w:sectPr>
      </w:pPr>
    </w:p>
    <w:p>
      <w:pPr>
        <w:spacing w:after="0" w:line="246"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41910</wp:posOffset>
            </wp:positionV>
            <wp:extent cx="22117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62" w:lineRule="exact"/>
        <w:rPr>
          <w:sz w:val="20"/>
          <w:szCs w:val="20"/>
          <w:color w:val="auto"/>
        </w:rPr>
      </w:pPr>
    </w:p>
    <w:p>
      <w:pPr>
        <w:ind w:left="490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41910</wp:posOffset>
            </wp:positionV>
            <wp:extent cx="22117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62" w:lineRule="exact"/>
        <w:rPr>
          <w:sz w:val="20"/>
          <w:szCs w:val="20"/>
          <w:color w:val="auto"/>
        </w:rPr>
      </w:pPr>
    </w:p>
    <w:p>
      <w:pPr>
        <w:ind w:left="60"/>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6" w:lineRule="exact"/>
        <w:rPr>
          <w:sz w:val="20"/>
          <w:szCs w:val="20"/>
          <w:color w:val="auto"/>
        </w:rPr>
      </w:pPr>
    </w:p>
    <w:p>
      <w:pPr>
        <w:sectPr>
          <w:pgSz w:w="11900" w:h="16838" w:orient="portrait"/>
          <w:cols w:equalWidth="0" w:num="2">
            <w:col w:w="7700" w:space="720"/>
            <w:col w:w="282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13.7 %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21"/>
                <w:szCs w:val="21"/>
                <w:color w:val="auto"/>
              </w:rPr>
            </w:pP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13.6 %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7"/>
        </w:trPr>
        <w:tc>
          <w:tcPr>
            <w:tcW w:w="41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86.3 %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86.4 %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57.4 %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183.1 %</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69.6 %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172.5 %</w:t>
            </w: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83.5 %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tcPr>
          <w:p>
            <w:pPr>
              <w:spacing w:after="0"/>
              <w:rPr>
                <w:sz w:val="21"/>
                <w:szCs w:val="21"/>
                <w:color w:val="auto"/>
              </w:rPr>
            </w:pP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88.9 %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64.3 %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173.8 %</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62.9 %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r>
      <w:tr>
        <w:trPr>
          <w:trHeight w:val="237"/>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(118.9)%</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(135.0)%</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equity issuance</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tranche liability</w:t>
            </w: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SEPA, warrant, and revenue base</w:t>
            </w:r>
          </w:p>
        </w:tc>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liabilities</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67.7 %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32.1 %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383.3 %</w:t>
            </w:r>
          </w:p>
        </w:tc>
        <w:tc>
          <w:tcPr>
            <w:tcW w:w="100" w:type="dxa"/>
            <w:vAlign w:val="bottom"/>
          </w:tcPr>
          <w:p>
            <w:pPr>
              <w:spacing w:after="0"/>
              <w:rPr>
                <w:sz w:val="21"/>
                <w:szCs w:val="21"/>
                <w:color w:val="auto"/>
              </w:rPr>
            </w:pP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57.0 %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155.6 %</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(32.7)%</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(94.1)%</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2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(32.6)%</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(94.2)%</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7"/>
        </w:trPr>
        <w:tc>
          <w:tcPr>
            <w:tcW w:w="41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41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Deemed dividend related to Series B-2 preferred stock</w:t>
            </w:r>
          </w:p>
        </w:tc>
        <w:tc>
          <w:tcPr>
            <w:tcW w:w="2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1"/>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down round provision</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1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(105.5)%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by $2.2 million, or 41.5% for the three months ended September 30, 2024, as compared to the three months ended September 30, 2023. The increase in revenue was due to an increase of $2.2 million in sales of TriNav.</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$0.4 million, or 70.5% for the three months ended September 30, 2024, as compared to the three months ended September 30, 2023. The increase in cost of goods sold was primarily due to higher production volumes to support our increased revenue.</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Gross profit increased by $1.7 million, or 37.8% for the three months ended September 30, 2024, and gross margin decreased to 86.3% from 88.7% for the three months ended September 30, 2024, as compared to the three months ended September 30, 2023. The increase in gross profit was due primarily to the increase in sales volume. The decrease in gross margin percentage was driven principally by decreased manufacturing efficiencies due to lower production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R&amp;D expenses decreased by $5.3 million, or 55.6% for the three months ended September 30, 2024, as compared to the three months ended September 30, 2023. The decrease was primarily driven by a $4.5 million reduction of clinical trial expenses related to nelitolimod and a decrease in headcount-related expenses of $0.4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$1.4 million, or 30.9%, for the three months ended September 30, 2024, as compared to the three months ended September 30, 2023. The increase was primarily driven by higher payroll and travel expenses of $1.1 million due to increased headcount of sales and marketing personnel and $0.3 million due to increased consulting and professional fees.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$4.3 million, or 47.6%, for the three months ended September 30, 2024, as compared to the three months ended September 30, 2023. The decrease was primarily due to expenses of $4.8 million incurred in the prior period for legal and consulting work in connection with the Business Combination that was not repeated this year, partially offset by an increase in insurance expenses of $0.3 million and an increase in headcount-related expenses of $0.3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48" w:lineRule="exact"/>
        <w:rPr>
          <w:sz w:val="20"/>
          <w:szCs w:val="20"/>
          <w:color w:val="auto"/>
        </w:rPr>
      </w:pPr>
    </w:p>
    <w:p>
      <w:pPr>
        <w:ind w:right="560" w:firstLine="324"/>
        <w:spacing w:after="0" w:line="312" w:lineRule="auto"/>
        <w:rPr>
          <w:sz w:val="20"/>
          <w:szCs w:val="20"/>
          <w:color w:val="auto"/>
        </w:rPr>
      </w:pPr>
      <w:r>
        <w:rPr>
          <w:rFonts w:ascii="Times New Roman" w:cs="Times New Roman" w:eastAsia="Times New Roman" w:hAnsi="Times New Roman"/>
          <w:sz w:val="17"/>
          <w:szCs w:val="17"/>
          <w:color w:val="auto"/>
        </w:rPr>
        <w:t>Interest income increased by $42 thousand, or 36.2%, for the three months ended September 30, 2024, as compared to the three months ended September 30, 2023. The increase was due to additional interest received from the investment of our excess cash in short-term money market funds.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by $1.1 million for the three months ended September 30, 2024, as compared to the three months ended September 30, 2023. The increase was due to interest we incurred on the OrbiMed loan in the current period that we did not incur in the prior quarter.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Issuance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loss on equity issuance for the three months ended September 30, 2024 and 2023.</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the SEPA, Warrant, and Revenue Base Redemption Liabilities</w:t>
      </w:r>
    </w:p>
    <w:p>
      <w:pPr>
        <w:spacing w:after="0" w:line="18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the SEPA, warrant, and revenue base redemption liabilities resulted in a gain of $5.0 million in the three months ended September 30, 2024, compared to a loss of $2.8 million in the three months ended September 30, 2023, a difference of $7.8 million. The difference was primarily due to the addition of the SEPA and the fair value change for warrant liabilities, which includes the Initial OrbiMed Warrant for the current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Liability</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earnout liability resulted in a gain of $2.4 million in the three months ended September 30, 2024, compared to a gain of $19.9 million for the three months ended September 30, 2023. This is mainly due to the higher market price of the underlying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by $8.4 million, or 65.5%, for the nine months ended September 30, 2024, as compared to the nine months ended September 30, 2023. The increase in revenue was due to an increase of $8.4 million in sales of TriNav.</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$0.9 million, or 42.7%, for the nine months ended September 30, 2024, as compared to the nine months ended September 30, 2023. The increase in cost of goods sold was primarily due to higher production volumes to support our increased revenue.</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Gross profit increased by $7.5 million, or 69.8%, for the nine months ended September 30, 2024, and gross margin percent increased to 86.4% from 84.2% for the nine months ended September 30, 2024, in each case as compared to the nine months ended September 30, 2023. The increase in gross profit was due primarily to the increase in sales volume. The increase in gross margin percentage was driven principally by higher production volumes and increased manufacturing efficiencies.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R&amp;D expenses decreased by $7.3 million, or 33.3%, for the nine months ended September 30, 2024, as compared to the nine months ended September 30, 2023. The decrease was primarily driven by an $8.1 million reduction in clinical trial expenses related to nelitolimod, partially offset by an increase in headcount-related expenses of $0.6 million and additional other expenses of $0.2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$7.4 million, or 64.7%, for the nine months ended September 30, 2024, as compared to the nine months ended September 30, 2023. The increase was primarily driven by higher payroll and travel expenses of $6.6 million due to increased headcount of sales and marketing personnel and $0.8 million of consulting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$4.2 million, or 23.9%, for the nine months ended September 30, 2024, as compared to the nine months ended September 30, 2023. The decrease was primarily due to expenses of $6.6 million incurred in the prior period for legal and consulting work in connection with the Business Combination that was not repeated this year. This decrease was partially offset by an increase of $1.7 million in headcount-related expenses, including travel and additional insurance expenses of $0.7 million due to the higher cost of insurance for public companies.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income increased by $0.2 million, or 85.6%, for the nine months ended September 30, 2024, as compared to the nine months ended September 30, 2023. The increase was due to additional interest received from the investment of our excess cash in short-term money market funds.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increased by $2.0 million for the nine months ended September 30, 2024, as compared to the nine months ended September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interest we incurred on the OrbiMed loan in the current period that we did not incur in the prior period.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Issuance</w:t>
      </w:r>
    </w:p>
    <w:p>
      <w:pPr>
        <w:spacing w:after="0" w:line="20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was no loss on equity issuance for the nine months ended September 30, 2024, as compared to $5.7 million reported for the nine months ended September 30, 2023. The prior year loss was attributable to the issuance of Series B-2 preferred stock and the accompanying warrants to purchase Series B-3 preferred stock and related tranche obligations, which were valued in excess of the proceeds received as part of the transaction in 2023.</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SEPA, Warrant, and Revenue Base Redemption Liabilities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SEPA and warrant liabilities resulted in a loss of $1.5 million in the nine months ended September 30, 2024, compared to a gain of $0.7 million in the nine months ended September 30, 2023, a difference of $2.2 million. The difference was primarily due to the addition of the SEPA and the associated fair value change during the current period, which includes the issuance of the Initial OrbiMed Warrant and additional embedded features in the Term Loan including revenue base redemption liabilities.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Earnout Liabilities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earnout liability resulted in a gain of $12.1 million in the nine months ended September 30, 2024, compared to a gain of $19.9 million for the nine months ended September 30, 2023. This is mainly due to the higher market price of the underlying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$19.9 million for the nine months ended September 30, 2024. We had cash and cash equivalents of approximately $11.3 million at September 30, 2024. Since inception, we have financed operations primarily through the issuance and sales of common and preferred stock, convertible notes, and term loans. We are still in our early stages of development and have yet to generate revenues sufficient to fund cash flows from operations. Our ability to fund future operations and execute our long-term business plan and strategy will require that we raise additional capital. There can be no assurance that we will be able to raise such additional capital on satisfactory terms, if at all. If additional capital is not secured when required, we may need to delay or curtail our operations until such funding is received.</w:t>
      </w:r>
    </w:p>
    <w:p>
      <w:pPr>
        <w:spacing w:after="0" w:line="13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we raised $12.4 million from the sale of 1,874,867 shares of common stock under the SEPA. In addition, in April 2024, we entered into the OrbiMed Credit Agreement providing for up to $50.0 million in senior secured term debt, of which we immediately drew $25.0 million, before expenses, Unless we are able to secure additional capital on favorable terms, we anticipate that we will have to further rely on the SEPA to continue to fund our operations. We expect that our existing cash and cash equivalents will not be sufficient to fund our projected liquidity requirements for at least the next 12 months from the date of this Quarterly Report. If we are able to achieve certain targets specified in the Credit Agreement and are then able to draw the remainder of the funds available, and if market conditions allow us to sell additional shares under the SEPA, we believe we can fund our operations through the end of 2025.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Quarterly Report. See also “Funding Requirements”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2024, and September 30,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cash from operating, investing, and financing activities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(41,401)</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54,586</w:t>
            </w:r>
          </w:p>
        </w:tc>
      </w:tr>
      <w:tr>
        <w:trPr>
          <w:trHeight w:val="26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46"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$35.1 million. The net cash used in operating activities consisted of net loss of $19.9 million, adjusted for non-cash charges totaling $5.6 million, primarily related to a loss on the adjustment of the fair value of the contingent earnout liability of $12.1 million, depreciation of $0.6 million and share-based compensation of $3.7 million, offset by a gain on the adjustment of the fair value of warrants to purchase common stock of $2.3 million,. The change in net operating assets and liabilities decreased</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$10.0 million, due primarily to an increase in accounts receivable and inventory, an increase in prepaid expenses, and a decrease in accounts payable and accrued liabilities.</w:t>
      </w:r>
    </w:p>
    <w:p>
      <w:pPr>
        <w:spacing w:after="0" w:line="11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operating activities was $41.4 million. The net cash used in operating activities consisted of net loss of $23.7 million, adjusted for non-cash charges totaling $15.3 million, primarily related to a gain on the adjustment of the fair value of the contingent earnout liability of $19.9 million, and a gain from the change in fair value of warrants to purchase preferred stock of $0.7 million, partially offset by a loss on equity issuance of $5.7 million, depreciation and amortization of $0.5 million and stock-based compensation expense of $0.4 million. In addition, net operating assets and liabilities decreased $3.4 million driven by an increase in accounts payable and accrued liabilities.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6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$0.3 million for the nine months ended September 30, 2024, was primarily due to purchases of property and equipment of $0.3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60" w:lineRule="exact"/>
        <w:rPr>
          <w:sz w:val="20"/>
          <w:szCs w:val="20"/>
          <w:color w:val="auto"/>
        </w:rPr>
      </w:pPr>
    </w:p>
    <w:p>
      <w:pPr>
        <w:jc w:val="both"/>
        <w:ind w:right="180" w:firstLine="324"/>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of $34.9 million for the nine months ended September 30, 2024, consisted of $12.6 million from the sale of 1,874,867 shares of common stock under the SEPA and $22.4 million, net of expenses, from the initial draw down under the OrbiMed Credit Agreement.</w:t>
      </w:r>
    </w:p>
    <w:p>
      <w:pPr>
        <w:spacing w:after="0" w:line="72"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$54.6 million for the nine months ended September 30, 2023, consisted principally of proceeds from the merger of $36.9 million, consisted principally of proceeds from the issuance of Series B-2 preferred stock of $9.2 million, and proceeds from the exercise of warrants to purchase Series B-3 preferred stock of $9.6 million, partially offset by expenses incurred related to the Business Combination of $1.1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0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which consist of sales and marketing expenses related to the growth of our sole commercial product TriNav, research, development and clinical expenses related to both TriNav and nelitolimod, as well as general and administrative expenses. If we obtain approval for our product candidates, we expect to incur commercialization expenses, which may be significant, related to establishing or expanding sales, marketing, manufacturing 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and conflicts in the Middle East.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w:t>
      </w:r>
    </w:p>
    <w:p>
      <w:pPr>
        <w:spacing w:after="0" w:line="11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also expect to continue to incur significant expenses in connection with our ongoing activities related to TriNav, including sales and marketing expenses and expenditures to support expansion of our production capacity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our ability to draw the Delayed Draw Commitment Amount if and when needed;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spacing w:after="0" w:line="16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number of affirmative and restrictive covenants pursuant to the OrbiMed Credit Agreement, which limit or restrict our ability to take specific actions, such as incurring additional debt, making capital expenditures or declaring dividends.</w:t>
      </w:r>
    </w:p>
    <w:p>
      <w:pPr>
        <w:spacing w:after="0" w:line="9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2"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We will likely require additional capital in the near term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 See factors further described in the sections titled "Risk Factors" in this Quarterly Report.</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continuation as a going concern is dependent on our ability to generate sufficient cash flows from operations and/or obtain additional capital through one or a combination of securities offerings, debt financings,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w:t>
      </w:r>
      <w:r>
        <w:rPr>
          <w:rFonts w:ascii="Times New Roman" w:cs="Times New Roman" w:eastAsia="Times New Roman" w:hAnsi="Times New Roman"/>
          <w:sz w:val="18"/>
          <w:szCs w:val="18"/>
          <w:i w:val="1"/>
          <w:iCs w:val="1"/>
          <w:color w:val="auto"/>
        </w:rPr>
        <w:t>(1) Nature of Business</w:t>
      </w:r>
      <w:r>
        <w:rPr>
          <w:rFonts w:ascii="Times New Roman" w:cs="Times New Roman" w:eastAsia="Times New Roman" w:hAnsi="Times New Roman"/>
          <w:sz w:val="18"/>
          <w:szCs w:val="18"/>
          <w:color w:val="auto"/>
        </w:rPr>
        <w:t xml:space="preserve"> to our unaudited condensed consolidated financial statements accompanying this Quarterly Report, there is substantial doubt regarding our ability to continue as a going concern as of September 30,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September 30, 2024, include lease obligations of $2.5 million, reflecting the minimum commitments for our principal administrative and production facility and other office spaces.</w:t>
      </w:r>
    </w:p>
    <w:p>
      <w:pPr>
        <w:spacing w:after="0" w:line="9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the Asset Purchase Agreement, dated July 31, 2020, between TriSalus and Dynavax, we have paid Dynavax $12 million as of September 30, 2024, and may be required to pay Dynavax up to an additional $158 million upon the achievement of certain development and regulatory milestones with respect to nelitolimod. Subject to obtaining marketing approval for nelitolimod, we will also be required to pay up to $80 million upon achieving certain commercial milestones.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significant accounting policies are summarized in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xml:space="preserve"> in the unaudited condensed consolidated financial statements accompanying this Quarterly Report. There have been no significant changes in our critical accounting policies during the nine months ended September 30, 2024, as compared to the critical accounting policies disclosed in Management's Discussion and Analysis of Financial Condition and Results of Operations included in our Annual Report on Form 10-K for the year ended December 31, 2023, filed with the SEC on April 11, 2024.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640" w:firstLine="324"/>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Item 10(f)(1) of Regulation S-K of the Securities Act; we are not required to provide the information contemplated by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the Securities Exchange Act of 1934, as amended (the "Exchange Act") Rule 13a-15) that are designed to provide reasonable assurance that the information required to be disclosed by us in reports that we file or submit under the Exchange Act, is recorded, processed, summarized and reported within the time periods specified in the rules and forms promulgated by the Securities and Exchange Commission, and that such information is accumulated and communicated to our management, including our Chief Executive Officer and Chief Financial Officer, as appropriate to allow timely decisions regarding required disclosure. Because of the inherent limitations to the effectiveness of any system of disclosure controls and procedures, no evaluation of disclosure controls and procedures can provide absolute assurance that all control issues and instances of fraud, if any, with a company have been prevented or detected on a timely basis. Even disclosure controls and procedures determined to be effective can only provide reasonable assurance that their objectives are achieved.</w:t>
      </w:r>
    </w:p>
    <w:p>
      <w:pPr>
        <w:spacing w:after="0" w:line="12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 at the reasonable assurance level.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9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 material weakness is a deficiency or combination of deficiencies in internal control over financial reporting such that there is a reasonable possibility that a material misstatement of our condensed consolidated financial statements would not be prevented or detected on a timely basis. </w:t>
      </w:r>
      <w:r>
        <w:rPr>
          <w:rFonts w:ascii="Times New Roman" w:cs="Times New Roman" w:eastAsia="Times New Roman" w:hAnsi="Times New Roman"/>
          <w:sz w:val="18"/>
          <w:szCs w:val="18"/>
          <w:color w:val="231F20"/>
        </w:rPr>
        <w:t>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our audited consolidated financial statements for the years ended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and our unaudited condensed consolidated financial statements for the </w:t>
      </w:r>
      <w:r>
        <w:rPr>
          <w:rFonts w:ascii="Times New Roman" w:cs="Times New Roman" w:eastAsia="Times New Roman" w:hAnsi="Times New Roman"/>
          <w:sz w:val="18"/>
          <w:szCs w:val="18"/>
          <w:color w:val="000000"/>
        </w:rPr>
        <w:t>nine months ended September 30, 2024</w:t>
      </w:r>
      <w:r>
        <w:rPr>
          <w:rFonts w:ascii="Times New Roman" w:cs="Times New Roman" w:eastAsia="Times New Roman" w:hAnsi="Times New Roman"/>
          <w:sz w:val="18"/>
          <w:szCs w:val="18"/>
          <w:color w:val="231F20"/>
        </w:rPr>
        <w:t>, management identified material weaknesses in our internal control over financial reporting with respect to:</w:t>
      </w:r>
    </w:p>
    <w:p>
      <w:pPr>
        <w:spacing w:after="0" w:line="75" w:lineRule="exact"/>
        <w:rPr>
          <w:sz w:val="20"/>
          <w:szCs w:val="20"/>
          <w:color w:val="auto"/>
        </w:rPr>
      </w:pPr>
    </w:p>
    <w:p>
      <w:pPr>
        <w:ind w:left="660" w:right="20" w:hanging="328"/>
        <w:spacing w:after="0" w:line="282" w:lineRule="auto"/>
        <w:tabs>
          <w:tab w:leader="none" w:pos="65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lack of sufficient number of trained resources with the appropriate skills and knowledge and with assigned responsibilities and accountability for the design and operation of internal controls over:</w:t>
      </w:r>
    </w:p>
    <w:p>
      <w:pPr>
        <w:spacing w:after="0" w:line="53"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reporting,</w:t>
      </w:r>
    </w:p>
    <w:p>
      <w:pPr>
        <w:spacing w:after="0" w:line="117"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accounting for costs associated with the SEPA,</w:t>
      </w:r>
    </w:p>
    <w:p>
      <w:pPr>
        <w:spacing w:after="0" w:line="117"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costs,</w:t>
      </w:r>
    </w:p>
    <w:p>
      <w:pPr>
        <w:spacing w:after="0" w:line="117"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accounting for the Exchange Warrants,</w:t>
      </w:r>
    </w:p>
    <w:p>
      <w:pPr>
        <w:spacing w:after="0" w:line="117" w:lineRule="exact"/>
        <w:rPr>
          <w:rFonts w:ascii="Times New Roman" w:cs="Times New Roman" w:eastAsia="Times New Roman" w:hAnsi="Times New Roman"/>
          <w:sz w:val="18"/>
          <w:szCs w:val="18"/>
          <w:color w:val="231F20"/>
        </w:rPr>
      </w:pPr>
    </w:p>
    <w:p>
      <w:pPr>
        <w:ind w:left="1960" w:right="3340" w:hanging="656"/>
        <w:spacing w:after="0" w:line="397" w:lineRule="auto"/>
        <w:tabs>
          <w:tab w:leader="none" w:pos="1960" w:val="left"/>
        </w:tabs>
        <w:numPr>
          <w:ilvl w:val="1"/>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accounting for the Credit Agreement with OrbiMed, including the Initial OrbiMed Commitment Amount and the related derivative financial instruments, and</w:t>
      </w:r>
    </w:p>
    <w:p>
      <w:pPr>
        <w:spacing w:after="0" w:line="1" w:lineRule="exact"/>
        <w:rPr>
          <w:rFonts w:ascii="Times New Roman" w:cs="Times New Roman" w:eastAsia="Times New Roman" w:hAnsi="Times New Roman"/>
          <w:sz w:val="17"/>
          <w:szCs w:val="17"/>
          <w:color w:val="231F20"/>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R&amp;D accruals;</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controls over the accounting and financial reporting for the Business Combination;</w:t>
      </w:r>
    </w:p>
    <w:p>
      <w:pPr>
        <w:spacing w:after="0" w:line="117" w:lineRule="exact"/>
        <w:rPr>
          <w:rFonts w:ascii="Times New Roman" w:cs="Times New Roman" w:eastAsia="Times New Roman" w:hAnsi="Times New Roman"/>
          <w:sz w:val="18"/>
          <w:szCs w:val="18"/>
          <w:color w:val="231F20"/>
        </w:rPr>
      </w:pPr>
    </w:p>
    <w:p>
      <w:pPr>
        <w:jc w:val="both"/>
        <w:ind w:left="660" w:right="280" w:hanging="328"/>
        <w:spacing w:after="0" w:line="266" w:lineRule="auto"/>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internal controls over the valuation of derivative financial instruments, including the warrant and tranche rights and obligations and liabilities resulting from the series B-2 preferred stock financing, and the revenue base redemption liability associated with the Initial OrbiMed Commitment Amount; and</w:t>
      </w:r>
    </w:p>
    <w:p>
      <w:pPr>
        <w:spacing w:after="0" w:line="6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design and implementation of controls over the conversion of data from our legacy equity management system to our new system, and over the assumptions used to calculate fair value of certain equity awards to support the recognition of stock compensation expense.</w:t>
      </w:r>
    </w:p>
    <w:p>
      <w:pPr>
        <w:spacing w:after="0" w:line="9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Activities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To the extent reasonably possible given our limited resources, we intend to take measures to cure the aforementioned weaknesses, including, but not limited to, increasing the capacity and quantity of our qualified</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financial personnel to ensure that accounting policies and procedures are consistent across the organization and that we have adequate control over our Exchange Act reporting disclosures. 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 we have hired all of the additional trained resources with such requisite experience.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spacing w:after="0" w:line="11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material weaknesses discussed above will not be considered remediated until the applicable new or enhanced controls operate for a sufficient period of time and management has concluded, through testing that these controls are designed and operating effectively.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Other than the material weaknesses and remediation efforts described above, there have been no changes in our internal control procedures over financial reporting (as defined in Rules 13a-15(f) and 15d-15(f) of the Exchange Act)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proceedings against us that we believe could have a material adverse effect on our business, operating results, cash flows, or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8"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i w:val="1"/>
          <w:iCs w:val="1"/>
          <w:color w:val="231F20"/>
        </w:rPr>
        <w:t xml:space="preserve">Investing in our securities involves a high degree of risk. Before you make a decision to buy our securities, in addition to the risks and uncertainties discussed above under “Special Note Regarding Forward-Looking Statements,” you should carefully consider the risks and uncertainties described below together with all of the other information contained in this Quarterly Report, including the accompanying financial statements and related notes, and in the section titled “Management’s Discussion and Analysis of Financial Condition and Results of Operations.” If any of the following events or developments described as risks were to occur, either alone or taken together, our business, financial condition, results of operations and future growth prospects would likely be materially and adversely affected. In these circumstances, the market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The risk factors set forth below with an asterisk (*) next to the title contain changes to the description of the risk factors associated with our business previously disclosed in Item 1A of our 2023 Annual Report on Form 10-K for the year ended </w:t>
      </w:r>
      <w:r>
        <w:rPr>
          <w:rFonts w:ascii="Times New Roman" w:cs="Times New Roman" w:eastAsia="Times New Roman" w:hAnsi="Times New Roman"/>
          <w:sz w:val="18"/>
          <w:szCs w:val="18"/>
          <w:i w:val="1"/>
          <w:iCs w:val="1"/>
          <w:color w:val="000000"/>
        </w:rPr>
        <w:t>December 31, 2023</w:t>
      </w:r>
      <w:r>
        <w:rPr>
          <w:rFonts w:ascii="Times New Roman" w:cs="Times New Roman" w:eastAsia="Times New Roman" w:hAnsi="Times New Roman"/>
          <w:sz w:val="18"/>
          <w:szCs w:val="18"/>
          <w:i w:val="1"/>
          <w:iCs w:val="1"/>
          <w:color w:val="231F20"/>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58"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have incurred significant losses since our inception and anticipate incurring increasing expenses and continuing losses for the foreseeable future. *</w:t>
      </w:r>
    </w:p>
    <w:p>
      <w:pPr>
        <w:spacing w:after="0" w:line="7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We are a commercial-stage medical device and Phase I clinical-stage pharmaceutical company with a limited operating history upon which you can evaluate our business and prospects. We have incurred significant losses since inception, including net losses of </w:t>
      </w:r>
      <w:r>
        <w:rPr>
          <w:rFonts w:ascii="Times New Roman" w:cs="Times New Roman" w:eastAsia="Times New Roman" w:hAnsi="Times New Roman"/>
          <w:sz w:val="18"/>
          <w:szCs w:val="18"/>
          <w:color w:val="000000"/>
        </w:rPr>
        <w:t>$19.9 million for the nine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 As of</w:t>
      </w:r>
      <w:r>
        <w:rPr>
          <w:rFonts w:ascii="Times New Roman" w:cs="Times New Roman" w:eastAsia="Times New Roman" w:hAnsi="Times New Roman"/>
          <w:sz w:val="18"/>
          <w:szCs w:val="18"/>
          <w:color w:val="000000"/>
        </w:rPr>
        <w:t xml:space="preserve"> September 30, 2024</w:t>
      </w:r>
      <w:r>
        <w:rPr>
          <w:rFonts w:ascii="Times New Roman" w:cs="Times New Roman" w:eastAsia="Times New Roman" w:hAnsi="Times New Roman"/>
          <w:sz w:val="18"/>
          <w:szCs w:val="18"/>
          <w:color w:val="231F20"/>
        </w:rPr>
        <w:t>, we had an accumulated deficit of $269.4 million. We anticipate incurring increased sales and general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administrative expenses related to our operations and transition into a public company for the foreseeable future. Losses will likely continue and may increase in the future as we continue to incur significant expenses related to drug development. We may find that these efforts are more expensive than we currently anticipate or that these efforts may not result in revenues, which would further increase our losses. In addition, we have limited experience and have not yet demonstrated an ability to successfully overcome many of the risks and uncertainties frequently encountered by clinical-stage pharmaceutical companies. If we are unable to achieve and/or sustain profitability, or if we are unable to achieve the growth that we expect from these efforts, it could have a material adverse effect on our business, financial condition or results of operations. Even if we achieve profitability in the future, we may not be able to sustain profitability in subsequent periods.</w:t>
      </w:r>
    </w:p>
    <w:p>
      <w:pPr>
        <w:spacing w:after="0" w:line="12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 *</w:t>
      </w:r>
    </w:p>
    <w:p>
      <w:pPr>
        <w:spacing w:after="0" w:line="1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Based on our sales, operations, and research and development plans, we expect that our existing cash and cash equivalents will not be sufficient to fund operations for at least the next 12 months from the issuance date of this Quarterly Report. We expect to incur significant expenses and operating losses for the foreseeable future as we continue to invest in the commercialization of TriNav, and clinical trials and other development, manufacturing and regulatory activities for TriNav, nelitolimod, and our other product candidates, and discovery research and development. Based on our history of losses, we do not expect that we will be able to fund our longer-term capital and liquidity needs through our cash balances, operating cash flow, and the proceeds from the OrbiMed Credit Agreement alone.</w:t>
      </w:r>
    </w:p>
    <w:p>
      <w:pPr>
        <w:spacing w:after="0" w:line="10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Until we can generate a sufficient amount of revenue, we will need to finance our operations through strategic alliance and licensing arrangements and/or public or private debt and equity financings. We anticipate needing to obtain substantial additional funding in connection with our continuing operations and planned activities to expand our business, to respond to competitive pressure and to make acquisitions. The amount of capital we will need may change depending on, among other things, the success of our efforts to grow revenue, our efforts to continue to effectively manage expenses, the results of our research and development and clinical trials for product candidates, and costs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arising from seeking regulatory approvals. We may not succeed in raising additional funds in a timely manner. The timing of our need for additional funds will depend on many factors, which are difficult to predict or may be outside of our control, including to continue the clinical development of, and seek regulatory approval for, nelitolimod in any indication. These factors include:</w:t>
      </w:r>
    </w:p>
    <w:p>
      <w:pPr>
        <w:spacing w:after="0" w:line="6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revenue received from sales of TriNav;</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and timing of research and development programs, including for additional Pressure- Enabled Drug Delivery (“PEDD”) devices;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access the Delayed Draw Commitment Amount if and when needed;</w:t>
      </w:r>
    </w:p>
    <w:p>
      <w:pPr>
        <w:spacing w:after="0" w:line="117"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progress, results, resources, time and costs of preclinical development, laboratory testing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establish collaborations on favorable terms, if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timing and outcome of the regulatory review and approval of nelitolimod and any future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of any milestone payments or royalties due to Dynavax;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of operating as a public company.</w:t>
      </w:r>
    </w:p>
    <w:p>
      <w:pPr>
        <w:spacing w:after="0" w:line="14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If our estimates and predictions relating to any of these factors are incorrect, we may need to modify our business plans. Conducting preclinical testing and clinical trials is a time-consuming, expensive and uncertain process that takes years to complete, and we may never generate the necessary data or results required to obtain regulatory approval and achieve product sales for nelitolimod or any of our product candidates. In addition, nelitolimod and any future product candidates, if approved, may not achieve commercial success.</w:t>
      </w:r>
    </w:p>
    <w:p>
      <w:pPr>
        <w:spacing w:after="0" w:line="11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231F20"/>
        </w:rPr>
        <w:t>Our ability to raise additional capital in the equity and debt markets, should we choose to do so, will depend upon many factors, including but not limited to, the market demand for our Common Stock, which itself is subject to a number of development and business risks and uncertainties, as well as investor perception of our creditworthiness and prospects. It will also depend on a number of factors, including market conditions, interest rates, our operating performance and our credit rating. If we are unable to raise funds on acceptable terms, we may not be able to execute our business plan, take advantage of future opportunities, or respond to competitive pressures or unanticipated requirements. This may seriously harm our business, financial condition and results of operations. If we are not able to continue operations, investors may suffer a complete loss of their investments in our securities.</w:t>
      </w:r>
    </w:p>
    <w:p>
      <w:pPr>
        <w:spacing w:after="0" w:line="12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Common Stock. Subject to limited exception, we are prohibited from incurring indebtedness without the prior written consent of OrbiMed pursuant to the Credit Agreement. Regardless, any debt financing that we may secure in the future could involve significant fixed payment obligations and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needed, we may need to delay, reduce the scope of or put on hold one or more research and development programs or commercialization efforts while we seek strategic alternatives, and our ability to continue to support our business growth and to respond to business challenges and opportunities could be significantly impaired.</w:t>
      </w:r>
    </w:p>
    <w:p>
      <w:pPr>
        <w:spacing w:after="0" w:line="1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may also need to seek collaborators for nelitolimod and any future product candidates at an earlier stage than otherwise would be desirable or on terms that are less favorable than might otherwise be available or relinquish or license on unfavorable terms our rights to nelitolimod and any future product candidates in markets where we otherwise would seek to pursue development or commercialization ourselves. Any of the above events could significantly harm our business, prospects, financial condition, and results of operations and cause the price of Common Stock to decline. Further, our ability to raise additional capital and the interest rate of our term loans under the Credit Agreement may be adversely impacted by potential worsening global economic conditions, and the continued disruptions to and volatility in the credit and financial markets in the United States and worldwide resulting from geopolitical events, including the wars in Ukraine and the Middle East, and disruptions to the U.S. banking system due to bank failures.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If we are unable to raise sufficient additional capital, we could be forced</w:t>
      </w:r>
    </w:p>
    <w:p>
      <w:pPr>
        <w:spacing w:after="0" w:line="200" w:lineRule="exact"/>
        <w:rPr>
          <w:sz w:val="20"/>
          <w:szCs w:val="20"/>
          <w:color w:val="auto"/>
        </w:rPr>
      </w:pPr>
    </w:p>
    <w:p>
      <w:pPr>
        <w:spacing w:after="0" w:line="3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to curtail our planned operations and the pursuit of our growth strategy and business development efforts, which could jeopardize our ability to continue our business operations.</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future capital needs may require us to sell additional equity or debt securities that may dilute our stockholders, adversely affect the market price of our Common Stock or introduce covenants that may restrict our operations. *</w:t>
      </w:r>
    </w:p>
    <w:p>
      <w:pPr>
        <w:spacing w:after="0" w:line="186"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231F20"/>
        </w:rPr>
        <w:t>We may seek additional capital through a combination of public and private equity offerings, debt financings, strategic partnerships and licensing arrangements. To the extent that we raise additional capital through the sale of equity or convertible debt securities, the ownership interest of existing stockholders will be diluted, such offerings may reduce the market price of the Common Stock, and the terms may include a preference on liquidating distributions or a preference on dividend payments liquidation or other preferences that adversely affect the rights of existing stockholders. Thus, existing holders of our Common Stock bear the risk of our future offerings reducing the market price of our Common Stock and diluting their shareholdings in us. For instance, in October 2023, we entered into a standby equity purchase agreement (the “SEPA”) with YA II PN, LTD., a Cayman Islands exempt limited partnership (“Yorkville”), whereby we have the right, but not the obligation, to sell to Yorkville up to $30.0 million of our Common Stock at our request, subject to terms and conditions specified in the SEPA. We have, and in the future may continue to, sell shares of our Common stock to Yorkville under the SEPA. In addition, the Credit Agreement with OrbiMed, requires us to make payments of interest and principal and subject us to a number of restrictive covenants, including among others, limitations on our ability to incur additional debt; create liens and encumbrances; merge, dissolve, merge, dissolve, liquidate or consolidate; make acquisitions, investments, advances or loans; dispose of or transfer assets; pay dividends or make other payments in respect of our capital stock; amend certain material documents; redeem or repurchase certain debt; engage in certain transactions with our affiliates; enter into certain restrictive agreements; and license intellectual property rights. 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w:t>
      </w:r>
    </w:p>
    <w:p>
      <w:pPr>
        <w:spacing w:after="0" w:line="12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Because our decision to issue additional equity or debt securities in any future offering or to enter into any strategic partnership or licensing arrangement will depend on market conditions and other factors beyond our control, we cannot predict or estimate the amount, timing, nature or success of our future capital raising efforts or partnership and licensing arrangements. In addition, a significant decline in the trading price of our Common Stock could potentially impact our ability to use equity securities as consideration in acquisitions. If we are unable to raise additional capital when needed, we may be required to delay, limit, reduce or terminate our product development or commercialization efforts, or grant rights to develop and market products or product candidates that we would otherwise develop and market ourselves.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generate sufficient cash to service our indebtedness or borrow additional funds pursuant to our Loan Facility. *</w:t>
      </w:r>
    </w:p>
    <w:p>
      <w:pPr>
        <w:spacing w:after="0" w:line="148"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231F20"/>
        </w:rPr>
        <w:t>We have entered into a Credit Agreement with OrbiMed, pursuant to which we may borrow up to $50 million in senior secured term debt. Our obligations under the Credit Agreement are secured by substantially all of our assets.</w:t>
      </w:r>
    </w:p>
    <w:p>
      <w:pPr>
        <w:spacing w:after="0" w:line="9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are subject to a number of affirmative and restrictive covenants pursuant to the Credit Agreement, which limit or restrict our ability to, among others (subject to certain qualifications and exceptions): create liens and encumbrances; incur additional indebtedness; merge, dissolve, liquidate or consolidate; make acquisitions, investments, advances or loans; dispose of or transfer assets; pay dividends or make other payments in respect of our capital stock; amend certain material documents; redeem or repurchase certain debt; engage in certain transactions with our affiliates; and enter into certain restrictive agreements. In addition, we are required to maintain at least $5.0 million of unrestricted cash and cash equivalents at all times (which requirement will increase to $10.0 million at all times after March 31, 2025). Our obligations under the Credit Agreement are subject to acceleration upon the occurrence of an event of default (subject to applicable notice and grace periods). We are currently in compliance with the Credit Agreement covenants. If we are unable to achieve certain milestones, generate sufficient revenue and maintain certain minimum cash threshold, we may fall out of compliance with these covenants. We may also enter into other debt agreements in the future which may contain similar or more restrictive terms.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obligations. Failure to comply with the conditions of the Credit Agreement could result in an event of default, which could result in an acceleration of amounts due under the Credit Agreement. We may not have sufficient funds or may be unable to arrange for additional financing to repay our indebtedness or to make any accelerated payments, and OrbiMed could seek to enforce security interests in the collateral securing such indebtedness, which would harm our business.</w:t>
      </w:r>
    </w:p>
    <w:p>
      <w:pPr>
        <w:spacing w:after="0" w:line="99"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231F20"/>
        </w:rPr>
        <w:t>In addition, the OrbiMed Credit Agreement provides up to $10 million will be made available on or prior to June 30, 2025, and up to $15.0 million will be made available on or prior to December 31, 2025, in each case, subject to certain revenue requirements. If we are unable to achieve the revenue requirements by the applicable dates, we would be unable to borrow additional funds pursuant to the Loan Facility, which could negatively impact our ability to fund our operations.</w:t>
      </w:r>
    </w:p>
    <w:p>
      <w:pPr>
        <w:spacing w:after="0" w:line="10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issue additional Common Stock from time to time under our equity incentive plans. Any such issuances would dilute the interest of our stockholders and likely present other risks.</w:t>
      </w:r>
    </w:p>
    <w:p>
      <w:pPr>
        <w:spacing w:after="0" w:line="9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may issue additional Common Stock from time to time under our equity incentive plans. Common Stock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have filed a registration statement on Form S-8 under the Securities Act to register additional shares we may issue pursuant to our 2023 Equity Incentive Plan (the “2023 Plan”) and 2023 Employee Stock Purchase Plan. In addition, we may file one or more registration statements on Form S-8 under the Securities Act to register additional Common Stock or securities convertible into or exchangeable for Common Stock issued pursuant to our equity incentive plans. Any future Form S-8 registration statements will automatically become effective upon filing. Accordingly, Common Stock registered under such registration statements may be immediately available for sale in the open market.</w:t>
      </w:r>
    </w:p>
    <w:p>
      <w:pPr>
        <w:spacing w:after="0" w:line="10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9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assumption or occurrence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integration;</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diversion of our management’s attention from our existing product programs and initiatives in pursuing such an acquisition or strategic partnership;</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related regulatory approvals;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9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In addition, if we undertake acquisitions, we may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91"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The Dynavax Agreement, entered into by Legacy TriSalus in connection with its purchase of nelitolimod, requires us to make potentially significant payments to Dynavax before we will have regulatory approval of nelitolimod and be able to generate revenue from sales of nelitolimod. *</w:t>
      </w:r>
    </w:p>
    <w:p>
      <w:pPr>
        <w:spacing w:after="0" w:line="10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Pursuant to the Dynavax Agreement, as of the date of this Quarterly Report on Form 10-Q, we have paid Dynavax $12 million to date and we may be required to pay Dynavax up to an additional $158 million upon the achievement of certain development and regulatory milestones with respect to nelitolimod. We will also be required to pay up to $80 million upon achieving certain commercial milestones once sales of nelitolimod have begun. The Dynavax Agreement</w:t>
      </w: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also obligates us to pay royalties based on potential future net sales of products containing nelitolimod compound on a product-by-product and country-by-country basis during the applicable royalty term. Such royalties are subject to reduction by up to 50% in certain circumstances. Our failure to satisfy these payment obligations or other obligations under the Dynavax Agreement could result in penalties or litigation, which could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TriNav</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revenue is primarily generated from sales of our TriNav device and we are therefore highly dependent on it for our success. Failure to achieve continued market acceptance of TriNav for any reason will harm our business and future prospects. *</w:t>
      </w:r>
    </w:p>
    <w:p>
      <w:pPr>
        <w:spacing w:after="0" w:line="78"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231F20"/>
        </w:rPr>
        <w:t>We began selling TriNav in 2020 in the United States, and sales of TriNav account for primarily all of our revenue and will continue to account for primarily all of our revenue going forward. Our ability to execute our growth strategy and become profitable will therefore depend upon the adoption of TriNav by physicians and hospitals, among others.</w:t>
      </w:r>
    </w:p>
    <w:p>
      <w:pPr>
        <w:spacing w:after="0" w:line="10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TriNav is a relatively new drug delivery platform designed to overcome the barriers of the high pressure tumor microenvironment. As a result, physician awareness of TriNav, and experience with TriNav, is limited. A number of factors that are outside of our control may contribute to fluctuations in our financial results, including:</w:t>
      </w:r>
    </w:p>
    <w:p>
      <w:pPr>
        <w:spacing w:after="0" w:line="68" w:lineRule="exact"/>
        <w:rPr>
          <w:sz w:val="20"/>
          <w:szCs w:val="20"/>
          <w:color w:val="auto"/>
        </w:rPr>
      </w:pPr>
    </w:p>
    <w:p>
      <w:pPr>
        <w:ind w:left="660" w:right="8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 experience and hospital demand for our products and the extent of adoption of TriNav, including the rate at which physicians recommend TriNav for use on their patients;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or failure to supply product, component and material deliveries by our third-party suppliers;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positive or negative media coverage, or public, patient and/or physician perception, of TriNav or competing products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safety or effectiveness concerns that arise regarding TriNav;</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extent of reimbursement by the Centers for Medicare &amp; Medicaid Services (" CMS") for purchases of TriNav;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introduction of new products or procedures for delivering drugs into the tumor microenvironment that compete with TriNav.</w:t>
      </w:r>
    </w:p>
    <w:p>
      <w:pPr>
        <w:spacing w:after="0" w:line="15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There is no assurance that TriNav will achieve broad market acceptance among physicians and hospitals. Any failure of TriNav to satisfy physician or hospital demand or to achieve meaningful market acceptance will harm our business and future prospects. Further, to the extent broad market acceptance is achieved in the future, there is no assurance that such acceptance will be sustained.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business is dependent upon the continued adoption of TriNav by hospitals and physicians.</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Our future growth and profitability largely depend on our ability to increase physician awareness and adoption of TriNav and on the willingness of physicians to recommend the device to more of their patients. Physicians may not use our products unless they are able to determine, based on experience, clinical data, medical society recommendations and other analyses, that our product provides a safe and effective treatment alternative for drug delivery. Even if we are able to raise awareness and increase adoption of TriNav among physicians, physicians tend to be slow in changing their medical treatment practices and may be hesitant to select TriNav for recommendation to patients for a variety of reasons, including:</w:t>
      </w:r>
    </w:p>
    <w:p>
      <w:pPr>
        <w:spacing w:after="0" w:line="7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Long-standing relationships with competing companies and distributors that sell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Competitive response and negative selling efforts from providers of alternative catheter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Perceived liability risk generally associated with the use of new products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Lack of sufficient clinical evidence, including long-term data, supporting the clinical benefits of TriNav;</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Reluctance to change to or use new products and procedures;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 commitment and skill development that may be required to gain familiarity and proficiency with TriNav.</w:t>
      </w:r>
    </w:p>
    <w:p>
      <w:pPr>
        <w:spacing w:after="0" w:line="15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Physicians play a significant role in determining the course of a patient’s treatment and, as a result, the type of treatment that will be recommended or provided to a patient. We focus our sales, marketing, and education efforts primarily on interventional radiologists with the goal of educating these physicians regarding the patient population that we believe would benefit from TriNav. However, we cannot assure you that we will achieve broad education or market acceptance among these practitioners. For example, if treating physicians are not made aware of TriNav, they may not treat patients using our product, and those patients may instead not seek treatment at all or may be treated with alternative products or procedures. In addition, some physicians may choose to utilize TriNav on only a subset of their</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total patient population or may not adopt TriNav at all. If a physician experiences an adverse event in one or more of their TriNav patients or if any issues with the safety or efficacy of TriNav develop, physicians may not continue offering TriNav as a drug delivery method at the same rate or at all. If we are not able to effectively demonstrate that TriNav is beneficial in a broad range of patients, adoption of TriNav will be limited and may not occur as rapidly as we anticipate, which would have a material adverse effect on our business, financial condition, and results of operations. We cannot assure you that TriNav will achieve broad market acceptance among hospitals and physicians. Any failure of TriNav to satisfy demand or to achieve meaningful market acceptance and penetration will harm our future prospects and have a material adverse effect on our business, financial condition, and results of operations.</w:t>
      </w:r>
    </w:p>
    <w:p>
      <w:pPr>
        <w:spacing w:after="0" w:line="106"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231F20"/>
        </w:rPr>
        <w:t>In addition, the medical device industry’s interactions and relationships with health care providers, including physicians and hospitals are under increasing scrutiny by the U.S Department of Health and Human Services Office of the Inspector General (“OIG”), the Department of Justice (“DOJ”), state attorneys general, and other foreign and domestic government agencies. Our failure to comply with laws, rules and regulations governing our relationships with health care providers, including physicians and hospitals, or an investigation into our compliance by the OIG, DOJ, state attorneys general or other government agencies, could significantly harm our business.</w:t>
      </w:r>
    </w:p>
    <w:p>
      <w:pPr>
        <w:spacing w:after="0" w:line="11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most cases, before physicians can use our products for the first time, our products must be approved for use by a hospital’s new product or value analysis committee, or the staff of a hospital or health system. Following such approval, we may be required to enter into purchase contracts with such hospital or health system. Such approvals or requirements to enter into a purchase contract could deter or delay the use of our products by physicians. We cannot provide assurance that our efforts to obtain such approvals, enter into purchase contracts, or generate adoption will be successful or increase the use of our products, and if we are not successful, it could have a material adverse effect on our business, financial condition and results of operations.</w:t>
      </w:r>
    </w:p>
    <w:p>
      <w:pPr>
        <w:spacing w:after="0" w:line="11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change to TriNav’s reimbursement status that reduces our level of reimbursement could cause TriNav sales to materially decline and impede market adoption. *</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presently benefit from various reimbursement codes in the United States, including the following:</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Healthcare Common Procedure Coding System Code ("HCPCS"): C1982; and</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Current Procedural Terminology for physicians to support reimbursement for physician- rendered healthcare services Codes: 37242 Mapping and 37243 Treatment.</w:t>
      </w:r>
    </w:p>
    <w:p>
      <w:pPr>
        <w:spacing w:after="0" w:line="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In December 2023, CMS granted a New Technology HCPCS for both mapping and therapeutic procedures involving TriNav. This new code, HCPCS C9797, has been assigned to the Ambulatory Payment Classification ("APC") 5194 - Level 4 Endovascular Procedures. The new code became effective on January 1, 2024, and may be reported by hospital outpatient departments and ambulatory surgical centers, but there can be no assurance that continuing reimbursement will be available at similar reimbursement rates or at all.</w:t>
      </w:r>
    </w:p>
    <w:p>
      <w:pPr>
        <w:spacing w:after="0" w:line="11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maintain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spacing w:after="0" w:line="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currently have limited in-house sales and marketing capabilities. Until January 1, 2023, we contracted with a limited number of third-party distributors for a significant portion of our commercial sales of TriNav. Although we continue to further develop an in-house marketing organization and sales force with technical expertise and supporting distribution capabilities to commercialize TriNav, which will require significant capital expenditures, management resources and time, we may be unable to accurately predict the future level of demand for TriNav that will be generated by our existing or potential customers, or the future demand for our medical device products by these customers or new customers. We will also have to compete with other pharmaceutical and biotechnology companies to recruit, hire, train and retain marketing and sales personnel. We may not be able to build an effective sales and marketing organization with supporting distribution capabilities in the United States, the European Union (“EU”) or other key global markets in compliance with applicable legal requirements. Any failure or delay in the development of our internal sales, marketing and distribution capabilities would adversely impact our revenues, results of operations and financial condition.</w:t>
      </w:r>
    </w:p>
    <w:p>
      <w:pPr>
        <w:spacing w:after="0" w:line="8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231F20"/>
        </w:rPr>
        <w:t>Further, if we decide to re-enter into arrangements with third parties to perform sales, marketing, and distribution services, our product revenues related to TriNav may be lower than if we were to market, sell and distribute TriNav</w:t>
      </w:r>
    </w:p>
    <w:p>
      <w:pPr>
        <w:spacing w:after="0" w:line="200" w:lineRule="exact"/>
        <w:rPr>
          <w:sz w:val="20"/>
          <w:szCs w:val="20"/>
          <w:color w:val="auto"/>
        </w:rPr>
      </w:pPr>
    </w:p>
    <w:p>
      <w:pPr>
        <w:spacing w:after="0" w:line="3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ourselves. We also would face competition in our search for third parties to assist with the sales, marketing and distribution efforts of TriNav.</w:t>
      </w:r>
    </w:p>
    <w:p>
      <w:pPr>
        <w:spacing w:after="0" w:line="117"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an agreement with a partner in China for the distribution and commercialization of TriNav, if approved in China. Foreign organizations may be subject to U.S. legislation, including the proposed BIOSECURE Act, sanctions, trade restrictions and other foreign regulatory requirements which could have an adverse effect on our ability to expand certain foreign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Increases in costs, disruption of supply or shortage of materials could harm our business.</w:t>
      </w:r>
    </w:p>
    <w:p>
      <w:pPr>
        <w:spacing w:after="0" w:line="14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We manufacture TriNav internally, and certain materials necessary to produce our products are sourced from a limited number of suppliers. Any disruption in the supply of materials from such suppliers could disrupt production of our products until such time as a different supplier is fully qualified. As a result, we may experience an increase in costs or inability to meet customer demand. Furthermore, shortages or increased demand of such materials and other economic conditions, like inflation, may cause us to experience significant increases in the cost of materials. In the case of TriNav, substantial increases in the prices for materials used in our production would increase our operating costs and could reduce our margins if we cannot recoup any such increased costs through increased product pricing. Any attempts to increase product prices in response to increased material costs could result in cancellations of product orders and therefore materially and adversely affect our brand, business, prospects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Nelitolimod and Product Development</w:t>
      </w:r>
    </w:p>
    <w:p>
      <w:pPr>
        <w:spacing w:after="0" w:line="18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pharmaceutical development efforts for nelitolimod, and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 *</w:t>
      </w:r>
    </w:p>
    <w:p>
      <w:pPr>
        <w:spacing w:after="0" w:line="15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231F20"/>
        </w:rPr>
        <w:t>We are in the early stages of our development efforts and have only one product candidate, nelitolimod, in early clinical development. We have initiated Phase 1 and Phase 1b clinical trials for this product candidate, each of which are focused on a different target indication, specifically: uveal melanoma, intrahepatic cholangiocarcinoma and hepatocellular carcinoma ("ICC" and "HCC"), and pancreatic cancer. Based on our review of the preliminary data regarding the ICC/HCC studies, we do not intend to proceed to Phase II trials for those indications. Based on the changing landscape for second line treatment of uveal melanoma, we do not intend to proceed to Phase II trials for that indication on our own, but we are looking for potential partners to advance that indication. Our PERIO-3 clinical trial in pancreatic cancer is continuing with additional patient enrollment and we anticipate data from the study will be available sometime in 2025, depending on when patient enrollment and treatment is completed.</w:t>
      </w:r>
    </w:p>
    <w:p>
      <w:pPr>
        <w:spacing w:after="0" w:line="14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231F20"/>
        </w:rPr>
        <w:t>Our ability to generate product revenues from nelitolimod, which we do not expect will occur for several years, if ever, will depend heavily on the successful development and eventual commercialization of our product candidate. The success of nelitolimod and any of our potential future product candidates will depend on several factors, including the following:</w:t>
      </w:r>
    </w:p>
    <w:p>
      <w:pPr>
        <w:spacing w:after="0" w:line="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enrollment in clinical trials and completion of clinical trials and preclinical studies with favorable results;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clearance of INDs by the FDA or similar regulatory filings by comparable foreign regulatory authorities for the conduct of clinical trials of our product candidates and our proposed design of future clinical trials;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demonstrating the safety and efficacy in the proposed indications for use of our product candidates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receipt of marketing approvals from applicable regulatory authorities, including New Drug Applications (“NDAs”) from the FDA and maintaining such approvals;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making arrangements with third-party manufacturers for, or establishing, clinical and commercial manufacturing capabilities;</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sales, marketing and distribution capabilities and launching commercial sales of our product candidates,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an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building and maintaining an organization of people who can successfully develop our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The success of our business depends in part on the successful development, regulatory approval, and commercialization of nelitolimod, as well as any other future product candidates, which may never occur. We have not yet succeeded in, and we may not succeed in, obtaining marketing approval for nelitolimod. If we are unable to develop, or obtain regulatory approval for, or, if approved, successfully commercialize our product candidates, we may not be able to generate any revenue from our pharmaceutical development efforts and this may have a material adverse effect on our business, results of operations, financial condition and prospects.</w:t>
      </w:r>
    </w:p>
    <w:p>
      <w:pPr>
        <w:spacing w:after="0" w:line="9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Clinical trials of our product candidates or potential product candidates may fail to produce results necessary to support regulatory clearance or authorization.</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incur substantial expense for, and devote significant time to, clinical trials but cannot be certain that the trials will ever result in commercial gains. We may experience significant setbacks in clinical trials, even after earlier clinical trials showed promising results, and failure can occur at any time during the clinical development process. Our products may produce undesirable adverse effects that could cause us, institutional review boards (“IRBs”) or regulatory authorities to interrupt, delay or halt clinical trials. We, IRBs, the FDA, or another regulatory authority may suspend or terminate clinical trials at any time to avoid exposing trial participants to unacceptable health risks. Our clinical trials may produce negative or inconclusive results or may demonstrate a lack of effect of our product candidates. Additionally, the FDA may disagree with our interpretation of the data from our pilot studies and clinical trials, or may find the clinical trial design, conduct or results inadequate to demonstrate safety or effectiveness, and may require us to pursue additional clinical trials, which could further delay the clearance or authorization of our product candidates. If we are unable to demonstrate the safety and effectiveness of product candidates in our clinical trials, we will be unable to obtain the regulatory clearances or authorizations we need to commercialize new products.</w:t>
      </w:r>
    </w:p>
    <w:p>
      <w:pPr>
        <w:spacing w:after="0" w:line="12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clinical trials of our product candidates may change as more patient data becomes available and are subject to confirmation, audit, and verification procedures that could result in material changes in the final data.</w:t>
      </w:r>
    </w:p>
    <w:p>
      <w:pPr>
        <w:spacing w:after="0" w:line="7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reputation and business prospects.</w:t>
      </w:r>
    </w:p>
    <w:p>
      <w:pPr>
        <w:spacing w:after="0" w:line="11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 *</w:t>
      </w:r>
    </w:p>
    <w:p>
      <w:pPr>
        <w:spacing w:after="0" w:line="9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Clinical testing is expensive and can take many years to complete, and outcomes are inherently uncertain. Failure can occur at any time during the clinical trial process and may result from a multitude of factors both within and outside our control, including flaws in formulation, adverse safety or efficacy profiles and flaws in trial design, among others. To obtain the requisite regulatory approvals or clearances to market and sell any of our product candidates, we must demonstrate through extensive preclinical studies and clinical trials that our product candidates are safe and effective in humans for use in each target indication. The results of preclinical studies and early clinical trials of nelitolimod and any future drug candidates may not be predictive of the results of later-stage clinical trials, making it impossible to predict when or if any of our product candidates will prove safe or effective in humans or receive regulatory approval or clearance. The results generated to date in preclinical studies for our product candidates do not ensure that later preclinical studies or clinical trials will demonstrate similar results. Product candidates in later stages of clinical trials may fail to show the desired safety and efficacy traits despite having progressed through preclinical and earlier-stage clinical trials. In later-stage clinical trials, we will likely be subject to more rigorous statistical analyses than in completed earlier-stage clinical trials. Several companies in the biopharmaceutical industry have suffered significant setbacks in advanced clinical trials due to a lack of efficacy or adverse safety profiles, notwithstanding promising results in earlier trials, and we cannot be certain that we will not face similar setbacks. Changing treatment landscapes may also diminish the opportunities for our product candidates leading to termination of their development in general or for certain indications.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or clearance of these product candidates.</w:t>
      </w:r>
    </w:p>
    <w:p>
      <w:pPr>
        <w:spacing w:after="0" w:line="11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the trials result in negative or inconclusive results, we or our collaborators or partners may decide, or regulators may require them, to discontinue trials of our drug</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candidates or conduct additional clinical trials or preclinical studies. In addition, data obtained from trials and studies are susceptible to varying interpretations, and regulators may not interpret our data as favorably as we do, which may delay, limit or prevent regulatory approval. For these reasons, our future clinical trials may not be successful. If we fail to produce positive results in our planned preclinical studies or clinical trials of any of our product candidates, the development timeline and regulatory approval or clearance and commercialization prospects for our product candidates, and, correspondingly, our business and financial prospects, would be materially and adversely affected.</w:t>
      </w:r>
    </w:p>
    <w:p>
      <w:pPr>
        <w:spacing w:after="0" w:line="10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231F20"/>
        </w:rPr>
        <w:t>Also, we cannot guarantee that any preclinical studies or clinical trials will be conducted as planned or completed on schedule, if at all. We may experience difficulties in patient enrollment in our clinical trials for a variety of reasons, including challenges resulting from COVID-19, labor shortages, and global supply chain interruptions. Any inability to timely and successfully complete preclinical and clinical development could result in additional costs to us or impair our ability to achieve regulatory and commercialization milestones. In addition, if we make manufacturing or formulation changes to our product candidates, we may need to conduct additional testing to bridge our modified product candidate to earlier versions. Our product development costs will also increase if we experience delays in testing or obtaining marketing approvals or clearances.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Delays in clinical trials are common and have many causes, and any delay could result in increased costs to us and could jeopardize or delay our ability to obtain regulatory approval and commence future product sales. We may also find it difficult to enroll patients in our clinical trials, which could delay or prevent the development of our product candidates.</w:t>
      </w:r>
    </w:p>
    <w:p>
      <w:pPr>
        <w:spacing w:after="0" w:line="107" w:lineRule="exact"/>
        <w:rPr>
          <w:sz w:val="20"/>
          <w:szCs w:val="20"/>
          <w:color w:val="auto"/>
        </w:rPr>
      </w:pPr>
    </w:p>
    <w:p>
      <w:pPr>
        <w:jc w:val="both"/>
        <w:ind w:right="380" w:firstLine="324"/>
        <w:spacing w:after="0" w:line="312" w:lineRule="auto"/>
        <w:rPr>
          <w:sz w:val="20"/>
          <w:szCs w:val="20"/>
          <w:color w:val="auto"/>
        </w:rPr>
      </w:pPr>
      <w:r>
        <w:rPr>
          <w:rFonts w:ascii="Times New Roman" w:cs="Times New Roman" w:eastAsia="Times New Roman" w:hAnsi="Times New Roman"/>
          <w:sz w:val="17"/>
          <w:szCs w:val="17"/>
          <w:color w:val="231F20"/>
        </w:rPr>
        <w:t>We may experience delays in clinical trials of our drug candidates. Planned clinical trials may not begin on time, have an effective design, enroll a sufficient number of patients or be completed on schedule, if at all. Our clinical trials have been and can be delayed for a variety of reasons, including:</w:t>
      </w:r>
    </w:p>
    <w:p>
      <w:pPr>
        <w:spacing w:after="0" w:line="3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raise or delays in raising funding necessary to initiate or continue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obtaining regulatory approval to commence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reaching agreement with the FDA on final trial design;</w:t>
      </w:r>
    </w:p>
    <w:p>
      <w:pPr>
        <w:spacing w:after="0" w:line="11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imposition of a clinical hold for safety reasons or following an inspection of our clinical trial operations or trial sites by the FDA or other regulatory authorities;</w:t>
      </w:r>
    </w:p>
    <w:p>
      <w:pPr>
        <w:spacing w:after="0" w:line="5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reaching agreement on acceptable terms with prospective contract manufacturing organizations (“CMOs”), or contract research organizations (“CROs”), and clinical trial sites, or failure by such CMOs to complete the manufacturing of clinical trial materials or CROs to follow and carry out the clinical study protocol at each site in accordance with the terms of our agreements with them;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obtaining required IRB, approval at each 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or 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sites electing to terminate their participation in one of our clinical trials, which would likely have a detrimental effect on subject enrollment;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 required to add new clinical sites;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by prospective CMOs to produce and deliver sufficient supply of clinical trial materials.</w:t>
      </w:r>
    </w:p>
    <w:p>
      <w:pPr>
        <w:spacing w:after="0" w:line="14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If initiation or completion of our planned clinical trials is delayed for any of the above reasons or other reasons, our development costs may increase, our regulatory approval process could be delayed and our ability to commercialize and commence sales of our drug candidates could be materially harmed, which could have a material adverse effect on our business.</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In addition, identifying and qualifying patients to participate in clinical trials of our drug candidates is critical to our success. The timing of our clinical trials depends on the speed at which we can recruit patients to participate in testing our drug candidates as well as completion of required follow-up periods. We may not be able to identify, recruit and enroll a sufficient number of patients, or those with required or desired characteristics or to complete our clinical trials in a timely manner. Patient enrollment is and completion of the trials are affected by a variety of factors, including:</w:t>
      </w:r>
    </w:p>
    <w:p>
      <w:pPr>
        <w:spacing w:after="0" w:line="7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severity and prevalence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design of the trial protocol;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size of the patient population;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eligibility criteria for the trial in question;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perceived risks and benefits of the drug candidate under trial;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ability to monitor patients adequately during and after treatment.</w:t>
      </w:r>
    </w:p>
    <w:p>
      <w:pPr>
        <w:spacing w:after="0" w:line="16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Use of toll-like receptor (TLR) agonist, including nelitolimod, may negatively impact the immune system. Serious adverse event data relating to TLR agonists may require us to reduce the scope of or discontinue certain of our pre-clinical or clinical activities. *</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Nelitolimod, an investigational agent in development, is a toll-like receptor 9 (TLR9) agonist which is believed to bind to the TLR9 receptors found on suppressive immune cells including myeloid-derived suppressor cells, antigen-presenting immune cells and other immune cells. TLRs play a key role in the innate immune system and create a bridge to adaptive immunity. It is believed that activating TLR9 primes immune cells to promote anti-tumor T-cells. If nelitolimod or any of our future product candidates in clinical trials or similar products from competitors produce serious adverse event data, we may be required to delay, discontinue, or modify many of our clinical trials or our clinical trial strategy. If a safety risk based on mechanism of action or the molecular structure were identified, it may hinder our ability to develop our product candidates or enter into potential collaboration or commercial arrangements. Rare diseases and a numerical imbalance in cardiac adverse events have been observed in patients in our clinical trials. If adverse event data are found to apply to our TLR agonist and/or inhibitor technology as a whole, we may be required to significantly reduce the scope of or discontinue certain of our pre-clinical or clinical activities.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long-term prospects are dependent on the success of our development-stage products including nelitolimod, which depend on regulatory approval. Failure to maintain or obtain regulatory approvals would materially and adversely impact us and our business prospects. *</w:t>
      </w:r>
    </w:p>
    <w:p>
      <w:pPr>
        <w:spacing w:after="0" w:line="7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long-term prospects are dependent on nelitolimod, currently our sole development-stage immune-oncology product candidate, and early-stage development is inherently risky. Even if we have early indications of success in clinical development, in order to be able to market nelitolimod in the United States, we must obtain approval from the FDA, and corresponding applications to foreign regulatory agencies must be approved by those agencies before we may sell the product in respective geographic areas. Obtaining FDA marketing approval and corresponding foreign applications is highly uncertain and we may fail to obtain approval, or might obtain approval in a more limited indication than sought. The FDA review process is extensive, lengthy, expensive and uncertain, and the FDA or foreign regulatory agencies may delay, limit or deny approval of our application for many reasons, including: whether the data from our clinical trials or the development program are satisfactory to the FDA or foreign regulatory agency; disagreement with the number, design, size, conduct or implementation of our clinical trials or proposed post-marketing study, or a conclusion that the data fails to meet statistical or clinical significance or safety requirements; acceptability of data generated at our clinical trial sites that are monitored by third-party CROs; and deficiencies in our manufacturing processes or facilities or those of our third-party contract manufacturers and suppliers, if any.</w:t>
      </w:r>
    </w:p>
    <w:p>
      <w:pPr>
        <w:spacing w:after="0" w:line="1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In the event that we determine to commercialize nelitolimod outside the United States, such as in Europe, whether we can do so successfully will depend upon us receiving regulatory approval, which can be costly and time-consuming, and there is a risk that one or more regulatory bodies may require that we conduct additional clinical trials and/or take other measures which will take time and require us to incur significant additional expense. In addition, there is the risk that we may not receive approval in one or more jurisdictions.</w:t>
      </w:r>
    </w:p>
    <w:p>
      <w:pPr>
        <w:spacing w:after="0" w:line="11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In addition, we obtain guidance from regulatory authorities on certain aspects of our clinical development activities and seek to comply with written guidelines provided by such authorities. These discussions and written guidelines are not binding obligations on the part of the regulatory authorities or the regulatory authorities may require additional patient data or studies to be conducted. Regulatory authorities may revise or retract previous guidance during the course of a clinical trial or after the completion of the trial. The authorities may also disqualify a clinical trial from consideration in support of approval of a potential product if they deem the trial was not conducted in accordance with good clinical practices or if the data is not convincing. The FDA or foreign regulatory agencies may determine our clinical trials or other data regarding safety, efficacy or consistency of manufacture or compliance with GMP regulations are insufficient for regulatory approval. Failure to maintain or obtain regulatory approvals would materially and adversely impact us and our business prospects.</w:t>
      </w:r>
    </w:p>
    <w:p>
      <w:pPr>
        <w:spacing w:after="0" w:line="10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regulatory approval for our product candidates, the products may not gain market acceptance among physicians, patients, hospitals, cancer treatment centers and others in the medical community, which could materially adversely impact our business, results of operations and financial condition.</w:t>
      </w:r>
    </w:p>
    <w:p>
      <w:pPr>
        <w:spacing w:after="0" w:line="107"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231F20"/>
        </w:rPr>
        <w:t>Our sole pharmaceutical product candidate, nelitolimod, may never be approved for marketing as a potential cancer treatment. To the extent nelitolimod is approved for marketing as a potential cancer treatment, it may not</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become broadly accepted by physicians, patients, hospitals, cancer treatment centers and others in the medical community. Various factors will influence whether nelitolimod is accepted in the market, including:</w:t>
      </w:r>
    </w:p>
    <w:p>
      <w:pPr>
        <w:spacing w:after="0" w:line="5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clinical indications for which nelitolimod is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physicians, hospitals, cancer treatment centers and patients considering nelitolimod as a safe and effective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potential and perceived advantages of nelitolimod over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demonstrate the advantages of nelitolimod over other cancer medicines;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of market introduction of nelitolimod as well as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availability of adequate coverage, reimbursement and pricing by third-party payors and government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patients to pay out-of-pocket in the absence of coverage by third-party payors and government authorities;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effectiveness of our sales and marketing efforts.</w:t>
      </w:r>
    </w:p>
    <w:p>
      <w:pPr>
        <w:spacing w:after="0" w:line="14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If nelitolimod is approved by the FDA but fails to achieve market acceptance among physicians, patients, hospitals, cancer treatment centers or others in the medical community, our business and prospects will be adversely affected. Even if nelitolimod achieves market acceptance, it may not be able to maintain that market acceptance over time if new products or technologies are introduced that are more favorably received than nelitolimod, are more cost-effective or render nelitolimod obsolete.</w:t>
      </w:r>
    </w:p>
    <w:p>
      <w:pPr>
        <w:spacing w:after="0" w:line="11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In addition, although nelitolimod differs in certain ways from other approaches, serious adverse events or deaths in other clinical trials involving precision medicines, even if not ultimately attributable to our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If our products do not gain market acceptance among physicians, patients, hospitals, cancer treatment centers and others in the medical community, this could materially adversely impact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Industry</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existing third-party coverage or our inability to secure and maintain favorable reimbursement may impact our ability to sell our products, which would materially and adversely impact our business, results of operations, financial condition and prospects.</w:t>
      </w:r>
    </w:p>
    <w:p>
      <w:pPr>
        <w:spacing w:after="0" w:line="9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231F20"/>
        </w:rPr>
        <w:t>Maintaining and growing sales of TriNav, and any future product candidates, depends, in part, on the availability of coverage and adequate reimbursement from third-party payors, including government programs such as Medicare and Medicaid, private insurance plans and managed care programs. The process for determining whether a third-party payor will provide coverage for a product or procedure may be separate from the process for establishing the reimbursement rate that such a payor will pay for the product or procedure. A payor’s decision to provide coverage for a product or procedure does not imply that an adequate reimbursement rate will be approved. Further, one payor’s determination to provide coverage for a product or procedure does not assure that other payors will also provide such coverage. Adequate third-party reimbursement may not be available to enable us to achieve profitability. We may be unable to sell our products on a profitable basis if third-party payors deny coverage or reduce any existing levels of payment, or if our costs of production increase faster than increases in reimbursement levels.</w:t>
      </w:r>
    </w:p>
    <w:p>
      <w:pPr>
        <w:spacing w:after="0" w:line="11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For example, in December 2023, CMS granted a New Technology HCPCS for procedures involving TriNav. The new code became effective on January 1, 2024, and may be reported by hospital outpatient departments and ambulatory surgical centers, but there can be no assurance that continuing reimbursement will be available at similar</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31F20"/>
        </w:rPr>
        <w:t>reimbursement rates or at all. If TriNav does not receive or maintain adequate reimbursement, this would materially and adversely impact our business, results of operations, financial conditions, and prospects.</w:t>
      </w:r>
    </w:p>
    <w:p>
      <w:pPr>
        <w:spacing w:after="0" w:line="8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Additionally, the reimbursement process is complex and can involve lengthy delays. Also, third-party payors may reject, in whole or in part, requests for reimbursement based on determinations that certain amounts are not reimbursable under plan coverage, that services provided were not medically necessary, that additional supporting documentation is necessary, or for other reasons. Retroactive adjustments by third-party payors may be difficult or cost-prohibitive to appeal, and such changes could materially reduce the actual amount we receive. Delays and uncertainties in the reimbursement process may be out of our control and could have a material adverse effect on our business, prospects, results of operations and financial condition.</w:t>
      </w:r>
    </w:p>
    <w:p>
      <w:pPr>
        <w:spacing w:after="0" w:line="1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Moreover, the reimbursement by third-party payors for our product and the amount that we may receive in payment for our products may be materially and adversely affected by factors we do not control, including federal or state regulatory or legislative changes, and cost-containment decisions and changes in reimbursement schedules of third-party payors or product purchasers (such as hospitals). Lack of reimbursement or any reduction or elimination of these payments could have a material adverse effect on our business, prospects, results of operations and financial condition.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Additionally, we cannot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 Moreover, we are unable to predict what changes will be made to the reimbursement methodologies used by third-party payors in the future.</w:t>
      </w:r>
    </w:p>
    <w:p>
      <w:pPr>
        <w:spacing w:after="0" w:line="12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94" w:lineRule="exact"/>
        <w:rPr>
          <w:sz w:val="20"/>
          <w:szCs w:val="20"/>
          <w:color w:val="auto"/>
        </w:rPr>
      </w:pPr>
    </w:p>
    <w:p>
      <w:pPr>
        <w:ind w:right="200" w:firstLine="324"/>
        <w:spacing w:after="0" w:line="273" w:lineRule="auto"/>
        <w:rPr>
          <w:sz w:val="20"/>
          <w:szCs w:val="20"/>
          <w:color w:val="auto"/>
        </w:rPr>
      </w:pPr>
      <w:r>
        <w:rPr>
          <w:rFonts w:ascii="Times New Roman" w:cs="Times New Roman" w:eastAsia="Times New Roman" w:hAnsi="Times New Roman"/>
          <w:sz w:val="17"/>
          <w:szCs w:val="17"/>
          <w:color w:val="231F20"/>
        </w:rPr>
        <w:t>The biopharmaceutical and medical device industries are characterized by intense competition and rapid innovation. Our competitors may be able to develop other devices or drugs that are able to achieve similar or better results. Potential competitors for TriNav and nelitolimod include major multinational medical device and pharmaceutical companies, established biotechnology companies, specialty pharmaceutical companies and universities and other research institutions. Many of these competitors have substantially greater financial, technical, and other resources than we do, such as larger research and development staff, experienced marketing and manufacturing organizations, well-established sales forces, and name recognition.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w:t>
      </w:r>
    </w:p>
    <w:p>
      <w:pPr>
        <w:spacing w:after="0" w:line="104" w:lineRule="exact"/>
        <w:rPr>
          <w:sz w:val="20"/>
          <w:szCs w:val="20"/>
          <w:color w:val="auto"/>
        </w:rPr>
      </w:pPr>
    </w:p>
    <w:p>
      <w:pPr>
        <w:ind w:right="500" w:firstLine="324"/>
        <w:spacing w:after="0" w:line="258" w:lineRule="auto"/>
        <w:rPr>
          <w:sz w:val="20"/>
          <w:szCs w:val="20"/>
          <w:color w:val="auto"/>
        </w:rPr>
      </w:pPr>
      <w:r>
        <w:rPr>
          <w:rFonts w:ascii="Times New Roman" w:cs="Times New Roman" w:eastAsia="Times New Roman" w:hAnsi="Times New Roman"/>
          <w:sz w:val="18"/>
          <w:szCs w:val="18"/>
          <w:color w:val="231F20"/>
        </w:rPr>
        <w:t>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nelitolimod or may develop proprietary technologies or secure patent protection that we may need for the development of our drug delivery technologies and products or product candidates.</w:t>
      </w:r>
    </w:p>
    <w:p>
      <w:pPr>
        <w:spacing w:after="0" w:line="11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The availability and price, and in the case of nelitolimod, if approved, its FDA-approved labeling versus that of our competitors’ products could limit the demand and the price we are able to charge for TriNav and nelitolimod, if approved. We may not be able to implement our business plan if the acceptance of TriNav or nelitolimod is inhibited by price competition or the reluctance of physicians to switch from existing methods of treatment, or if physicians switch to other new drug or biologic products or drug delivery systems or choose to reserve TriNav and/or nelitolimod for use in limited circumstances. For additional information regarding our competition, see the section title " Industry and Competition."</w:t>
      </w:r>
    </w:p>
    <w:p>
      <w:pPr>
        <w:spacing w:after="0" w:line="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enter into material collaborations, in-licensing arrangements, joint ventures, or strategic alliances with third parties that may not result in the development of commercially viable products or the generation of significant or any future revenues. Alternatively, part of our strategy is to enter into such kinds of relationships with third parties involving our products and product candidates, and we may not be able to do so on acceptable terms or at all.</w:t>
      </w:r>
    </w:p>
    <w:p>
      <w:pPr>
        <w:spacing w:after="0" w:line="11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In the ordinary course of our business, we may enter into collaborations, in-licensing arrangements, joint ventures, or strategic alliances to develop and/or commercialize our products or product candidates and/or to pursue new</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markets. Proposing, negotiating, and implementing collaborations, in-licensing arrangements, joint ventures, and strategic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or otherwise achieve their goals and could be terminated prior to developing any products.</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2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and growth strategy depend on the continued ability of TriNav to remain a preferred product among a community of established, board-certified physicians and other provider specialists and to expand such community. If we are unable to do so, our future growth would be limited and our business would be harmed.</w:t>
      </w:r>
    </w:p>
    <w:p>
      <w:pPr>
        <w:spacing w:after="0" w:line="1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Our success is dependent upon the continued ability of TriNav to remain a preferred product among a community of independent, established, board-certified physicians and other provider specialists who choose to use TriNav in their medical practice. In any particular market, the hospitals that purchase TriNav for use by these providers could demand higher payments or take other actions that could result in higher costs or difficulty meeting regulatory or accreditation requirements. Our ability to develop and maintain satisfactory relationships with these providers also may be negatively impacted by other factors not associated with us, such as changes in Medicare and/or Medicaid reimbursement levels and other pressures on healthcare providers and consolidation activity among hospitals, physician groups and healthcare providers. The failure to maintain or to secure new contracts with the hospitals may result in a loss of or inability to grow our customer base, higher costs and/or healthcare provider community disruptions, any of which could harm our business.</w:t>
      </w:r>
    </w:p>
    <w:p>
      <w:pPr>
        <w:spacing w:after="0" w:line="10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generally do not have long-term contractual commitments from our customers, and our customers may choose not to enter into new agreements with us.</w:t>
      </w:r>
    </w:p>
    <w:p>
      <w:pPr>
        <w:spacing w:after="0" w:line="9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231F20"/>
        </w:rPr>
        <w:t>We generally do not have long-term contractual commitments with our customers. Our TriNav customers can terminate many of our consignment agreements with or without cause, in some cases subject only to 30 days’ prior notice in the case of termination without cause. Although a substantial majority of our revenue is typically generated from existing customers, our engagements with our customers are typically for orders that are singular in nature. Large consignment orders may involve multiple deliveries or stages, and a customer may choose not to replace inventory with TriNav devices or may cancel or delay additional planned orders.</w:t>
      </w:r>
    </w:p>
    <w:p>
      <w:pPr>
        <w:spacing w:after="0" w:line="11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Even if we successfully deliver on contracted orders and maintain close relationships with our customers, a number of factors outside of our control could cause the loss of or reduction in business or revenue from our existing customers. The loss or diminution in business from any of our major customers could have a material adverse effect on our business, financial condition, results of operations and prospects. The ability of our customers to terminate agreements exacerbates the uncertainty of our future revenue. We may not be able to replace any customer that elects to terminate or not renew its contract with us.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effectively manage our growth or achieve anticipated growth.</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success of our future operating activities will depend upon our ability to expand our support system to meet the demands of our growing business. We expect to experience significant growth in the number of our employees and the scope of our operations, particularly in the areas of sales and marketing, research, drug development and regulatory affairs. Due to our limited financial resources and our limited experience in managing such anticipated growth, we may not be able to effectively manage the expansion of our operations or recruit and train additional qualified personnel. We will be required to manage multiple relationships with various customers, clinical investigators, manufacturers and</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231F20"/>
        </w:rPr>
        <w:t>suppliers, consultants and other third parties. This expansion and these expanded relationships will require us to significantly improve or replace our existing managerial, operational and financial systems, procedures and controls; to improve the coordination between our various corporate functions; and to manage, train, motivate and maintain a growing employee base. The time and costs to effectuate these steps may significantly strain our management personnel, systems and resources, particularly given the limited amount of financial resources and skilled employees that may be available at the time. We may not be able to institute, in a timely manner or at all, the improvements to our managerial, operational and financial systems, procedures and controls necessary to support our anticipated increased levels of operations and to coordinate our various corporate functions, or that we will be able to properly manage, train, motivate and retain our anticipated increased employee base. Any failure by our management to effectively anticipate, implement, and manage changes required to sustain our growth would have a material adverse effect on our business, financial condition, and results of operations. We cannot assure you that we will be able to successfully operate acquired businesses, if any, become profitable in the future, or effectively manage any other change.</w:t>
      </w:r>
    </w:p>
    <w:p>
      <w:pPr>
        <w:spacing w:after="0" w:line="10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our senior management team and the loss of one or more key employees or an inability to attract and retain highly skilled employees could adversely affect our business. *</w:t>
      </w:r>
    </w:p>
    <w:p>
      <w:pPr>
        <w:spacing w:after="0" w:line="5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Our future performance depends to a large extent on the continued services of members of our current management including, in particular, our Chief Executive Officer, and Chief Financial Officer. If any of these key executive officers were to leave us, we would be forced to expend significant time and money in the pursuit of a replacement, which would result in both a delay in the implementation of our business plan and the diversion of limited working capital. The unique knowledge and expertise of these individuals would be difficult to replace. In the event that we lose the continued services of such key personnel for any reason, this could have a material adverse effect on our business, operations and prospects. In addition, we will be required over the longer-term to hire highly skilled managerial, scientific and administrative personnel to fully implement our business plan and growth strategies. Due to the specialized scientific nature of our business, we are highly dependent upon our ability to attract and retain qualified scientific, technical and managerial personnel. If we cannot attract and retain such personnel, we will be unable to develop our product candidates and achieve regulatory clearance for them, which would have a material adverse effect on our business, financial condition, and results of operations.</w:t>
      </w:r>
    </w:p>
    <w:p>
      <w:pPr>
        <w:spacing w:after="0" w:line="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As of October 28, 2024, our Chief Medical Officer was no longer employed by us. We expect to spread the responsibilities of our former Chief Medical Officer’s among current employees and outside consultants, as needed to avoid material disruption to our clinical trial program. We do not have any immediate plans to fill the vacancy. Although we do not expect a material disruption to our operations, we can make no assurances that we will be able to successfully transition our former Chief Medical Officer’s responsibilities absent any setbacks to our operations.</w:t>
      </w:r>
    </w:p>
    <w:p>
      <w:pPr>
        <w:spacing w:after="0" w:line="11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November 8, 2024</w:t>
      </w:r>
      <w:r>
        <w:rPr>
          <w:rFonts w:ascii="Times New Roman" w:cs="Times New Roman" w:eastAsia="Times New Roman" w:hAnsi="Times New Roman"/>
          <w:sz w:val="18"/>
          <w:szCs w:val="18"/>
          <w:color w:val="231F20"/>
        </w:rPr>
        <w:t>, we had approximately 116 full-time employees, nine of whom hold advanced degrees. We expect to experience significant growth in the number of our employees and the scope of our operations, particularly in the areas of sales and marketing, research, drug development and regulatory affairs. Competition for skilled personnel in our industry is intense and may limit our ability to hire and retain highly qualified personnel on acceptable terms, in a timely manner or at all. In particular, we have experienced a very competitive hiring environment. Many of the other biotechnology and medical device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stock options or other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the organization.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Workforce shortages may continue to negatively impact our operations.</w:t>
      </w:r>
    </w:p>
    <w:p>
      <w:pPr>
        <w:spacing w:after="0" w:line="14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Workforce shortages have resulted in staffing challenges experienced by us and by third parties that we utilize, including but not limited to manufacturing and testing organizations, CROs and clinical trial sites. If these challenges continue for any period of time, our anticipated timing of clinical trials and product development may be delayed and our product inventory may not meet demand.</w:t>
      </w:r>
    </w:p>
    <w:p>
      <w:pPr>
        <w:spacing w:after="0" w:line="10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promote, protect, and maintain our brand in a cost-effective manner, we may lose market share and our ability to commercialize our products and revenues will suffer.</w:t>
      </w: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ability to further develop our business depends on our ability to build a strong and trusted brand. We are in the process of building our brand, and once achieved, we believe that developing, protecting, and maintaining awareness of our brand in a cost-effective manner will be critical to continuing to develop our business. Successful promotion of our brand will entail broadening our brand among physicians and hospitals and will depend largely on the effectiveness of our marketing efforts and the experience of physicians who use our products and product candidates in treating their patients.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be unable to broaden the use of our products and product candidates among physicians and hospitals, which would have an adverse effect on our business, financial condition and results of operations.</w:t>
      </w:r>
    </w:p>
    <w:p>
      <w:pPr>
        <w:spacing w:after="0" w:line="10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medical device and drug development industries are characterized by rapid, continuous innovation, and if we cannot keep pace with rapid innovation in those industries, our products and product candidates will become less competitive and our ability to commercialize our products and revenues will suffer.</w:t>
      </w:r>
    </w:p>
    <w:p>
      <w:pPr>
        <w:spacing w:after="0" w:line="1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The medical device and drug development industries are highly competitive and characterized by rapid and significant change. Because our research approach integrates many technologies,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or less competitive. Many of our current and potential competitors have substantially greater financial, manufacturing, marketing and technical resources than we do. Larger competitors may have substantially larger sales and marketing operations than we have or plan to have and may have greater name recognition. This may allow those competitors to spend more time with potential customers and to focus on a larger number of potential customers, which would give them a significant advantage over the sales and marketing team we would use in making sales.</w:t>
      </w:r>
    </w:p>
    <w:p>
      <w:pPr>
        <w:spacing w:after="0" w:line="12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Larger competitors may also have broader product lines, which enable them to offer customers bundled purchase contracts and quantity discounts. These competitors may have more experience than we have in research and development, marketing, manufacturing, preclinical testing, conducting clinical studies, obtaining FDA and foreign regulatory approvals or certifications and marketing approved or certified products. Our competitors may discover technologies and techniques, or enter into partnerships and collaborations, to develop competing products that are more effective or less costly than our products or the products we may develop. There can be no assurance that other companies will not succeed in developing or marketing products that are more effective than our products or product candidates or that would render our products or product candidates obsolete or noncompetitive. Academic institutions, government agencies, and other public and private research organizations may seek patent protection regarding potentially competitive products or technologies and may establish exclusive collaborative or licensing relationships with our competitors. Our competitors may be better equipped than we are to respond to competitive pressures. Competition will likely intensify.</w:t>
      </w:r>
    </w:p>
    <w:p>
      <w:pPr>
        <w:spacing w:after="0" w:line="1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Additionally, many healthcare provider systems are consolidating to create new companies with greater market power, and we expect that to continue. As the healthcare provider systems consolidate, competition among suppliers to healthcare provider systems will become more intense. Healthcare provider systems may try to use their market power to negotiate price concessions or reductions for our products. If we reduce our prices because of consolidation in the healthcare industry, our revenue will decrease and our results of operations and financial condition will suffer.</w:t>
      </w:r>
    </w:p>
    <w:p>
      <w:pPr>
        <w:spacing w:after="0" w:line="10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The manufacturing of our product candidates may require outsourced, custom manufacturing, and we may encounter difficulties in production, particularly with respect to formulation, process development or scaling up of our manufacturing capabilities. If our third-party manufacturers or suppliers encounter such difficulties, our ability to provide supply of product candidates for preclinical studies, clinical trials or products for patients, if approved, could be delayed or stopped, or we may be unable to maintain a commercially viable cost structure.</w:t>
      </w:r>
    </w:p>
    <w:p>
      <w:pPr>
        <w:spacing w:after="0" w:line="11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In the course of developing our product candidates, we expect that various aspects of the development program, such as manufacturing methods, may be altered along the way to optimize processes and results. Such changes carry the risk that they will not achieve these intended objectives, and any of these changes could cause our product candidates to perform differently and affect the results of planned preclinical studies or future clinical trials.</w:t>
      </w:r>
    </w:p>
    <w:p>
      <w:pPr>
        <w:spacing w:after="0" w:line="9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If either we or any third-party we rely on for materials used in the production of our product candidates is adversely affected by ongoing supply chain constraints, we and our third-party manufacturers may be unable to timely manufacture product candidates for our clinical trials. Although we are working to develop commercially viable manufacturing processes, doing so is a difficult and uncertain task, and there are risks associated with scaling to the level required for advanced clinical trials or commercialization, including, among others, cost overruns, potential</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231F20"/>
        </w:rPr>
        <w:t>problems with process scale up or formulation, process reproducibility, stability issues, lot consistency and timely availability of reagents or raw materials.</w:t>
      </w:r>
    </w:p>
    <w:p>
      <w:pPr>
        <w:spacing w:after="0" w:line="15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Any of these challenges could delay completion of preclinical studies or clinical trials, require bridging studies or trials, or the repetition of one or more studies or trials, increase development costs, delay approval of our product candidates, impair commercialization efforts, increase our cost of goods and have an adverse effect on our business, financial condition, results of operations and growth prospects.</w:t>
      </w:r>
    </w:p>
    <w:p>
      <w:pPr>
        <w:spacing w:after="0" w:line="10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currently rely on, and may in the future rely on, third-party contractors, including certain sole-source suppliers and manufacturers, to supply and manufacture preclinical, clinical and commercial drug supplies for nelitolimod and any future product candidates.</w:t>
      </w:r>
    </w:p>
    <w:p>
      <w:pPr>
        <w:spacing w:after="0" w:line="9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We do not currently have the internal infrastructure to supply or manufacture preclinical, clinical or commercial quantities of our drug candidate, nelitolimod. While we have a supply of nelitolimod sufficient for our ongoing clinical trials, we do not currently have a supplier for nelitolimod. If we are not able to establish a reliable supplier for nelitolimod before our supply is exhausted, our clinical trials may be delayed.</w:t>
      </w:r>
    </w:p>
    <w:p>
      <w:pPr>
        <w:spacing w:after="0" w:line="9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We may be unable to establish agreements and validate third-party manufacturers and suppliers or to do so on acceptable terms. Even if we are able to establish agreements with third-party manufacturers, reliance on third-party manufacturers and suppliers entails additional risks, including, but not limited to:</w:t>
      </w:r>
    </w:p>
    <w:p>
      <w:pPr>
        <w:spacing w:after="0" w:line="6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reliance on the third party for sufficient quantity and quality;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breach of the manufacturing or supply agreement by the third party;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manufacture or supply nelitolimod according to our specifications, schedule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mislabeling of clinical supplies, potentially resulting in the wrong dose amounts being supplied or active drug or comparator not being properly identified;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possibility of clinical supplies not being delivered to clinical sites on time, leading to clinical trial interruptions;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reliance on the third party for regulatory compliance, quality assurance and safety reporting.</w:t>
      </w:r>
    </w:p>
    <w:p>
      <w:pPr>
        <w:spacing w:after="0" w:line="158"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231F20"/>
        </w:rPr>
        <w:t>Thus, our current and anticipated future dependence upon others for the manufacture or supply of nelitolimod or other product candidates and materials may adversely affect our development timeline, our future profit margins or our ability to commercialize nelitolimod or any future product candidates that receive marketing approval on a timely and competitive basis.</w:t>
      </w:r>
    </w:p>
    <w:p>
      <w:pPr>
        <w:spacing w:after="0" w:line="10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We may rely on certain third parties as the sole source of the materials they supply or the finished products they manufacture. We may also have sole-source suppliers for one or more of our other product candidates. Some of the active pharmaceutical ingredients (“APIs”) and other substances and materials used in our product candidates are currently available only from one or a limited number of domestic or foreign suppliers and foreign manufacturers and certain of our finished product candidates are manufactured by one or a limited number of contract manufacturers.</w:t>
      </w:r>
    </w:p>
    <w:p>
      <w:pPr>
        <w:spacing w:after="0" w:line="9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the event an existing supplier or manufacturer fails to supply or manufacture, as applicable, product or product candidate on a timely basis or in the requested amount, fails to meet regulatory requirements or our specifications, becomes unavailable through business interruption or financial insolvency or loses regulatory status as an approved source, or if we or our manufacturers are unable to renew current supply agreements when such agreements expire and we do not have a second supplier, we likely would incur added costs and delays in identifying or qualifying replacement suppliers, manufacturers and materials and there can be no assurance that replacements would be available to us on a timely basis, on acceptable terms or at all. In certain cases, we may be required to get regulatory approval to use alternative suppliers and manufacturers, and this process of approval could delay the production of our products or development of product candidates indefinitely. We and our manufacturers do not currently maintain inventory of these APIs and other substances and materials. Any interruption in the supply of an API or other substance or material or in the manufacture of a finished product could have a material adverse effect on our business, financial condition, operating results and prospects.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Although we are ultimately responsible for ensuring compliance with regulatory requirements such as current Good Manufacturing Practices (“cGMPs”), we are dependent on our contract suppliers and manufacturers for day-to-day compliance with cGMPs for production.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231F20"/>
        </w:rPr>
        <w:t>with cGMP requirements enforced by the FDA through its facilities inspection program and review of submitted technical information. If our contract suppliers or manufacturers fail to achieve and maintain compliance with applicable laws and regulatory requirements, our business could be adversely affected in a number of ways, and cause, among other things:</w:t>
      </w:r>
    </w:p>
    <w:p>
      <w:pPr>
        <w:spacing w:after="0" w:line="6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inability to initiate or continue clinical trials of our product candidates under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 in submitting regulatory applications, or receiving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manufacturing facilities or our own facilities to be subjected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to cease distribution or to recall batches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of manufacturing of our products 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revocation of obtained approvals;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meet commercial demands for our products or product candidates in the event of approval.</w:t>
      </w:r>
    </w:p>
    <w:p>
      <w:pPr>
        <w:spacing w:after="0" w:line="14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Further, if the safety of any product or product candidate or component is compromised due to a failure to adhere to applicable laws and regulatory requirements,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us being unable to effectively commercialize our approved products on a timely basis, or at all.</w:t>
      </w:r>
    </w:p>
    <w:p>
      <w:pPr>
        <w:spacing w:after="0" w:line="1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We expect to continue to depend on third-party contract suppliers and manufacturers for the foreseeable future, but supply and manufacturing arrangements do not guarantee that a contract supplier or manufacturer will provide services adequate for our needs. We and our contract suppliers and manufacturers may attempt to improve production processes, certain aspects of which are complex and unique, and we may encounter difficulties with new or existing processes. While we attempt to build in certain contractual obligations on such third-party suppliers and manufacturers, we may not be able to ensure that such third parties comply with these obligations. Depending on the extent of any difficulties encountered, we could experience an interruption in clinical or commercial supply, with the result that the development, regulatory approval or commercialization of our products or product candidates may be delayed or interrupted.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risk management processes and procedures may not be effective.</w:t>
      </w:r>
    </w:p>
    <w:p>
      <w:pPr>
        <w:spacing w:after="0" w:line="14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While we have dedicated resources to develop risk management processes and procedures intended to identify, measure, monitor and control the types of risk we are subject to, including liquidity risk, strategic risk, operational risk, cybersecurity risk, healthcare regulatory compliance risk, product liability risk, and reputational risk, those procedures may not be effective.</w:t>
      </w:r>
    </w:p>
    <w:p>
      <w:pPr>
        <w:spacing w:after="0" w:line="10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Risk is inherent in our business, and therefore, despite our efforts to manage risk, there can be no assurance that we will not sustain unexpected losses. We could incur substantial losses and our business operations could be disrupted to the extent our business model, operational processes, control functions, technological capabilities, risk analyses, and business/product knowledge do not adequately identify and manage potential risks associated with our business operations and strategic initiatives. There also may be risks that exist, or that develop in the future, that we have not appropriately anticipated, identified or mitigated, including when processes are changed or new products are introduced. If our risk management framework does not effectively identify and control our risks, we could suffer unexpected losses or be adversely affected, which could have a material adverse effect on our business, financial condition, and results of operations.</w:t>
      </w:r>
    </w:p>
    <w:p>
      <w:pPr>
        <w:spacing w:after="0" w:line="11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In the ordinary course of our business, we and the third parties upon which we rely may collect, receive, store, process, generate, use, transfer, disclose, make accessible, protect, secure, dispose of, transmit, and share (collectively, “process”) proprietary, confidential, and sensitive data, including personal data (such as anonymized health-related data in connection with our clinical trials), intellectual property, trade secrets, business data, sensitive third-party data, business plans, transactions, financial information and patient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come from a variety of sources, including traditional computer “hackers,” threat actors, “hacktivists,” organized criminal threat actors, personnel (such as through theft or misuse), sophisticated nation states, and nation-state-supported actors.</w:t>
      </w:r>
    </w:p>
    <w:p>
      <w:pPr>
        <w:spacing w:after="0" w:line="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which could materially disrupt our systems and operations, supply chain, and ability to produce, sell and distribute our services.</w:t>
      </w:r>
    </w:p>
    <w:p>
      <w:pPr>
        <w:spacing w:after="0" w:line="112"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231F20"/>
        </w:rPr>
        <w:t>We and the third parties upon which we rely may be subject to a variety of evolving threats, including but not limited to social-engineering attacks (including through deep fakes, which may be increasingly more difficult to identify as a fake and phishing attacks), malicious code (such as viruses and worms), malware (including as a result of advanced persistent threat intrusions), denial-of- service attacks (credential stuffing attacks), credential harvesting, personnel misconduct or error, ransomware attacks, supply-chain attacks, software bugs, server malfunctions, software or hardware failures, loss of data or other information technology assets, adware, telecommunications and electrical failures, earthquakes, fires, floods, attacks enhanced or facilitated by AI, and other similar threats.</w:t>
      </w:r>
    </w:p>
    <w:p>
      <w:pPr>
        <w:spacing w:after="0" w:line="12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9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2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addition, our reliance on third-parties could introduce new cybersecurity risks and vulnerabilities, including supply-chain attacks and other threats to our business operations. We may rely on third-parties and third-party technologies to operate critical business systems to process sensitive data in a variety of contexts, including, without limitation, cloud-based infrastructure, data center facilities, encryption and authentication technology, employee email, and other functions. We may also rely on third-parties to provide other products, services, parts, or otherwise to operate our business, including clinical trial sites and investigators, contractors, manufacturers, suppliers, and consultants. Our ability to monitor these third parties’ information security practices is limited, and these third parties may not have adequate information security measures in place. If the third-parties upon which we rely experience a security incident or other interruption, we could experience adverse consequences. While we may be entitled to damages if our third parties upon which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upon which rely supply chains have not been compromised.</w:t>
      </w:r>
    </w:p>
    <w:p>
      <w:pPr>
        <w:spacing w:after="0" w:line="127" w:lineRule="exact"/>
        <w:rPr>
          <w:sz w:val="20"/>
          <w:szCs w:val="20"/>
          <w:color w:val="auto"/>
        </w:rPr>
      </w:pPr>
    </w:p>
    <w:p>
      <w:pPr>
        <w:ind w:right="400" w:firstLine="324"/>
        <w:spacing w:after="0" w:line="276" w:lineRule="auto"/>
        <w:rPr>
          <w:sz w:val="20"/>
          <w:szCs w:val="20"/>
          <w:color w:val="auto"/>
        </w:rPr>
      </w:pPr>
      <w:r>
        <w:rPr>
          <w:rFonts w:ascii="Times New Roman" w:cs="Times New Roman" w:eastAsia="Times New Roman" w:hAnsi="Times New Roman"/>
          <w:sz w:val="17"/>
          <w:szCs w:val="17"/>
          <w:color w:val="231F20"/>
        </w:rPr>
        <w:t>While we have implemented security measures designed to protect against security incident, there can be no assurance that these measures will be effective. We take steps designed to detect, mitigate, and remediate vulnerabilities in our information systems (such as our hardware and/or software,</w:t>
      </w:r>
    </w:p>
    <w:p>
      <w:pPr>
        <w:spacing w:after="0" w:line="1"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231F20"/>
        </w:rPr>
        <w:t>including that of third parties upon which we rely</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231F20"/>
        </w:rPr>
        <w:t xml:space="preserve"> We may not, however, detect and remediate all such vulnerabilities on a timely basis. Further, we may experience delays in developing and deploying remedial measures and patches designed to address identified vulnerabilities, which could be exploited and resulted in a security incident.</w:t>
      </w:r>
    </w:p>
    <w:p>
      <w:pPr>
        <w:spacing w:after="0" w:line="10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which we rely. A security incident or other interruption could disrupt our ability (and that of third parties upon which we rely) to provide our services. 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2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231F20"/>
        </w:rPr>
        <w:t>Additionally, applicable data privacy and security obligations may require us to notify relevant stakeholders, including affected individuals, customers, regulators, and investors, of security incidents or to implement other</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requirements, such as providing credit monitoring. Such disclosures and compliance with such requirements are costly, and the disclosure or the failure to comply with such requirements could lead to adverse consequences.</w:t>
      </w:r>
    </w:p>
    <w:p>
      <w:pPr>
        <w:spacing w:after="0" w:line="8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If we (or a third party upon which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(including but not limited to damage to our patient, partner, or employee relationships); monetary fund diversions; interruptions in our operations (including availability of data and interruptions to our clinical trial operations); financial loss; delay in the development and commercialization of our products and product candidates; and other similar harms. Security incidents and attendant consequences may cause customers to stop using our services, deter new customers from using our services, and negatively impact our ability to grow and operate our business.</w:t>
      </w:r>
    </w:p>
    <w:p>
      <w:pPr>
        <w:spacing w:after="0" w:line="12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0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Natural or man-made disasters and other similar events may significantly disrupt our business, and negatively impact our business, financial condition and results of operations.</w:t>
      </w:r>
    </w:p>
    <w:p>
      <w:pPr>
        <w:spacing w:after="0" w:line="7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Our ability to make, move and sell products in coordination with our suppliers, manufacturers and business partners is critical to our success. Damage or disruption to our collective supply, manufacturing or distribution capabilities resulting from weather, any potential effects of climate change, natural disasters, pandemics or other outbreaks of contagious diseases, fire, explosion, cyber-attacks, terrorism, strikes, repairs or enhancements at facilities manufacturing or delivering TriNav or other reasons could impair our ability to manufacture, sell or timely deliver TriNav to customers and patients. Further, such damage or disruption to the supply, manufacturing, or trial sites of nelitolimod could impair our ability to complete our clinical trials on a timely basis, if at all.</w:t>
      </w:r>
    </w:p>
    <w:p>
      <w:pPr>
        <w:spacing w:after="0" w:line="12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rely on a limited number of third-party suppliers and manufacturers. Adverse events affecting such suppliers or manufacturers may limit our ability to obtain the materials they supply or manufacture for us, or alternatives at competitive prices, or at all. Competitors can be affected differently by weather conditions and natural disasters depending on the location of their suppliers and operations. Failure to take adequate steps to reduce the likelihood or mitigate the potential impact of such events, or to effectively manage such events if they occur, particularly when materials are sourced from a single location or supplier or produced by a single manufacturer, could adversely affect our business, financial condition, results of operations and/or require additional resources to restore our supply chain or manufacturing capabilities, as applicable.</w:t>
      </w:r>
    </w:p>
    <w:p>
      <w:pPr>
        <w:spacing w:after="0" w:line="11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Any acquisitions, strategic investments, entries into new businesses, joint ventures, divestitures, and other transactions could fail to achieve strategic objectives, disrupt our ongoing operations, result in operating difficulties, liabilities and expenses, harm our business, or negatively impact our results of operations.</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may evaluate and consider strategic transactions, combinations, acquisitions, dispositions, joint ventures or similar transactions.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 Any strategic transaction, combination, acquisition, disposition, joint venture or similar transaction will involve risks encountered in business relationships, including:</w:t>
      </w:r>
    </w:p>
    <w:p>
      <w:pPr>
        <w:spacing w:after="0" w:line="7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assimilating and integrating the operations, personnel, systems, data, technologies, products and services of the acquired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retaining, training, motivating and integrating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diversion of management’s time and resources from our normal daily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successfully incorporating licensed or acquired technology and rights into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maintaining uniform standards, controls, procedures, and policies within the combined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retaining relationships with customers, employees, and suppliers of the acquired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of entering markets in which we have no or limited prior experience;</w:t>
      </w:r>
    </w:p>
    <w:p>
      <w:pPr>
        <w:spacing w:after="0" w:line="11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risks, including remaining in good standing with existing regulatory bodies or receiving any necessary pre-closing or post-closing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assumption of contractual obligations that contain terms that are not beneficial to us, require us to license or waive intellectual property rights, or increase our liability;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successfully further develop any acquired product candidates or technology;</w:t>
      </w:r>
    </w:p>
    <w:p>
      <w:pPr>
        <w:spacing w:after="0" w:line="117"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liability for activities of the acquired or disposed of business before the acquisition or disposition, including patent and trademark infringement claims, violations of laws, regulatory actions, commercial disputes, tax liabilities, assumed debt and other known and unknown liabilities;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difficulty in separating assets and replacing shared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disruptions to our ongoing businesses;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 costs and unknown risks and liabilities associated with the specific transaction.</w:t>
      </w:r>
    </w:p>
    <w:p>
      <w:pPr>
        <w:spacing w:after="0" w:line="15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We may not make any strategic transactions, combinations, acquisitions, dispositions, joint ventures or similar transactions, or any future transactions, combinations, acquisitions, dispositions, joint ventures or similar transactions may not be successful, may not benefit our business strategy, may not generate sufficient revenue to offset the associated costs, or may not otherwise result in the intended benefits.</w:t>
      </w:r>
    </w:p>
    <w:p>
      <w:pPr>
        <w:spacing w:after="0" w:line="9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It may take us longer than expected to fully realize the anticipated benefits and synergies of these transactions and those benefits and synergies may ultimately be smaller than anticipated or may not be realized at all, which could adversely affect our business and operating results.</w:t>
      </w:r>
    </w:p>
    <w:p>
      <w:pPr>
        <w:spacing w:after="0" w:line="9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Any strategic transactions, combinations, acquisitions, dispositions, joint ventures or similar transactions may also require us to issue additional equity securities, spend our cash, or incur debt (and increase our interest expense), liabilities, and amortization expenses related to intangible assets or write-offs of goodwill, which could adversely affect our results of operations and the interests of holders of our indebtedness and dilute the economic and voting rights of our stockholders.</w:t>
      </w:r>
    </w:p>
    <w:p>
      <w:pPr>
        <w:spacing w:after="0" w:line="11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In addition, we cannot assure you that any future acquisition of new businesses, products, product candidates or technologies will lead to the successful integration of any products, product candidates or technologies acquired with our existing operations or the successful development of new or enhanced products or that any new or enhanced products,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Legal and Regulatory Environment</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numerous complex regulatory requirements, and failure to comply with these regulations, or the cost of compliance with these regulations, may harm our business. *</w:t>
      </w:r>
    </w:p>
    <w:p>
      <w:pPr>
        <w:spacing w:after="0" w:line="9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The research, pre-clinical testing, clinical trials, manufacturing, marketing and distribution of medical devices, human drugs and biologics and combination products are subject to regulation by numerous governmental authorities in the United States and other jurisdictions, if we desire to export the resulting products to such other jurisdictions. These regulations govern or affect the testing, manufacture, safety, effectiveness, labeling, storage, record-keeping, approval or clearance, distribution, advertising and promotion of product candidates, as well as safe working conditions. In some cases, the FDA requirements have increased the amount of time and resources necessary to develop new products and bring them to market in the United States. The FDA and foreign regulatory authorities have substantial discretion to require additional testing, to delay or withhold registration and marketing approval or clearance and to otherwise preclude distribution and sale of a product. In addition, regulatory approval or clearance could impose limitations on the indicated or intended uses for which product candidates may be marketed, and impose post- approval requirements. Our failure to obtain approval or clearance, significant delays in the approval or clearance process, or our failure to maintain approval or clearance in any jurisdiction will prevent us from selling any applicable products in that jurisdiction. We would not be able to realize revenues for those new products in any jurisdiction where we do not have approval or clearance.</w:t>
      </w:r>
    </w:p>
    <w:p>
      <w:pPr>
        <w:spacing w:after="0" w:line="1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Even after a product candidate has been approved or cleared, the FDA and comparable governmental authorities subject such product to continuing review and regulatory requirements including, for example, the reporting of safety issues or adverse events associated with use of an approved drug or cleared or approved device.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80" w:firstLine="324"/>
        <w:spacing w:after="0" w:line="312" w:lineRule="auto"/>
        <w:rPr>
          <w:sz w:val="20"/>
          <w:szCs w:val="20"/>
          <w:color w:val="auto"/>
        </w:rPr>
      </w:pPr>
      <w:r>
        <w:rPr>
          <w:rFonts w:ascii="Times New Roman" w:cs="Times New Roman" w:eastAsia="Times New Roman" w:hAnsi="Times New Roman"/>
          <w:sz w:val="17"/>
          <w:szCs w:val="17"/>
          <w:color w:val="231F20"/>
        </w:rPr>
        <w:t>These authorities may, in certain circumstances, require us to conduct and report the results of certain clinical studies or trials and to commit to voluntarily conducting additional clinical trials. Developments following regulatory approval or clearance may adversely affect sales of our products.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Failure to comply with, or changes to applicable regulatory requirements may result in a variety of consequences, including the following:</w:t>
      </w:r>
    </w:p>
    <w:p>
      <w:pPr>
        <w:spacing w:after="0" w:line="158"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restrictions on our products or the manufacturing processes of such products;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warning letters, untitled letters and cyber letters;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withdrawal of a product from the market;</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voluntary or mandatory recall of a product;</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fines;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suspension or withdrawal of regulatory approvals or clearances for a product;</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of any ongoing clinical trials;</w:t>
      </w:r>
    </w:p>
    <w:p>
      <w:pPr>
        <w:spacing w:after="0" w:line="15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refusal to permit the import or export of our products;</w:t>
      </w:r>
    </w:p>
    <w:p>
      <w:pPr>
        <w:spacing w:after="0" w:line="94" w:lineRule="exact"/>
        <w:rPr>
          <w:rFonts w:ascii="Arial" w:cs="Arial" w:eastAsia="Arial" w:hAnsi="Arial"/>
          <w:sz w:val="20"/>
          <w:szCs w:val="20"/>
          <w:color w:val="auto"/>
        </w:rPr>
      </w:pPr>
    </w:p>
    <w:p>
      <w:pPr>
        <w:ind w:left="660" w:right="5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clear or approve pending applications or supplements to cleared or approved applications that we submit; requiring us to conduct additional clinical trials, change our product labeling or submit additional applications for marketing authorization;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denial of permission to file an application or supplement in a jurisdiction;</w:t>
      </w:r>
    </w:p>
    <w:p>
      <w:pPr>
        <w:spacing w:after="0" w:line="171"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48"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debarment, exclusion from participation in federal healthcare programs, exclusion or debarment from government contracting, consent decrees, or corporate integrity agreements;</w:t>
      </w:r>
    </w:p>
    <w:p>
      <w:pPr>
        <w:spacing w:after="0" w:line="116"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seizure or detention of products; and</w:t>
      </w:r>
    </w:p>
    <w:p>
      <w:pPr>
        <w:spacing w:after="0" w:line="111"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231F20"/>
        </w:rPr>
        <w:t xml:space="preserve">injunctions or the imposition of civil or criminal penalties against </w:t>
      </w:r>
      <w:r>
        <w:rPr>
          <w:rFonts w:ascii="Times New Roman" w:cs="Times New Roman" w:eastAsia="Times New Roman" w:hAnsi="Times New Roman"/>
          <w:sz w:val="21"/>
          <w:szCs w:val="21"/>
          <w:color w:val="231F20"/>
        </w:rPr>
        <w:t>us.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More stringent oversight by the FDA and other agencies in recent years has resulted in increased enforcement activity, which increases our compliance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risk.</w:t>
      </w:r>
    </w:p>
    <w:p>
      <w:pPr>
        <w:spacing w:after="0" w:line="1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To the extent that our partners or we do not perform particular regulated functions themselves but contract out to third parties, including contract manufacturers, contract research organizations, clinical trial sites, and laboratories, our partners or we may be held responsible for such third parties’ failure to follow the applicable regulatory requirements.</w:t>
      </w:r>
    </w:p>
    <w:p>
      <w:pPr>
        <w:spacing w:after="0" w:line="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9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231F20"/>
        </w:rPr>
        <w:t>We may decide to pursue marketing authorization for a combination product comprised of drug candidates and medical devices. A combination product includes, among other possibilities, a combination of a drug and device intended to be used together, according to their proposed labeling where both are required to achieve the intended use, indication or effect.</w:t>
      </w:r>
    </w:p>
    <w:p>
      <w:pPr>
        <w:spacing w:after="0" w:line="10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Developing and obtaining regulatory approval or clearance for combination products pose unique challenges because they involve components that are regulated by the FDA pursuant to different regulatory frameworks and by different FDA centers. As a result, such products raise regulatory, policy and review management challenges. For example, because divisions from both FDA’s Center for Drug Evaluation and Research and FDA’s Center for Devices and Radiological Health must review submissions concerning product candidates that are combination products comprised of drug and devices, the regulatory review and approval for these products may be lengthened. In addition,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Similarly, the device components of our product candidates will require any necessary approvals or clearances or other marketing authorizations or certifications in other jurisdictions, which may prove challenging to obtain.</w:t>
      </w:r>
    </w:p>
    <w:p>
      <w:pPr>
        <w:spacing w:after="0" w:line="1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intend to use the FDA’s expedited drug development programs for nelitolimod but may not be able to achieve expedited development or approval for this product candidate.</w:t>
      </w: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The FDA has established various expedited drug development programs to facilitate more rapid and efficient development, review and approval of certain types of drugs. Such programs include fast track designation, breakthrough therapy designation, accelerated approval, and priority review. We intend to use one or more expedited drug development programs for nelitolimod . The FDA has broad discretion on whether or not to admit a drug candidate for these programs, so even if we believe a particular product candidate is eligible for an expedited drug development program, we cannot assure you that the FDA would agree. Even if any of our product candidates is admitted to any of the expedited drug development programs, we may not experience a faster development process, review or approval compared to conventional FDA approval timelines, and the FDA may still decline to approve such product candidates.</w:t>
      </w:r>
    </w:p>
    <w:p>
      <w:pPr>
        <w:spacing w:after="0" w:line="10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12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FDA may award breakthrough therapy designation to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Even if one or more of our product candidates qualify as breakthrough therapies pursuant to FDA standards, the FDA may later decide that the product no longer meets the conditions for qualification. Thus, even though we may seek breakthrough therapy designation for one or more of our current or future product candidates, there can be no assurance that we will receive breakthrough therapy designation.</w:t>
      </w:r>
    </w:p>
    <w:p>
      <w:pPr>
        <w:spacing w:after="0" w:line="12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231F20"/>
        </w:rPr>
        <w:t>If any of our programs or product candidates receive fast track or breakthrough therapy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or breakthrough therapy designation does not ensure that a product candidate will receive marketing approval or that approval will be granted within any particular time frame. In addition, the FDA may withdraw any such designation if it believes that the designation is no longer supported by data from our clinical development program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nelitolimod or any future product candidates. Any marketing approval we or our collaborators ultimately obtain may be limited or subject to restrictions or post-approval commitments that render the approved product not commercially viable.</w:t>
      </w:r>
    </w:p>
    <w:p>
      <w:pPr>
        <w:spacing w:after="0" w:line="10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orphan drug designation for any of our product candidates, we may be unable to maintain the benefits associated with such designation, including the potential for market exclusivity.</w:t>
      </w:r>
    </w:p>
    <w:p>
      <w:pPr>
        <w:spacing w:after="0" w:line="9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United States and the EU, may also designate drugs for relatively small patient populations as orphan drugs. Under the Orphan Drug Act, the FDA may designate a product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evaluates orphan drug designation to promote the development of products that are intended for the diagnosis, prevention or treatment of a life-threatening or chronically debilitating condition affecting not more than five in 10,000 persons in the EU. In the United States, orphan drug designation entitles a party to financial incentives such as opportunities for grant funding towards clinical trial costs, tax advantages and user-fee waivers, and it may entitle the therapeutic to exclusivity. Regulatory authorities may not grant our requests for orphan designation or may require submission of additional data before making such determination.</w:t>
      </w: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Even if we receive orphan drug designation for any of our product candidates, there is no guarantee that it will obtain approval or orphan drug exclusivity for such product candidates. Even if we obtain orphan drug exclusivity for any of our product candidates, that exclusivity may not effectively protect the product candidates from competition because different therapies can be approved for the same condition and the same therapy could be approved for different conditions.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disease for which it received orphan designation. On January 24, 2023, the FDA announced its intention to apply its existing regulations and long-standing approach to grant orphan drug exclusivity based on the indications for which the drug is approved rather than granting the exclusivity for the entire rare disease or condition that was the subject of the orphan drug designation, in response to the U.S. Court of Appeals for the Eleventh Circuit’s September 30, 2021, decision in </w:t>
      </w:r>
      <w:r>
        <w:rPr>
          <w:rFonts w:ascii="Times New Roman" w:cs="Times New Roman" w:eastAsia="Times New Roman" w:hAnsi="Times New Roman"/>
          <w:sz w:val="18"/>
          <w:szCs w:val="18"/>
          <w:i w:val="1"/>
          <w:iCs w:val="1"/>
          <w:color w:val="231F20"/>
        </w:rPr>
        <w:t>Catalyst P</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harms., Inc. v. Becerra</w:t>
      </w:r>
      <w:r>
        <w:rPr>
          <w:rFonts w:ascii="Times New Roman" w:cs="Times New Roman" w:eastAsia="Times New Roman" w:hAnsi="Times New Roman"/>
          <w:sz w:val="18"/>
          <w:szCs w:val="18"/>
          <w:color w:val="231F20"/>
        </w:rPr>
        <w:t>. Moreover, orphan drug exclusive marketing rights in the United States may be lost if the FDA later determines that the request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0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Further, under the Inflation Reduction Act of 2022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1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Disruptions at the FDA, SEC and other government agencies (e.g., CMS) caused by funding shortages or global health concerns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medical devices, drugs or biologics to be reviewed and/or approved by necessary government agencies, which would adversely affect our business. For example, over the last several years, the United States government has shut down several times,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Separately, in response to the COVID-19 pandemic, the FDA had to postpone inspections of foreign and domestic manufacturing facilities and products. While such inspections have resumed, the FDA may use remote interactive evaluations where in-person inspections are not feasible or may defer action due to factors including travel restrictions. Regulatory authorities outside the United States have adopted similar restrictions or other policy measures and may experience delays in their regulatory activities. 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2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Accordingly, if we or any future collaborators experience delays in obtaining approval or clearance or if we or they fail to obtain approval or clearance of nelitolimod or any future product candidates, the commercial prospects for these product candidates may be harmed, and our ability to generate revenues will be materially impaired.</w:t>
      </w:r>
    </w:p>
    <w:p>
      <w:pPr>
        <w:spacing w:after="0" w:line="9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Even if we complete the necessary preclinical studies and clinical trials, the regulatory approval or clearance process is expensive, time-consuming and uncertain and may prevent us from obtaining approvals or clearances for the commercialization of nelitolimod or any future product candidates. If we or any future collaborators are not able to obtain, or if there are delays in obtaining, required regulatory approvals or clearances, we or they will not be able to commercialize nelitolimod, and our ability to generate revenue will be materially impaired. *</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activities associated with nelitolimod or other product candidates’ development and commercialization, including testing, manufacturing, safety, efficacy, record keeping, labeling, storage, approval or clearance, advertising, promotion, sale and distribution, export and import, are subject to comprehensive regulation by the FDA and other regulatory agencies in the United States. Additionally, in order to commercialize, develop, market and sell our products in the EU, Canada, the United Kingdom, China or other countries and many other jurisdictions, we or our third-party collaborators must obtain separate marketing approvals or clearances and comply with numerous and varying regulatory requirements for comparable regulatory authorities in these other countries.</w:t>
      </w:r>
    </w:p>
    <w:p>
      <w:pPr>
        <w:spacing w:after="0" w:line="106" w:lineRule="exact"/>
        <w:rPr>
          <w:sz w:val="20"/>
          <w:szCs w:val="20"/>
          <w:color w:val="auto"/>
        </w:rPr>
      </w:pPr>
    </w:p>
    <w:p>
      <w:pPr>
        <w:ind w:right="280" w:firstLine="324"/>
        <w:spacing w:after="0" w:line="277" w:lineRule="auto"/>
        <w:rPr>
          <w:sz w:val="20"/>
          <w:szCs w:val="20"/>
          <w:color w:val="auto"/>
        </w:rPr>
      </w:pPr>
      <w:r>
        <w:rPr>
          <w:rFonts w:ascii="Times New Roman" w:cs="Times New Roman" w:eastAsia="Times New Roman" w:hAnsi="Times New Roman"/>
          <w:sz w:val="17"/>
          <w:szCs w:val="17"/>
          <w:color w:val="231F20"/>
        </w:rPr>
        <w:t>Failure to obtain marketing approval or clearance for nelitolimod or any future product candidates will prevent us from commercializing them. We have not received approval to market nelitolimod from regulatory authorities in any jurisdiction. We have limited experience in the designing of clinical trials, in obtaining authorization and in conducting clinical trials in various countries and expect to rely on third-party CROs to assist us in this process. Securing marketing approval or clearance requires the submission of extensive preclinical and clinical data and supporting information, including manufacturing information, to the various regulatory authorities for each therapeutic indication to establish the product candidate’s safety and efficacy.</w:t>
      </w:r>
    </w:p>
    <w:p>
      <w:pPr>
        <w:spacing w:after="0" w:line="10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Nelitolimod or any future product candidates may not be effective, may be only moderately effective or may prove to have undesirable or unintended side effects, toxicities or other characteristics that may preclude us from obtaining marketing approval or clearance or prevent or limit commercial use. The success of our product candidates will depend on several additional factors, including:</w:t>
      </w:r>
    </w:p>
    <w:p>
      <w:pPr>
        <w:spacing w:after="0" w:line="6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initiation of, patient enrollment in, and completion of clinical trials that demonstrate their safety and efficacy;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receiving marketing approvals or clearances from applicable regulatory authorities;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maintaining, protecting and enforcing patent, trade secret and other intellectual property rights and regulatory exclusivity for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completing any post-marketing studies required by applicable regulatory authorities;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making and maintaining arrangements with third-party manufacturers, or establishing manufacturing capabilities, for both clinical and commercial supplies of our product candidates;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sales, marketing and distribution capabilities and successfully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adverse events experienced with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continued acceptable safety profile following approval or clearance;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and maintaining healthcare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competing effectively with other cancer therapies, including with respect to the sales and marketing of our product candidates, if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licenses to any third-party intellectual property we deem necessary or desirable;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any necessary third-party agreements to register nelitolimod as part of a combination therapy.</w:t>
      </w:r>
    </w:p>
    <w:p>
      <w:pPr>
        <w:spacing w:after="0" w:line="15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Many of these factors are beyond our control, including the time needed to adequately complete preclinical studies, clinical testing and the regulatory submission process, our ability to obtain and protect intellectual property rights and changes in the competitive landscape. It is possible that none of our product candidates will ever obtain regulatory approval or clearance, even if we expend substantial time and resources seeking such approval or clearance. In addition, in many countries outside the United States, a product must be approved for reimbursement before the product can be approved for sale in that country. We or any future third-party collaborators may not obtain approvals or clearances from regulatory authorities outside the United States on a timely basis, if at all. Approvals or clearances by the FDA does not ensure approval or clearance by regulatory authorities in other countries or jurisdictions, and approval or clearance by one regulatory authority outside the United States does not ensure approval or clearance by regulatory authorities in other countries or jurisdictions or by the FDA. If we do not achieve one or more of these factors in a timely manner or at all, we could experience significant delays or an inability to successfully complete clinical trials, obtain regulatory approval or clearance or, if approved, commercialize our product candidates, which would materially harm our business, financial condition, results of operations and prospects.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in the future develop product candidates in combination with other therapies and that may expose us to additional risks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We may develop future product candidates for use in combination with one or more currently approved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products being removed from the market or being less successful commercially.</w:t>
      </w:r>
    </w:p>
    <w:p>
      <w:pPr>
        <w:spacing w:after="0" w:line="10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231F20"/>
        </w:rPr>
        <w:t>We may also evaluate our product candidates in combination with one or more other therapies that have not yet been approved for marketing by the FDA or similar foreign regulatory authorities. We will not be able to market and sell our product candidates we develop in combination with any such unapproved therapies that do not ultimately obtain marketing approval.</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If the FDA or similar foreign regulatory authorities do not approve or revoke the approval of these other drugs, or if safety, efficacy, manufacturing or supply issues arise with the drugs that we choose to evaluate in combination with our product candidates, we may be unable to obtain approval of or market our product candidates.</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regulatory approval or clearance for nelitolimod or any future product candidates, such product candidates will remain subject to ongoing regulatory oversight.</w:t>
      </w:r>
    </w:p>
    <w:p>
      <w:pPr>
        <w:spacing w:after="0" w:line="7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Even if we obtain regulatory approval or clearance for any of our product candidates, they will be subject to extensive and ongoing regulatory requirements for manufacturing processes, labeling, packaging, distribution, adverse event reporting, storage, advertising, promotion, sampling and record-keeping.</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or clearances that we receive for our product candidates may also be subject to limitations on the approved indicated uses for which the product candidate may be marketed or to the conditions of approval or clearance, or contain requirements for potentially costly post- marketing testing, including Phase 4 clinical trials, that may require surveillance requirements regarding monitoring the safety and efficacy of the product candidate. In particular, a product may not be promoted for uses that are not approved by the FDA or such other regulatory agencies as reflected in the product’s approved labeling. If we receive marketing approval or clearance for any future product candidates we may develop, physicians may nevertheless prescribe it to their patients in a manner that is inconsistent with the approved label. However, if we are found to have promoted such off-label uses, we may become subject to significant liability. The FDA may also require a Risk Evaluation and Mitigation Strategies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2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FDA’s and other regulatory authorities’ policies may change, and additional government regulations may be enacted that could prevent, limit or delay regulatory approval or clearance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8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issuing warning or untitled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seeking an injunction or imposing civil or criminal penalties or monetary fines;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imposition of restrictions on operations, including product manufacturing;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seizure or detention of products, refusal to permit the import or export of products or request that we initiate a product recall;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withdrawal of our marketing authorizations;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of any ongoing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approve pending applications or supplements to applications submitted by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requiring us to conduct additional clinical trials, change our product labeling or submit additional applications for marketing authorization.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231F20"/>
        </w:rPr>
        <w:t>If any of these events occurs, our ability to sell such product may be impaired, and we may incur substantial additional expense to comply with regulatory requirements, which could harm our business, financial condition, results of operations and prospects.</w:t>
      </w:r>
    </w:p>
    <w:p>
      <w:pPr>
        <w:spacing w:after="0" w:line="8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In particular for TriNav and the pancreatic retrograde venous infusion (“PRVI”) device and any future medical device product candidate, we and our third-party suppliers are required to comply with the FDA’s Quality System Regulation (“QSR”). These FDA regulations cover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by the FDA. If we or our manufacturers fail to adhere to QSR requirements in the United States,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In addition, the FDA assesses compliance with the QSR through periodic announced and unannounced inspections of manufacturing and other facilities. The failure by us or one of our suppliers to comply with applicable statutes and regulations administered by the FDA, or the failure to timely and adequately respond to any adverse inspectional observations or product safety issues, could result in any of the enforcement actions listed above. 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6" w:lineRule="exact"/>
        <w:rPr>
          <w:sz w:val="20"/>
          <w:szCs w:val="20"/>
          <w:color w:val="auto"/>
        </w:rPr>
      </w:pPr>
    </w:p>
    <w:p>
      <w:pPr>
        <w:ind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If any of our product candidates receives marketing approval or clearance and we or others later discover that the product is less effective than previously believed or causes undesirable side effects that were not previously identified, our ability to market the product could be compromised.</w:t>
      </w:r>
    </w:p>
    <w:p>
      <w:pPr>
        <w:spacing w:after="0" w:line="5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231F20"/>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or clearance, and we or others later discover that such product candidates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withdrawal or limitation by regulatory authorities of approvals or clearances of such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recall of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commitment to expensive additional safety studies prior to approval or clearance or post-marketing studies required by regulatory authorities of such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impact on the product’s competitiveness;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harm to our reputation and resulting harm to physician or patient acceptance of our products</w:t>
      </w:r>
    </w:p>
    <w:p>
      <w:pPr>
        <w:spacing w:after="0" w:line="15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Any of these events could prevent us from achieving or maintaining market acceptance of the particular product candidate, if approved, and could harm our business, financial condition, results of operations and prospects.</w:t>
      </w:r>
    </w:p>
    <w:p>
      <w:pPr>
        <w:spacing w:after="0" w:line="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Healthcare reform and other governmental and private payor initiatives may have an adverse effect upon, and could prevent, the commercial success of our products or product candidates. *</w:t>
      </w:r>
    </w:p>
    <w:p>
      <w:pPr>
        <w:spacing w:after="0" w:line="7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231F20"/>
        </w:rPr>
        <w:t>In the U.S. and in certain foreign jurisdictions, there have been a number of legislative and regulatory changes to the healthcare system that could impact our ability to sell our products profitably, such as the Patient Protection and Affordable Care Act, as amended by the Health Care and Education Reconciliation Act of 2010, or collectively the Affordable Care Act (“ACA”).</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Since its enactment, there have been numerous judicial, administrative, executive, and legislative challenges to certain aspects of the ACA, and we expect that there will be additional challenges and amendments to the ACA in the future. For example, on June 17, 2021, the U.S. Supreme Court dismissed a challenge on procedural grounds that argued the ACA is unconstitutional in its entirety because the individual mandate was repealed by Congress.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newly established manufacturer discount program.</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the required goals, thereby triggering the legislation’s automatic reduction to several government programs. This includes aggregate reductions of Medicare payments to providers of 2% per fiscal year that will remain in effect through 2032 unless additional congressional action is taken.</w:t>
      </w:r>
    </w:p>
    <w:p>
      <w:pPr>
        <w:spacing w:after="0" w:line="11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There has been increasing legislative and enforcement interest in the U.S. with respect to prescription-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1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At the federal level, in July 2021, the Biden administration released an executive order, “Promoting Competition in the American Economy,” with multiple provisions aimed at prescription drugs. In response to Biden’s executive order, on September 9, 2021,the U.S. Department of Health and Human Services (“HHS”)released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In addition, the IRA, among other things, (1) directs HHS to negotiate the price of certain single-source drugs and biologics covered under Medicare and (2) imposes rebates under Medicare Part B and Medicare Part D to penalize price increases that outpace inflation.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HHS will select up to fifteen additional drugs covered under Part D for price negotiation in 2025.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1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We expect that these and other healthcare reform measures that may be adopted in the future may result in more rigorous coverage criteria and in additional downward pressure on reimbursement price that we receive for any cleared, authorized, or approved device, or any of our product candidates in the future, if approved. Any reduction in reimbursement from Medicare or other government programs may result in a similar reduction in payments from private payors.</w:t>
      </w:r>
    </w:p>
    <w:p>
      <w:pPr>
        <w:spacing w:after="0" w:line="11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231F20"/>
        </w:rPr>
        <w:t>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clearance, authorization, or approval and that may affect our overall financial condition and ability to develop product candidates. If we or any third parties we may engage are slow or unable to adapt to changes in existing requirements or the adoption of new requirements or policies, or if we or such third parties are not able to maintain regulatory compliance, our current or any future product candidates that we may develop may lose any regulatory clearance, authorization, or approval that may have been obtained and we may not achieve or sustain profitability.</w:t>
      </w: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TriNav and the PRVI device must be manufactured in accordance with federal and foreign regulations, and we or any of our suppliers or third-party manufacturers could be forced to recall the products or terminate production if we fail to comply with these regulations.</w:t>
      </w:r>
    </w:p>
    <w:p>
      <w:pPr>
        <w:spacing w:after="0" w:line="78"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7"/>
          <w:szCs w:val="17"/>
          <w:color w:val="231F20"/>
        </w:rPr>
        <w:t>The design, manufacture and marketing of medical devices involve certain inherent risks. Manufacturing or design defects, component failures, unapproved or improper use of our products, or inadequate disclosure of risks or other information relating to the use of our products can lead to injury or other serious adverse events. The FDA and similar foreign governmental authorities have the authority to require the recall of commercialized products in the event of material deficiencies or defects in design or manufacture. For the FDA, the authority to require a recall must be based on a finding that there is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The FDA requires that certain classifications of recalls be reported to the FDA within ten working days after the recall is initiated. A government-mandated or voluntary recall by us or one of our international distributors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subject to liability claims, be required to bear other costs, or take other actions that may have a negative impact on our future sales and our ability to generate profits. Companies are required to maintain certain records of recalls, even if they are not reportable to the FDA or another third-country competent authority. We may initiate voluntary recalls involving our products in the future that we determine do not require notification of the FDA or another third-country competent authority. If the FDA disagrees with our determinations, the FDA could require us to report those actions as recalls. A future recall announcement could harm our reputation with customers and negatively affect our sales. In addition, the FDA could take enforcement action for failing to report recalls. We are also required to follow detailed recordkeeping requirements for all firm- initiated medical device corrections and removals.</w:t>
      </w:r>
    </w:p>
    <w:p>
      <w:pPr>
        <w:spacing w:after="0" w:line="1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treatment guidelines for the cancer indications that we are targeting change or the standard of care evolves, we may need to redesign our preclinical or clinical trials of, or seek new marketing authorization from, the FDA for any approved products.</w:t>
      </w:r>
    </w:p>
    <w:p>
      <w:pPr>
        <w:spacing w:after="0" w:line="91"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231F20"/>
        </w:rPr>
        <w:t>If treatment guidelines for the cancer indications that we are targeting change or the standard of care evolves, We may need to redesign TriNav, the PRVI device or any product candidates and seek new clearances or approvals from the FDA for any approved products. Our 510(k) clearances from the FDA for TriNav, TriNav Large and the PRVI device are based on current treatment guidelines. If treatment guidelines change so that different treatments become desirable, the clinical utility of TriNav and the PRVI device could be diminished, and our business could suffer. Competition by other forms of cancer treatment, for example, the development of new and more efficacious systemic therapies, could reduce the use of regional therapy as a standard of care in certain indications. Changes in treatment guidelines or standard of care may also impact product coverage and/or reimbursement by payors.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methods of product candidate manufacturing or formulation may result in additional costs or delays.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As product candidates proceed through preclinical studies to late-stage clinical trials towards potential approval or clearance and commercialization, it is common that various aspects of the development activities, such as manufacturing methods and formulation, are altered along the way in an effort to optimize processes and results.</w:t>
      </w:r>
    </w:p>
    <w:p>
      <w:pPr>
        <w:spacing w:after="0" w:line="10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Any of these changes could cause nelitolimod or any future product candidates to perform differently and affect the results of planned clinical trials or other future clinical trials conducted with the materials manufactured using altered processes. Such changes may also require additional testing, including comparability testing, to bridge earlier clinical data obtained from nelitolimod produced under earlier manufacturing methods or formulations, and regulatory authorities may disagree on the interpretation of results from this testing. This could delay the completion of clinical trials, require the conduct of bridging clinical trials or the repetition of one or more clinical trials, increase clinical trial costs, delay approval of nelitolimod or any future product candidates and jeopardize our ability to commence sales and generate revenue.</w:t>
      </w:r>
    </w:p>
    <w:p>
      <w:pPr>
        <w:spacing w:after="0" w:line="10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customers, hospitals,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Healthcare providers, including physicians and third-party payors in the United States and elsewhere, will play a primary role in the recommendation of TriNav and the PRVI device and prescription of any product candidates for which we obtain marketing approval or clearance. Our current and future arrangements with healthcare professionals, principal investigators, consultants, hospitals, customers and third-party payors subject us to various federal and state</w:t>
      </w: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231F20"/>
        </w:rPr>
        <w:t>fraud and abuse laws, data privacy and security laws, transparency laws and other healthcare laws that may constrain the business or financial arrangements and relationships through which we research, sell, market, and distribute TriNav and the PRVI device, and any other any future products candidates once they have obtained marketing authorization. Restrictions under applicable federal and state healthcare laws and regulations, include the following:</w:t>
      </w:r>
    </w:p>
    <w:p>
      <w:pPr>
        <w:spacing w:after="0" w:line="50" w:lineRule="exact"/>
        <w:rPr>
          <w:sz w:val="20"/>
          <w:szCs w:val="20"/>
          <w:color w:val="auto"/>
        </w:rPr>
      </w:pPr>
    </w:p>
    <w:p>
      <w:pPr>
        <w:ind w:left="660" w:right="40" w:hanging="328"/>
        <w:spacing w:after="0" w:line="256"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a person or entity from knowingly and willfully soliciting, offering, paying, receiving or providing remuneration, directly or indirectly, in cash or in kind, to induce or reward either the referral of an individual for, or the purchase, lease order, arranging for or recommendation of, any good, facility, item or service, for which payment may be made, in whole or in part, by a federal healthcare program, such as Medicare or Medicaid. A person or entity does not need to have actual knowledge of the statute or specific intent to violate it in order to have committed a violation. In addition, a violation of the Anti-Kickback Statute can form the basis for a violation of the federal False Claims Act (discussed below);</w:t>
      </w:r>
    </w:p>
    <w:p>
      <w:pPr>
        <w:spacing w:after="0" w:line="79" w:lineRule="exact"/>
        <w:rPr>
          <w:rFonts w:ascii="Times New Roman" w:cs="Times New Roman" w:eastAsia="Times New Roman" w:hAnsi="Times New Roman"/>
          <w:sz w:val="18"/>
          <w:szCs w:val="18"/>
          <w:color w:val="231F20"/>
        </w:rPr>
      </w:pPr>
    </w:p>
    <w:p>
      <w:pPr>
        <w:ind w:left="660" w:right="120" w:hanging="328"/>
        <w:spacing w:after="0" w:line="258"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civil and criminal false claims laws and civil monetary penalties laws, including the federal False Claims Act, which provides for civil whistleblower or qui tam actions, that impose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referral made in violation of the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231F20"/>
        </w:rPr>
      </w:pPr>
    </w:p>
    <w:p>
      <w:pPr>
        <w:ind w:left="660" w:hanging="328"/>
        <w:spacing w:after="0" w:line="258"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Health Insurance Portability and Accountability Act (“HIPAA”) which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231F20"/>
        </w:rPr>
      </w:pPr>
    </w:p>
    <w:p>
      <w:pPr>
        <w:ind w:left="660" w:right="60" w:hanging="328"/>
        <w:spacing w:after="0" w:line="289" w:lineRule="auto"/>
        <w:tabs>
          <w:tab w:leader="none" w:pos="655"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HIPAA, as amended by the Health Information Technology for Economic and Clinical Health Act (“HITECH”), and their implementing regulations, which impose obligations on certain covered entity healthcare providers, health plans and healthcare clearinghouses as well as their business associates and subcontractors that perform certain services involving the use or disclosure of individually identifiable health information;</w:t>
      </w:r>
    </w:p>
    <w:p>
      <w:pPr>
        <w:spacing w:after="0" w:line="49" w:lineRule="exact"/>
        <w:rPr>
          <w:rFonts w:ascii="Times New Roman" w:cs="Times New Roman" w:eastAsia="Times New Roman" w:hAnsi="Times New Roman"/>
          <w:sz w:val="17"/>
          <w:szCs w:val="17"/>
          <w:color w:val="231F20"/>
        </w:rPr>
      </w:pPr>
    </w:p>
    <w:p>
      <w:pPr>
        <w:ind w:left="660" w:right="280" w:hanging="328"/>
        <w:spacing w:after="0" w:line="256"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transparency requirements known as the federal Physician Payments Sunshine Act, created as part of ACA, which requires certain manufacturers of drugs, devices, biologics and medical supplies for which payment is available under Medicare, Medicaid or the Children’s Health Insurance Program to report annually to the CMS information related to payments and other transfers of value made by that entity to physicians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local, state and foreign laws and regulations, such as state anti-kickback and false claims laws that may apply to healthcare items or services reimbursed by third-party payors, including private insurers.</w:t>
      </w:r>
    </w:p>
    <w:p>
      <w:pPr>
        <w:spacing w:after="0" w:line="8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If the physicians or other providers or entities with whom we do, or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initiation and continuation of litigation or other proceedings relating to applicable healthcare laws and regulations could have a material adverse effect on our ability to compete in the marketplace.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could be subject to litigation that could have an adverse effect on our business and operating results.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are, from time to time, involved in litigation. The numerous operating hazards inherent in our business increase our exposure to litigation, which may involve, among other things, contract disputes, personal injury, environmental, employment, warranty and product liability claims, tax and securities litigation, patent infringement and other intellectual property claims and litigation that arises in the ordinary course of business. Our management cannot predict with certainty the outcome or effect of any claim or other litigation matter. Litigation may have an adverse effect on us because of potential negative outcomes such as monetary damages or restrictions on future operations, the costs associated with defending the lawsuits, the diversion of management’s resources and other factors.</w:t>
      </w:r>
    </w:p>
    <w:p>
      <w:pPr>
        <w:spacing w:after="0" w:line="11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Potential product liability lawsuits against us could cause us to incur substantial liabilities and limit commercialization of any products that we may develop.</w:t>
      </w:r>
    </w:p>
    <w:p>
      <w:pPr>
        <w:spacing w:after="0" w:line="7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We are developing additional sizes of, and uses for, the TriNav device. Our product candidates may be used in connection with medical procedures in which it is important that those products function with precision and accuracy. If our existing TriNav device or our product candidates, if approved, do not function as designed, or are designed improperly, we may be forced by regulatory agencies to withdraw such products from the market. In addition, the use of our product candidates in clinical trials, the sale of any products for which we obtain marketing approval, and other liability risks that are inherent in the testing, manufacturing, marketing and sale of medical devices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Claims or losses in excess of any product liability insurance coverage that we may obtain could have a material adverse effect on our business, financial condition and results of operations. In addition, regardless of merit or eventual outcome, product liability claims may result in:</w:t>
      </w:r>
    </w:p>
    <w:p>
      <w:pPr>
        <w:spacing w:after="0" w:line="8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impairment of our business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withdrawal of participants from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costs to defend the related litigation and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commercialize a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exhaustion of any available insurance and our capital resources, and the inability to commercialize any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decreased demand for a product candidate, if approved for commercial sale;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loss of revenue.</w:t>
      </w:r>
    </w:p>
    <w:p>
      <w:pPr>
        <w:spacing w:after="0" w:line="15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Although we currently carry clinical trial insurance and product liability insurance which we believe to be reasonable, such insurance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and the third parties with whom we work may be subject to stringent and evolving U.S. and foreign laws, regulations, and rules, contractual obligations,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spacing w:after="0" w:line="9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231F20"/>
        </w:rPr>
        <w:t>In the ordinary course of business, we process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w:t>
      </w:r>
    </w:p>
    <w:p>
      <w:pPr>
        <w:spacing w:after="0" w:line="9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In the past few years, numerous states - including California, Virginia, Colorado, Connecticut, and Utah - have passed comprehensive privacy laws which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maintained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may further complicate compliance efforts, and may increase legal risk and compliance costs to us and the third parties upon which we rely.</w:t>
      </w:r>
    </w:p>
    <w:p>
      <w:pPr>
        <w:spacing w:after="0" w:line="13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231F20"/>
        </w:rPr>
        <w:t>Outside the United States, an increasing number of laws, regulations, and industry standards may govern data privacy and security. For example, the EU’s General Data Protection Regulation (“EU GDPR”) imposes strict requirements for processing personal data, and,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could satisfy or rely on these measures to lawfully transfer personal data to the United States. If there is no lawful manner for us to transfer personal data from the EEA, the UK, or other jurisdictions to the United States, we could face significant adverse consequences.</w:t>
      </w:r>
    </w:p>
    <w:p>
      <w:pPr>
        <w:spacing w:after="0" w:line="11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spacing w:after="0" w:line="10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Obligations related to data privacy and security (and consumers' data privacy expectations)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may at times fail (or be perceived to have failed) in our efforts to comply with our data privacy and security obligations. Moreover, despite our efforts, our personnel or third parties on which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0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and differences in interpretation of tax laws and regulations may adversely impact our financial statements.</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We operate in multiple jurisdictions and are subject to tax laws and regulations of the U.S. federal, state and local and non-U.S. governments. U.S. federal, state and local and non-U.S. tax laws and regulations are complex and subject to change and varying interpretations. For instance, the IRA imposes, among other rules, a 15% minimum tax on the book income of certain large corporations and a 1% excise tax on certain corporate stock repurchases. U.S. federal, state and local and non-U.S. tax authorities may interpret tax laws and regulations differently than we do and challenge tax positions that we have taken. This may result in differences in the treatment of revenues, deductions, credits and/or differences in the timing of these items. The differences in treatment may result in payment of additional taxes, interest or penalties that could have an adverse effect on our financial condition and results of operations. Further, future changes to U.S. federal, state and local and non-U.S. tax laws and regulations could increase our tax obligations in jurisdictions where we do business or require us to change the manner in which we conduct some aspects of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carryforwards and certain other tax attributes is limited. *</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incurred losses during our history. Unused federal net operating losses (“NOLs”) for taxable years beginning before January 1, 2018, may be carried forward to offset future taxable income, if any, until such unused NOLs expire. Under current law, federal NOLs incurred in taxable years beginning after December 31, 2017, can be carried forward indefinitely, but the deductibility of such federal NOLs is limited to 80% of taxable income. It is uncertain if and to what extent various states will conform to federal tax laws.</w:t>
      </w:r>
    </w:p>
    <w:p>
      <w:pPr>
        <w:spacing w:after="0" w:line="11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In addition,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tax credits) to offset its post-change income or taxes may be limited. We have experienced ownership changes in the past and may experience ownership changes in the future as a result of subsequent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and certain state tax credits in tax years beginning after 2023 and before 2027.These factors could limit our ability to use our NOLs and other tax attributes, which could adversely affect our future cash flows or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obtain, adequately protect, maintain or enforce our intellectual property rights could substantially harm our business and results of operations.</w:t>
      </w:r>
    </w:p>
    <w:p>
      <w:pPr>
        <w:spacing w:after="0" w:line="9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of others, to protect our current or future platform technologies, products, product candidates, methods used to manufacture our current or future product candidates and methods for treating patients using our current or future product candidates.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own or in-license patents and patent applications relating to our platform technologies, products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0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 license may fail to result in issued patents, and, even if patents are issued,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out-licenses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spacing w:after="0" w:line="12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Moreover, the patent positions of biotechnology and medical device companies like us are generally uncertain because they may involve complex legal and factual considerations that have, in recent years, been the subject of legal development and change. The relevant patent laws and their interpretation, both inside and outside of the United States, are also uncertain. Changes in either the patent laws or their interpretation in the United States and other jurisdictions may diminish our ability to protect our platform technology or product candidates and could affect the value of such intellectual property.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 —in some cases— potential competitors from practicing the claimed inventions of the issued patents.</w:t>
      </w:r>
    </w:p>
    <w:p>
      <w:pPr>
        <w:spacing w:after="0" w:line="10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231F20"/>
        </w:rPr>
        <w:t>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spacing w:after="0" w:line="9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Further, patents and other intellectual property rights in the pharmaceutical, biotechnology and medical device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products, product candidates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products,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12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Even if patents do successfully issue from our owned or in-licensed patent application, and even if such patents cover our current or any future products or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products or product candidates that we may develop. Likewise, if patent applications we own or have in-licensed with respect to our development programs and current or future products or product candidates fail to issue, if their breadth or strength is threatened, or if they fail to provide meaningful exclusivity, other companies could be dissuaded from collaborating with us to develop current or future products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may be unable to prevent competitors from entering the market with a product that is similar or identical to any of our products or current or potential future product candidates or from utilizing technologies similar to those in our products or current product candidates.</w:t>
      </w:r>
    </w:p>
    <w:p>
      <w:pPr>
        <w:spacing w:after="0" w:line="12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filing of a patent application or the issuance of a patent is not conclusive as to our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inter partes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 licensed patent rights, result in the loss of exclusivity, limit our ability to stop others from using or commercializing similar or identical products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products or product candidates. Any of the foregoing could have a material adverse effect on our business, financial condition, results of operations and prospects.</w:t>
      </w:r>
    </w:p>
    <w:p>
      <w:pPr>
        <w:spacing w:after="0" w:line="111"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231F20"/>
        </w:rPr>
        <w:t>Moreover, we currently co-own certain patents and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12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expiration or loss of patent protection may adversely affect our future revenues. *</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rely on patent, trademark, trade secret and other intellectual property protection in the discovery, development, manufacturing and sale of our products and product candidates. In particular, patent protection is important in the development and eventual commercialization of our product candidates. Patents covering our product candidates normally provide market exclusivity, which is important in order to improve the probability that our product candidates are able to become profitable. Our commercial success will depend in large part on our ability to obtain and maintain patent and other intellectual property protection in the U.S. and other countries with respect to our products and product candidates.</w:t>
      </w:r>
    </w:p>
    <w:p>
      <w:pPr>
        <w:spacing w:after="0" w:line="116"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231F20"/>
        </w:rPr>
        <w:t>The patent positions of biotechnology and medical device companies generally are highly uncertain, involve complex legal and factual questions and have in recent years been the subject of much litigation. As a result, the issuance, scope, validity, enforceability and commercial value of any patents that issue are highly uncertain. The steps we have taken to protect our proprietary rights may not be adequate to preclude misappropriation of our proprietary information or infringement of our intellectual property rights, both inside and outside the U.S. Further, the examination process may require us to narrow the claims of pending patent applications, which may limit the scope of patent protection that may be obtained if these applications issue. The rights that may be granted under future issued patents may not provide us with the proprietary protection or competitive advantages we are seeking. If we are unable to obtain and maintain patent protection for our products and product candidates, or if the scope of the patent protection obtained is not sufficient, our competitors could develop and commercialize technology and products similar or superior to ours, and our ability to successfully commercialize our products and product candidates may be impaired.</w:t>
      </w:r>
    </w:p>
    <w:p>
      <w:pPr>
        <w:spacing w:after="0" w:line="12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November 8, 2024</w:t>
      </w:r>
      <w:r>
        <w:rPr>
          <w:rFonts w:ascii="Times New Roman" w:cs="Times New Roman" w:eastAsia="Times New Roman" w:hAnsi="Times New Roman"/>
          <w:sz w:val="18"/>
          <w:szCs w:val="18"/>
          <w:color w:val="231F20"/>
        </w:rPr>
        <w:t xml:space="preserve">, we owned at least 66 registered patents. Our issued U.S. patents expire between 2031 and 2040. All of our solely-owned granted U.S. and foreign patents that relate to composition of matter for nelitolimod expired in December 2023. Upon expiration of the patents covering nelitolimod, third parties, including other biopharmaceutical companies, will be able to obtain or use nelitolimod other than to the extent we have other patent protection. In addition, certain of our patents relating to the use of TriNav will expire beginning in 2031, with additional patents relating to TriNav expiring in 2036 and 2038. While we are seeking additional patent coverage, there can be no assurances that such additional patent protection will be granted, or, if granted, that these patents will not be infringed upon or otherwise held enforceable. Even if we are successful in obtaining a patent, patents have a limited lifespan. Various extensions may be available; however, the life of a patent, and the protection it affords, is limited. We also intend to apply for orphan drug designation and orphan designation for nelitolimod in the U.S. and EU, respectively, which, if granted, would extend the regulatory exclusivity period beyond the initial five years of regulatory exclusivity for a New Chemical Entity ("NCE") from the date of approval in the U.S. and beyond the eight years of data exclusivity from the date of approval in Europe; however, there can be no assurance that we will ever obtain approval or orphan drug exclusivity for such product candidates. Without patent protection of our product candidates, we may be open to competition from generic versions of such products. As of </w:t>
      </w:r>
      <w:r>
        <w:rPr>
          <w:rFonts w:ascii="Times New Roman" w:cs="Times New Roman" w:eastAsia="Times New Roman" w:hAnsi="Times New Roman"/>
          <w:sz w:val="18"/>
          <w:szCs w:val="18"/>
          <w:color w:val="000000"/>
        </w:rPr>
        <w:t>November 8, 2024</w:t>
      </w:r>
      <w:r>
        <w:rPr>
          <w:rFonts w:ascii="Times New Roman" w:cs="Times New Roman" w:eastAsia="Times New Roman" w:hAnsi="Times New Roman"/>
          <w:sz w:val="18"/>
          <w:szCs w:val="18"/>
          <w:color w:val="231F20"/>
        </w:rPr>
        <w:t>, we have at least 79 pending patent applications and 14 U.S. provisional patent applications. We do not know whether any of our patent applications will result in issued patents or, if any of our patent applications do issue, whether such patents will protect our technology and drugs, in whole or in part, or whether such patents will effectively prevent others from commercializing competitive technologies and products. Even if we are successful in obtaining a patent, patents have a limited lifespan. Various extensions may be available; however, the life of a patent, and the protection it affords, is limited. Without patent protection of our product candidates, we may be open to competition from generic versions of such drug products.</w:t>
      </w:r>
    </w:p>
    <w:p>
      <w:pPr>
        <w:spacing w:after="0" w:line="11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There is no guarantee that any of our issued or granted patents will not later be found invalid or unenforceable.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 product candidates. Furthermore, as our issued patents expire, the risk that competitors may be able to circumvent our remaining patents by developing similar or alternate technologies or products in a non-infringing manner is increased.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protection under the Hatch-Waxman Amendments by extending the patent term, our business may be harmed.</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commercial success will largely depend on our ability to obtain and maintain patent and other intellectual property in the United States and other countries with respect to our products and product candidates.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9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United States patents may be eligible for limited patent term extension, or PTE, under the Drug Price</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Competition and Patent Term Restoration Act of 1984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expiration of our regulatory exclusivity and our patent expiration, and launch their product earlier than might otherwise be the case.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 which could negatively impact our business.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Filing, prosecuting and defending patents covering our products and product candidates in all countries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especially those relating to life sciences, to the same extent as federal and state laws in the United States. For example, European patent law restricts the patentability of methods of treatment of the human body more than U.S. law does and novel formulations of existing drugs and manufacturing processes may not be patentable in certain jurisdictions. Further, future licensing partners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our own products or product candidates and may also export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 with us in these jurisdictions.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medical device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Furthermore, while it intends to protect our intellectual property rights in our expected significant markets, we cannot ensure that we will be able to initiate or maintain similar efforts in all jurisdictions in which we may wish to market our products and product candidates. Accordingly, our efforts to protect our intellectual property rights in such countries may be inadequate, which may have an adverse effect on our ability to successfully commercialize our products and product candidates in all of our expected significant foreign markets.</w:t>
      </w:r>
    </w:p>
    <w:p>
      <w:pPr>
        <w:spacing w:after="0" w:line="112"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231F20"/>
        </w:rPr>
        <w:t>Additionally, the requirements for patentability may differ in certain countries. Generic or biosimilar drug manufacturers or other competitors may challenge the scope, validity or enforceability of our or our licensors’ patents, requiring us or our licensees or any future licensors to engage in complex, lengthy and costly litigation or other proceedings. In addition, certain countries have compulsory licensing laws under which a patent owner may be compelled to grant licenses to third parties. In those countries, we and our licensees or any future licensors may have limited remedies if patents are infringed or if we and our licensees or any future licensors are compelled to grant a license to a third party, which could materially diminish the value of those patents. This could limit our potential revenue opportunities. Accordingly, our efforts to enforce intellectual property rights in some regions of the world may be inadequate to obtain a significant commercial advantage from our intellectual property.</w:t>
      </w:r>
    </w:p>
    <w:p>
      <w:pPr>
        <w:spacing w:after="0" w:line="200" w:lineRule="exact"/>
        <w:rPr>
          <w:sz w:val="20"/>
          <w:szCs w:val="20"/>
          <w:color w:val="auto"/>
        </w:rPr>
      </w:pPr>
    </w:p>
    <w:p>
      <w:pPr>
        <w:spacing w:after="0" w:line="36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contractors or advisors have infringed, misappropriated or otherwise violated the intellectual property of a third party, or claiming ownership of what we regard as our own intellectual property.</w:t>
      </w:r>
    </w:p>
    <w:p>
      <w:pPr>
        <w:spacing w:after="0" w:line="7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Many of the contributors to our intellectual property, including patents and applications, were previously employed at universities or other biotechnology, pharmaceutical or medical device companies, including our competitors or potential competitors. Although we try to ensure that our employees do not use the intellectual property and other proprietary information, know-how or trade secrets of others in their work for us, we may be subject to claims that we or these employees have used or disclosed such intellectual property or other proprietary information.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business.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In addition, while we typically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To the extent that we fail to obtain such assignments, such assignments do not contain a self-executing assignment of intellectual property rights, or if such assignments are breached,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products or product candidates. Such a license may not be available on commercially reasonable terms or at all. Even if we are successful in prosecuting or defending against such claims, litigation could result in substantial costs and be a distraction to our management and scientific personnel.</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model may require reliance on third parties and the need to share our trade secrets, which increases the possibility that a competitor will discover them or that our trade secrets will be misappropriated or disclosed, and if we are unable to protect the confidentiality of our trade secrets, the value of our intellectual property could be materially adversely affected and our business would be harmed.</w:t>
      </w:r>
    </w:p>
    <w:p>
      <w:pPr>
        <w:spacing w:after="0" w:line="9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In addition to seeking patents for some of our products and product candidates, we also rely on trade secrets, including unpatented know-how, technology and other proprietary information, in seeking to develop and maintain a competitive position. Because we rely on third parties to manufacture our product candidates and we may collaborate with third parties on the development of our product candidates, we must, at times, share trade secrets with them. We seek to protect these trade secrets, in part, by entering into non- disclosure and confidentiality agreements with parties who have access to them, such as our employees, consultants, independent contractors, advisors, corporate collaborators, outside scientific collaborators, contract manufacturers, suppliers and other third parties. We also enter into confidentiality and invention or patent assignment agreements with employees and certain consultants.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Since our inception, we have sought to contract with manufacturers to supply commercial quantities of pharmaceutical formulations. As a result, we have disclosed, under confidentiality agreements, various aspects of our technology with potential manufacturers and suppliers. We believe that these disclosures, while necessary for our business, may result in the attempt by potential manufacturers and suppliers to improperly assert ownership claims to our technology in an attempt to gain an advantage in negotiating manufacturing and supplier rights.</w:t>
      </w:r>
    </w:p>
    <w:p>
      <w:pPr>
        <w:spacing w:after="0" w:line="11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cannot guarantee that our trade secrets and other proprietary and confidential information will not be disclosed or that competitors will not otherwise gain access to our trade secrets.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1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we fail to prevent material disclosure of the know-how, trade secrets and other intellectual property related to our</w:t>
      </w: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If any of our trade secrets were to be lawfully obtained or independently developed by a competitor, in the absence of patent protection, we would have no right to prevent them, or those to whom they communicate, from using that technology or information to compete with us.</w:t>
      </w:r>
    </w:p>
    <w:p>
      <w:pPr>
        <w:spacing w:after="0" w:line="10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We may not be able to prevent misappropriation of our trade secrets or other proprietary and confidential information, particularly in countries where the laws may not protect those rights as fully as in the United States.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competitors may be able to circumvent our patents by developing similar or alternative technologies or products in a non-infringing manner. *</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competitors may seek to market generic versions of nelitolimod or any other product candidate for which we may in the future obtain approval by submitting abbreviated new drug applications ("ANDAs") or biosimilar applications to the FDA or new products that use our approved products as the reference listed drug or biologic, in each case where our competitors claim that our patents are invalid, unenforceable or not infringed. Alternatively, our competitors may seek approval to market their own products that are the same as, similar to or otherwise competitive with nelitolimod and any future product candidates we may develop. In these circumstances, we may need to defend or assert our patents, by means including filing lawsuits alleging patent infringement requiring us to engage in complex, lengthy and costly litigation or other proceedings. In any of these types of proceedings, a court or government agency with jurisdiction may find our patents invalid, unenforceable or not infringed. We may also fail to identify patentable aspects of our research and development before it is too late to obtain patent protection. Even if patents are valid and enforceable, these patents still may not provide protection against competing products or processes sufficient to achieve our business objectives. Furthermore, as our issued patents expire, the risk that competitors may be able to circumvent our remaining patents by developing similar or alternate technologies or products in a non-infringing manner is increased.</w:t>
      </w:r>
    </w:p>
    <w:p>
      <w:pPr>
        <w:spacing w:after="0" w:line="111"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231F20"/>
        </w:rPr>
        <w:t>Additionally, competitors could purchase TriNav or our other products and attempt to replicate some or all of the competitive advantages we derive from our development efforts, design around our protected technology or develop their own competitive technologies that fall outside of our intellectual property rights.</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 the past been, and may in the future be, subject to claims challenging the inventorship or ownership of our patents and other intellectual property.</w:t>
      </w:r>
    </w:p>
    <w:p>
      <w:pPr>
        <w:spacing w:after="0" w:line="9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The issuance of a patent is not conclusive as to our inventorship, scope, validity or enforceability, and our owned and licensed patents have in the past been, and in the future may be, challenged in the courts or patent offices in the United States and abroad. For example, in October 2017, an individual filed a suit against Legacy TriSalus in the United States District Court, District of Colorado asserting joint inventorship of six patents assigned to Legacy TriSalus. The individual sought to be added as a co-inventor and co-owner of the patents in question. A stipulated dismissal order was entered in June 2021 with the court dismissing the plaintiff’s case with prejudice. In the future, we may face similar or other challenges by third parties, former employees or collaborators with respect to ownership interest in the patents and intellectual property that we own or license at the time. We could be subject to ownership disputes arising, for example, from conflicting obligations of consultants or others who are involved in developing our products or product candidates. While it is our policy to require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Legacy-TriSalus owned. To the extent that we license intellectual property from a third party, such licensors may face similar obstacles. In addition, we have not updated the records in certain foreign patent offices to reflect our ownership of certain expired foreign patents relating to nelitolimod, but have recorded our ownership for at least the expired foreign patents acquired from Dynavax relating to composition of matter for nelitolimod in Australia, Canada, Austria, Germany, Denmark, Estonia, the UK, Hong Kong, Ireland, Luxembourg, Portugal, New Zealand, and Singapore. Failure to update such ownership may result in a purchaser potentially acquiring rights in such patents that are adverse to our interests. Litigation may be necessary to defend against any claims challenging inventorship or ownership and such litigation may be costly.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0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identify relevant third-party patents or may incorrectly interpret the relevance, scope or expiration of a third-party patent, which might adversely affect our ability to develop and market our products and product candidates.</w:t>
      </w:r>
    </w:p>
    <w:p>
      <w:pPr>
        <w:spacing w:after="0" w:line="9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To the extent undertaken,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United States and abroad that is or may be relevant to or necessary for the commercialization of our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certain United States patent applications can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product candidates or the use of our products and product candidates.</w:t>
      </w:r>
    </w:p>
    <w:p>
      <w:pPr>
        <w:spacing w:after="0" w:line="106"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231F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product candidates. We may incorrectly determine that our products or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and product candidates.</w:t>
      </w:r>
    </w:p>
    <w:p>
      <w:pPr>
        <w:spacing w:after="0" w:line="12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product candidates that are held to be infringing. 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1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Certain provisions in our intellectual property agreements may be susceptible to multiple interpretations.</w:t>
      </w:r>
    </w:p>
    <w:p>
      <w:pPr>
        <w:spacing w:after="0" w:line="15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Disputes may arise between us and any of these counterparties regarding intellectual property rights that are subject to such agreements, including, but not limited to:</w:t>
      </w:r>
    </w:p>
    <w:p>
      <w:pPr>
        <w:spacing w:after="0" w:line="5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of rights granted under the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ownership of inventions and know-how resulting from the joint creation or use of intellectual property by our licensors and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transfer or assign our license;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effects of termination.</w:t>
      </w:r>
    </w:p>
    <w:p>
      <w:pPr>
        <w:spacing w:after="0" w:line="15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231F20"/>
        </w:rPr>
        <w:t>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under any agreements, we may be required to pay damages and could lose intellectual property rights that are necessary or useful for developing and protecting our product candidates.</w:t>
      </w:r>
    </w:p>
    <w:p>
      <w:pPr>
        <w:spacing w:after="0" w:line="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Dynavax has represented to us that we were given all intellectual property rights related to nelitolimod pursuant to the Dynavax Agreement. Pursuant to the Dynavax Agreement, we are obligated to pay up to $250 million upon the achievement of certain development, regulatory, and commercial milestones and low double-digit royalties based on potential future net sales of products containing the nelitolimod compound. Additionally, we are responsible for prosecution and maintenance of the acquired patents with obligations to keep Dynavax reasonably informed of the status thereof.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any licensor may have the right to terminate the license, which could result in us being unable to develop, manufacture and sell products that are covered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by the licensed technology, or having to negotiate new or reinstated licenses on less favorable terms, or enable a competitor to gain access to the licensed technology.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 to our business.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 In addition, the degree of future protection afforded by our intellectual property rights is uncertain because even granted intellectual property rights have limitations, and may not adequately protect our business. The following examples are illustrative:</w:t>
      </w:r>
    </w:p>
    <w:p>
      <w:pPr>
        <w:spacing w:after="0" w:line="79" w:lineRule="exact"/>
        <w:rPr>
          <w:sz w:val="20"/>
          <w:szCs w:val="20"/>
          <w:color w:val="auto"/>
        </w:rPr>
      </w:pPr>
    </w:p>
    <w:p>
      <w:pPr>
        <w:ind w:left="660" w:right="1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be able to make formulations that are similar to our product candidates or other formulations but that are not covered by the claims of our patents that we own or have exclusively licensed;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patents of third parties may have an adverse effect on our business;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any current or future strategic partners and/or collaborators might not have been the first to conceive or reduce to practice the inventions covered by the issued patent or pending patent application that we own;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any of our current or future strategic partners and/or collaborators might not have been the first to file patent applications covering certain of our inventions;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issued patents that we may own or that we exclusively license in the future may not provide us with any competitive advantage,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competitors might conduct research and development activities in the United States and in other countries that provide a safe harbor from patent infringement claims for such activities, as well in countries where we do not have patent rights and then use the information learned from such activities to develop competitive products for sale in our existing or intended commercial markets;</w:t>
      </w:r>
    </w:p>
    <w:p>
      <w:pPr>
        <w:spacing w:after="0" w:line="6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 parties performing manufacturing or testing for us using our product candidates could use the intellectual property of others without obtaining a proper license;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choose not to file a patent application for certain technologies, trade secrets or know-how, and a third party may subsequently file a patent covering such intellectual property.</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Should any of these events occur, they could have a material adverse effect on our business, financial condition, results of operations and prospects.</w:t>
      </w:r>
    </w:p>
    <w:p>
      <w:pPr>
        <w:spacing w:after="0" w:line="14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validity, scope and enforceability of any of our patents can be challenged by third parties and any lawsuits to protect or enforce our patents could be expensive, time consuming and unsuccessful.</w:t>
      </w:r>
    </w:p>
    <w:p>
      <w:pPr>
        <w:spacing w:after="0" w:line="9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Competitors or other third parties may infringe our patents or the patents of any party from whom we may license patents from in the future. To counter infringement or unauthorized use, we may be required to file infringement claims, which can be expensive and time-consuming. In a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A court may decide that a patent of ours or of any of our future licensors is not valid or is unenforceable, or may refuse to stop the other party from using the technology at issue on the grounds that our patents do not cover the technology in question. In addition, to the extent that we have to file patent litigation in a federal court against a U.S. patent holder, we would be required to initiate the proceeding in the state of incorporation or residency of such entity. With respect to the validity question, for example, we cannot be certain that no invalidating prior art exists. An adverse result in any litigation or defense proceedings could put one or more of our patents at risk of being invalidated, found unenforceable,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231F20"/>
        </w:rPr>
        <w:t>or interpreted narrowly, and it could put our patent applications at risk of not issuing. Defense of these claims, regardless of their merit, would involve substantial litigation expense and would be a substantial diversion of employee resources from our business. If a defendant were to prevail on a legal assertion of invalidity or unenforceability, we would lose at least part, and perhaps all, of the patent protection on one or more of our products or certain product candidates or aspects of the TriNav or other technology. Such a loss of patent protection could compromise our ability to pursue our business strategy.</w:t>
      </w:r>
    </w:p>
    <w:p>
      <w:pPr>
        <w:spacing w:after="0" w:line="1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Interference proceedings brought by the USPTO may be necessary to determine the priority of inventions with respect to our patents and patent applications or those of our collaborators or licensors. An unfavorable outcome could require us to cease using the technology or to attempt to license rights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with our licensees, or with any of our future licensors, misappropriation of our proprietary rights,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Moreover, we may be subject to a third-party pre-issuance submission of prior art to the USPTO or other foreign patent offices,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products or product candidates and compete directly with us, without payment to us, or result in our inability to manufacture or commercialize our products or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products or product candidates.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If one of our product candidates is approved by the FDA, one or more third parties may challenge the current patents, or patents that may issue in the future, within our portfolio which could result in the invalidation of, or render unenforceable, some or all of the relevant patent claims or a finding of non-infringement. For example, if a third party submits an application under Section 505(b)(2) or an ANDA, for a generic drug containing any of our product candidates, and relies in whole or in part on studies conducted by or for us, the third party will be required to certify to the FDA that either: (1) there is no patent information listed in the FDA’s publication Approved Drug Products with Therapeutic Equivalence Evaluations, which we refer to as the Orange Book, with respect to our New Drug Application (“NDA”) for the applicable approved product candidate; (2) the patents listed in the Orange Book have expired; (3) the listed patents have not expired, but will expire on a particular date and approval is sought after patent expiration; or (4) the listed patents are invalid, unenforceable or will not be infringed by the manufacture, use or sale of the third party’s generic drug. A certification that the new drug will not infringe the Orange Book-listed patents for the applicable approved product candidate, or that such patents are invalid or unenforceable, is called a “paragraph IV certification.” If the third party submits a paragraph IV certification to the FDA, a notice of the paragraph IV certification must also be sent to us within 20 days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15"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231F20"/>
        </w:rPr>
        <w:t>Moreover, a third party may challenge the current patents, or patents that may be issued in the future, within our portfolio which could result in the invalidation of some or all of the patents that might otherwise be eligible for listing in the Orange Book for one of our product candidates. If a third party successfully challenges all of the patents that might otherwise be eligible for listing in the Orange Book for one of our product candidates, we will not be entitled to the 30-month stay of FDA approval upon the filing of an ANDA for a generic drug containing the applicable product candidate.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protection under the Hatch-Waxman Amendments by obtaining data exclusivity, our business may be harmed. *</w:t>
      </w:r>
    </w:p>
    <w:p>
      <w:pPr>
        <w:spacing w:after="0" w:line="14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Our commercial success will largely depend on our ability to retain with respect to TriNav and other device technologies, and obtain with respect to nelitolimod and other product candidates, market exclusivity in the United States and other countries. Depending upon the timing, duration and specifics of FDA marketing approval of our product candidates, certain of our product candidates may be eligible for marketing exclusivity.</w:t>
      </w:r>
    </w:p>
    <w:p>
      <w:pPr>
        <w:spacing w:after="0" w:line="10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Federal Food, Drug and Cosmetic Act provides a five-year period of non-patent marketing exclusivity within the United States to the first applicant to obtain approval of an NDA or Section 505(b)(2) NDA for a new chemical entity, or NCE. An NCE is a drug that contains no active moiety (the molecule or ion responsible for the action of the drug substance) that has been approved by FDA in any other NDA submitted under section 505(b) of the FDC Act. During the five-year NCE exclusivity period, the FDA may not approve an abbreviated new drug application, or ANDA, or a Section 505(b)(2) NDA submitted by another company for another version of such drug where the applicant does not own or have a legal right of reference to all the data required for approval. However, an application may be submitted after four years if it contains a paragraph IV certification of patent invalidity, unenforceability, or non-infringement to one of the patents listed in the Orange Book, with the FDA by the innovator NDA holder.</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The FDC Act also provides three years of marketing exclusivity for an NDA, or supplement to an existing NDA if new clinical investigations for a previously-approved active moiety,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prohibits the FDA from approving an ANDA, or a Section 505(b)</w:t>
      </w:r>
    </w:p>
    <w:p>
      <w:pPr>
        <w:spacing w:after="0" w:line="3" w:lineRule="exact"/>
        <w:rPr>
          <w:sz w:val="20"/>
          <w:szCs w:val="20"/>
          <w:color w:val="auto"/>
        </w:rPr>
      </w:pPr>
    </w:p>
    <w:p>
      <w:pPr>
        <w:ind w:right="160" w:firstLine="8"/>
        <w:spacing w:after="0" w:line="260" w:lineRule="auto"/>
        <w:tabs>
          <w:tab w:leader="none" w:pos="2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NDA submitted by another company with overlapping conditions associated with the new clinical investigations for the three-year period. Three- year exclusivity does not prohibit the FDA from approving ANDAs for drugs containing the original conditions of use, i.e., original indications.</w:t>
      </w:r>
    </w:p>
    <w:p>
      <w:pPr>
        <w:spacing w:after="0" w:line="10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If we are unable to obtain such marketing exclusivity for our product candidates, our competitors may be able to take advantage of our investment in development and clinical trials by referencing our approval to obtain approval of competing products and launch their product earlier than might otherwise be the case.</w:t>
      </w:r>
    </w:p>
    <w:p>
      <w:pPr>
        <w:spacing w:after="0" w:line="104"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are not adequately protected, then we may not be able to build name recognition in our markets of interest and our business may be adversely affected.</w:t>
      </w:r>
    </w:p>
    <w:p>
      <w:pPr>
        <w:spacing w:after="0" w:line="91"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231F20"/>
        </w:rPr>
        <w:t>We rely on trademarks as one means to distinguish any of our products or product candidates that are approved for marketing from the products of our competitors. TriNav</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Pressure-Enabled Drug Delivery™ (PEDD™) are our trademarks and, in the United States, our trademarks may be challenged, infringed, circumvented or declared descriptive or generic or determined to be infringing on other marks. We may not be able to protect our rights to these trademarks or may be forced to stop using these names, which we need for name recognition by potential partners or customers in our markets of interest. If we are unable to establish name recognition based on our trademarks, we may not be able to compete effectively.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Ownership of Our Securities</w:t>
      </w:r>
    </w:p>
    <w:p>
      <w:pPr>
        <w:spacing w:after="0" w:line="14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1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limited experience operating as a United States public company. Certain of our executive officers lack experience in managing a United States public company, which makes their ability to comply with applicable laws, rules and regulations uncertain. Our failure to comply with all laws, rules and regulations applicable to United States public companies could subject us and our management to regulatory scrutiny or sanction, which could harm our reputation and share price.</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have limited experience preparing and filing periodic or other reports with the SEC or complying with the other requirements of United States federal securities laws applicable to public companies. We also have limited experience establishing and maintaining the disclosure controls and procedures and internal controls over financial reporting applicable to a public company in the United States, including the Sarbanes- Oxley Act. Although we are in the process of developing and implementing our governance, compliance, risk management and control framework and culture required for a public company, we may not be able to meet the requisite standards expected by the SEC and/or our investors. We may also encounter errors, mistakes and lapses in processes and controls resulting in failures to meet the requisite standards expected of a public company.</w:t>
      </w:r>
    </w:p>
    <w:p>
      <w:pPr>
        <w:spacing w:after="0" w:line="10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As a United States public reporting company, we incur significant legal, accounting, insurance, compliance, and other expenses. We cannot predict or estimate the amount of additional costs we may incur or the timing of such costs. Compliance with reporting, internal control over financial reporting and corporate governance obligations requires members of our management and our finance and accounting staff to divert time and resources from other responsibilities to ensure these new regulatory requirements are fulfilled.</w:t>
      </w:r>
    </w:p>
    <w:p>
      <w:pPr>
        <w:spacing w:after="0" w:line="11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If we fail to adequately implement the required governance and control framework, we could be at greater risk of failing to comply with the rules or requirements associated with being a public company. Such failure could result in the loss of investor confidence, could harm our reputation, and cause the market price of our securities to decline. Other challenges in complying with these regulatory requirements may arise because we may not be able to complete our evaluation of compliance and any required remediation in a timely fashion. Furthermore, any current or future controls may be considered as inadequate due to changes or increased complexity in regulations, our operating environment or other reasons.</w:t>
      </w:r>
    </w:p>
    <w:p>
      <w:pPr>
        <w:spacing w:after="0" w:line="116"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Due to inadequate governance and internal control policies, misstatements or omissions due to error or fraud may occur and may not be detected, which could result in failures to make required filings in a timely manner and make filings containing incorrect or misleading information. Any of these outcomes could result in SEC enforcement actions, monetary fines or other penalties, as well as damage to our reputation, business, financial condition, operating results and share price.</w:t>
      </w:r>
    </w:p>
    <w:p>
      <w:pPr>
        <w:spacing w:after="0" w:line="9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incurred and will continue to incur increased costs as a result of operating as a public company, and our management now devotes substantial time to new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107"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As a public company, and particularly after we are no longer an “emerging growth company,” we incur significant legal, accounting, and other expenses that we did not incur as a private company, including costs resulting from public company reporting obligations under the Securities Act and the Exchange Act, and regulations regarding corporate governance practices. The Sarbanes-Oxley Act, the Dodd-Frank Wall Street Reform and Consumer Protection Act, the rules of the SEC,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becoming a public company, and our management and other personnel devotes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or committees of the Board or to serve as executive officers, or to obtain certain types of insurance, including directors’ and officers’ insurance, on acceptable terms.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Pursuant to Sarbanes-Oxley Act Section 404, we are required to furnish a report by our management on our internal control over financial reporting. In order to continue to maintain effective internal controls to support growth and public company requirements, we will need additional financial personnel, systems and resources. However, while we remain an emerging growth company, we are not required to include an attestation report on internal control over financial reporting issued by our independent registered public accounting firm. To achieve compliance with Section 404 of the Sarbanes-Oxley Act within the prescribed period, we are engaged in a process to enhance our documentation and evaluate our internal control over financial reporting, which is both costly and challenging. In this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31F20"/>
        </w:rPr>
        <w:t>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Sarbanes-Oxley Act Section 404. Our management has identified material weaknesses and, in the future, our management may identify one or more material weaknesses, which could result in an adverse reaction in the financial markets due to a loss of confidence in the reliability of our financial statements.</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management has identified material weaknesses in its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 *</w:t>
      </w:r>
    </w:p>
    <w:p>
      <w:pPr>
        <w:spacing w:after="0" w:line="18" w:lineRule="exact"/>
        <w:rPr>
          <w:sz w:val="20"/>
          <w:szCs w:val="20"/>
          <w:color w:val="auto"/>
        </w:rPr>
      </w:pPr>
    </w:p>
    <w:p>
      <w:pPr>
        <w:ind w:right="760" w:firstLine="324"/>
        <w:spacing w:after="0" w:line="281" w:lineRule="auto"/>
        <w:rPr>
          <w:sz w:val="20"/>
          <w:szCs w:val="20"/>
          <w:color w:val="auto"/>
        </w:rPr>
      </w:pPr>
      <w:r>
        <w:rPr>
          <w:rFonts w:ascii="Times New Roman" w:cs="Times New Roman" w:eastAsia="Times New Roman" w:hAnsi="Times New Roman"/>
          <w:sz w:val="18"/>
          <w:szCs w:val="18"/>
          <w:color w:val="231F20"/>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spacing w:after="0" w:line="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In connection with our audited consolidated financial statements for the years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and our unaudited condensed consolidated financial statements for the </w:t>
      </w:r>
      <w:r>
        <w:rPr>
          <w:rFonts w:ascii="Times New Roman" w:cs="Times New Roman" w:eastAsia="Times New Roman" w:hAnsi="Times New Roman"/>
          <w:sz w:val="18"/>
          <w:szCs w:val="18"/>
          <w:color w:val="000000"/>
        </w:rPr>
        <w:t>nine months ended September 30, 2024</w:t>
      </w:r>
      <w:r>
        <w:rPr>
          <w:rFonts w:ascii="Times New Roman" w:cs="Times New Roman" w:eastAsia="Times New Roman" w:hAnsi="Times New Roman"/>
          <w:sz w:val="18"/>
          <w:szCs w:val="18"/>
          <w:color w:val="231F20"/>
        </w:rPr>
        <w:t>, management identified material weaknesses in its internal control over financial reporting with respect to (i) a lack of sufficient number of trained resources with the appropriate skills and knowledge and with assigned responsibilities and accountability for the design and operation of internal controls over financial reporting, accounting for costs associated with the SEPA, patent costs, accounting for the Exchange Warrants, accounting for the Credit Agreement with OrbiMed, including the Initial OrbiMed Commitment Amount and the related derivative financial instruments, and certain R&amp;D accruals; (ii) inadequate controls over accounting and financial reporting for the Business Combination; (iii) inadequate internal controls over the valuation of derivative financial instruments, including the warrant and tranche rights and obligations and liabilities resulting from the series B-2 preferred stock financing; and the revenue base redemption liability associated with the Initial Commitment Amount; and (iv) inadequate controls of the conversion of data from our legacy equity management system to our new system and assumptions used to calculate fair value of certain equity awards; each described in more detail under the heading Part I — Item 4. Controls and Procedures elsewhere in this Quarterly Report.</w:t>
      </w:r>
    </w:p>
    <w:p>
      <w:pPr>
        <w:spacing w:after="0" w:line="12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the date of this filing, we have hired all of the additional trained resources with such requisite experience.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spacing w:after="0" w:line="12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Furthermore, we cannot assure you that the remediation measures taken to date, and the actions we may take in the future, will be sufficient to remediate the control deficiencies that led to the material weaknesses in our internal controls over financial reporting described above or that we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material errors in our annual or interim financial statements. In such case, we may be unable to maintain compliance with securities law requirements regarding timely filing of periodic reports in addition to the listing requirements of Nasdaq, investors may lose confidence in our financial reporting and our stock price may decline as a result. In addition, we could be subject to sanctions or investigations by the SEC, Nasdaq or other regulatory authorities as well as stockholder litigation which would require additional financial and management resources, and investors may lose confidence in our financial reporting and our stock price may decline as a result. As a result, our ability to obtain financing, or financing on favorable terms, could be materially and adversely affected, which in turn, could materially and adversely affect our business, financial condition and the market value of our securities and require us to incur additional costs to improve our internal control systems and procedures. In addition, perceptions of us among customers, partners, investors, securities analysts and others could also be adversely affected.</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As a public company, we are required to comply with the requirements of the Sarbanes-Oxley Act, including, among other things, maintaining effective disclosure controls and procedures and internal control over financial reporting. We continue to develop and refine our disclosure controls and other procedures that are designed to ensure 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We may, however, be unable to meet the time periods specified in the SEC rules and forms. For example, prior to the filing of the Annual Report on Form 10-K for the year ending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we filed a Form 12b-25 (Notification of Late Filing) with the SEC to avail ourselves of a 15-day extension to file the Annual Report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on Form 10-K. The need for the extension was primarily due to the calculation of non-cash stock compensation caused by data errors associated with a transition to a new service provider in 2023.</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must continue to improve our internal control over financial reporting. Our management will be required to make a formal assessment of the effectiveness of our internal control over financial reporting pursuant to Sarbanes-Oxley Act Section 404(a), and we may in the future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w:t>
      </w:r>
    </w:p>
    <w:p>
      <w:pPr>
        <w:spacing w:after="0" w:line="10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231F20"/>
        </w:rPr>
        <w:t>There is a risk that we will not be able to conclude, within the prescribed time period or at all, that our internal control over financial reporting is effective as required by Section 404 of the Sarbanes-Oxley Act.</w:t>
      </w:r>
    </w:p>
    <w:p>
      <w:pPr>
        <w:spacing w:after="0" w:line="9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securities has been and may continue to be volatile. *</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price of our securities has been and may continue to be volatile. From August 11, 2023, the date following the Business Combination, through </w:t>
      </w:r>
      <w:r>
        <w:rPr>
          <w:rFonts w:ascii="Times New Roman" w:cs="Times New Roman" w:eastAsia="Times New Roman" w:hAnsi="Times New Roman"/>
          <w:sz w:val="18"/>
          <w:szCs w:val="18"/>
          <w:color w:val="000000"/>
        </w:rPr>
        <w:t>November 8, 2024</w:t>
      </w:r>
      <w:r>
        <w:rPr>
          <w:rFonts w:ascii="Times New Roman" w:cs="Times New Roman" w:eastAsia="Times New Roman" w:hAnsi="Times New Roman"/>
          <w:sz w:val="18"/>
          <w:szCs w:val="18"/>
          <w:color w:val="231F20"/>
        </w:rPr>
        <w:t>, our common stock price has fluctuated from a low of</w:t>
      </w:r>
      <w:r>
        <w:rPr>
          <w:rFonts w:ascii="Times New Roman" w:cs="Times New Roman" w:eastAsia="Times New Roman" w:hAnsi="Times New Roman"/>
          <w:sz w:val="18"/>
          <w:szCs w:val="18"/>
          <w:color w:val="000000"/>
        </w:rPr>
        <w:t xml:space="preserve"> $3.62 </w:t>
      </w:r>
      <w:r>
        <w:rPr>
          <w:rFonts w:ascii="Times New Roman" w:cs="Times New Roman" w:eastAsia="Times New Roman" w:hAnsi="Times New Roman"/>
          <w:sz w:val="18"/>
          <w:szCs w:val="18"/>
          <w:color w:val="231F20"/>
        </w:rPr>
        <w:t>to a high of</w:t>
      </w:r>
      <w:r>
        <w:rPr>
          <w:rFonts w:ascii="Times New Roman" w:cs="Times New Roman" w:eastAsia="Times New Roman" w:hAnsi="Times New Roman"/>
          <w:sz w:val="18"/>
          <w:szCs w:val="18"/>
          <w:color w:val="000000"/>
        </w:rPr>
        <w:t xml:space="preserve"> $12.00 </w:t>
      </w:r>
      <w:r>
        <w:rPr>
          <w:rFonts w:ascii="Times New Roman" w:cs="Times New Roman" w:eastAsia="Times New Roman" w:hAnsi="Times New Roman"/>
          <w:sz w:val="18"/>
          <w:szCs w:val="18"/>
          <w:color w:val="231F20"/>
        </w:rPr>
        <w:t>per share, and the price of our Public Warrants has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fluctuated from a low of </w:t>
      </w:r>
      <w:r>
        <w:rPr>
          <w:rFonts w:ascii="Times New Roman" w:cs="Times New Roman" w:eastAsia="Times New Roman" w:hAnsi="Times New Roman"/>
          <w:sz w:val="18"/>
          <w:szCs w:val="18"/>
          <w:color w:val="000000"/>
        </w:rPr>
        <w:t>$0.01</w:t>
      </w:r>
      <w:r>
        <w:rPr>
          <w:rFonts w:ascii="Times New Roman" w:cs="Times New Roman" w:eastAsia="Times New Roman" w:hAnsi="Times New Roman"/>
          <w:sz w:val="18"/>
          <w:szCs w:val="18"/>
          <w:color w:val="231F20"/>
        </w:rPr>
        <w:t xml:space="preserve"> to a high of </w:t>
      </w:r>
      <w:r>
        <w:rPr>
          <w:rFonts w:ascii="Times New Roman" w:cs="Times New Roman" w:eastAsia="Times New Roman" w:hAnsi="Times New Roman"/>
          <w:sz w:val="18"/>
          <w:szCs w:val="18"/>
          <w:color w:val="000000"/>
        </w:rPr>
        <w:t>$3.02</w:t>
      </w:r>
      <w:r>
        <w:rPr>
          <w:rFonts w:ascii="Times New Roman" w:cs="Times New Roman" w:eastAsia="Times New Roman" w:hAnsi="Times New Roman"/>
          <w:sz w:val="18"/>
          <w:szCs w:val="18"/>
          <w:color w:val="231F20"/>
        </w:rPr>
        <w:t xml:space="preserve"> per Public Warrant. The price of our Common Stock and Public Warrants may continue to fluctuate in the future due to a variety of factors, including, without limitation:</w:t>
      </w:r>
    </w:p>
    <w:p>
      <w:pPr>
        <w:spacing w:after="0" w:line="7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volume and timing of sales of TriNav or other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introduction of new products or product enhancements by us or others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and results of clinical trials of any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actions with respect to our product candidates or our competitors’ products and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by us or our competitors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establishment or termination of collaborations for our product candidates or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expenses related to any of our product candidates or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actual or anticipated changes in estimates as to financial results or development timelines;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additions and departures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and regulations affecting our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involvement in, litigation involving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capital structure, such as future issuances of securities or the incurrence of (or inability to incur) additional debt;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volume of shares of Common Stock available for public sale;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and political conditions, such as recessions, interest rates, social, political and economic risks and acts of war or terrorism; and</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0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These market and industry factors may materially reduce the market price of our securities regardless of our operating performance. It is also possible that an active trading market will not be sustained. Any of these effects would make it difficult to sell our securities at an attractive price or at all.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maintain the listing of our securities on Nasdaq in the future.</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We cannot guarantee that our securities will continue to be listed on Nasdaq. If we fail to meet the requirements of the applicable listing rules, such failure may result in a suspension of the trading of our shares or delisting in the future.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w:t>
      </w:r>
    </w:p>
    <w:p>
      <w:pPr>
        <w:spacing w:after="0" w:line="7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reduced liquidity for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amount of news and analyst coverage for the company;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decreased ability to issue additional securities or obtain additional financing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Unstable market and economic conditions may have serious adverse consequences on our business, financial condition and share price.</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Russia’s ongoing incursion of Ukraine has created extreme volatility in the global capital markets and disrupted global supply chain and energy markets; it is possible that the war in the Middle East may have similar effects. There have also recently been disruptions to the U.S. banking system due to bank failures.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could also increase customers’ operating costs, which could result in reduced budgets for customers and potentially less demand for our products and services. Any significant increases in inflation and related increase in interest rates could have a material adverse effect on our business, results of operations and financial condition.</w:t>
      </w:r>
    </w:p>
    <w:p>
      <w:pPr>
        <w:spacing w:after="0" w:line="12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operating and financial performance in any given period does not meet the guidance provided to the public or the expectations of investment analysts, the market price of Common Stock may decline.</w:t>
      </w:r>
    </w:p>
    <w:p>
      <w:pPr>
        <w:spacing w:after="0" w:line="200" w:lineRule="exact"/>
        <w:rPr>
          <w:sz w:val="20"/>
          <w:szCs w:val="20"/>
          <w:color w:val="auto"/>
        </w:rPr>
      </w:pPr>
    </w:p>
    <w:p>
      <w:pPr>
        <w:spacing w:after="0" w:line="3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231F20"/>
        </w:rPr>
        <w:t>We may, but are not obligated to, provide public guidance on our expected operating and financial results for future periods. Any such guidance will consist of forward-looking statements, subject to the risks and uncertainties described in this filing and in our public filings and public statements. The ability to provide this public guidance, and the ability to accurately forecast our results of operations, will be impacted by a number of factors, many of which are out of our control.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if we reduce our guidance for future periods, the market price of Common Stock may decline as well. Even if we issue public guidance, there can be no assurance that we will continue to do so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could be subject to securities class action litigation.</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231F20"/>
        </w:rPr>
        <w:t>In the past, securities class action litigation has often been brought against a company following a decline in the market price of our securities. This risk is especially relevant for us because life sciences companies have experienced significant stock price volatility in recent years. If we face such litigation, it could result in substantial costs and a diversion of management’s attention and our resources, which could harm our business.</w:t>
      </w:r>
    </w:p>
    <w:p>
      <w:pPr>
        <w:spacing w:after="0" w:line="10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Reports published by analysts, including projections in those reports that differ from our actual results, could adversely affect the price and trading volume of our securities.</w:t>
      </w:r>
    </w:p>
    <w:p>
      <w:pPr>
        <w:spacing w:after="0" w:line="7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Securities research analysts may establish and publish their own periodic projections of us. These projections may vary widely and may not accurately predict the results that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to continue, if analysts cease to continue coverage of us, the market price and volume for our securities could be adversely affected.</w:t>
      </w:r>
    </w:p>
    <w:p>
      <w:pPr>
        <w:spacing w:after="0" w:line="11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Sales of our securities or the perception of such sales, by us or our equity holders, in the public market or otherwise, could cause the market price for our securities to decline. *</w:t>
      </w:r>
    </w:p>
    <w:p>
      <w:pPr>
        <w:spacing w:after="0" w:line="9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9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Certain of our equity holders acquired securities at prices that are significantly less than the current trading price of our Common Stock. We have filed a registration statement (the "Resale S-1") relating to the offer and sale from time to time by certain equity holders or their permitted transferees of (i) up to 52,536,549 shares of Common Stock consisting of (a) up to 25,237,094 shares of Common Stock that are issuable upon the conversion of the 4,015,002 PIPE Shares, issued at a price of $10.00 per share, (b) up to 4,062,500 Founder Shares originally issued in a private placement to the Sponsor prior to MTAC’s initial public offering at a price of approximately $0.006 per share, including 3,125,000 Founder Shares subject to vesting and forfeiture, (c) up to 1,452,965 shares of Common Stock issuable upon exercise of the Assumed Options initially granted by Legacy TriSalus, at a weighted average price of $2.51 per share, (d) up to 86,148 shares of Common Stock issuable upon the settlement of Assumed RSUs that were initially granted by Legacy TriSalus,</w:t>
      </w:r>
    </w:p>
    <w:p>
      <w:pPr>
        <w:spacing w:after="0" w:line="3" w:lineRule="exact"/>
        <w:rPr>
          <w:sz w:val="20"/>
          <w:szCs w:val="20"/>
          <w:color w:val="auto"/>
        </w:rPr>
      </w:pPr>
    </w:p>
    <w:p>
      <w:pPr>
        <w:ind w:firstLine="8"/>
        <w:spacing w:after="0" w:line="252" w:lineRule="auto"/>
        <w:tabs>
          <w:tab w:leader="none" w:pos="24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 to 4,933,333 shares of Common Stock issuable upon exercise of the Private Placement Warrants at a price of $11.50 per share and (f) up to 8,281,779 shares of Common Stock that are issuable upon the exercise of the Public Warrants at a price of $11.50 per share and (ii) up to 5,933,333 warrants consisting of (a) up to 4,933,333 Private Placement Warrants and (b) up to 1,000,000 Conversion Warrants. We have also filed a registration statement (the "Affiliate S-3") relating to the offer and sale from time to time by certain equity holders or their permitted transferees of up to 10,587,582 shares of Common Stock issued pursuant to the Merger Agreement. Defined terms used in this discussion that are not defined in this Quarterly Report shall have the meaning provided to such term in the Resale S-1 and Affiliate S-3, as applicable.</w:t>
      </w:r>
    </w:p>
    <w:p>
      <w:pPr>
        <w:spacing w:after="0" w:line="8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Our stockholders will be able to sell all of their securities held for so long as the Resale S-1 is in effect. Certain of our selling securityholders acquired the Common Stock at prices that are significantly lower than the current trading price of our Common Stock. Even if the trading price of our Common Stock falls to or significantly below the current trading price, certain of our securityholders may still have an incentive to sell and profit due to the nominal purchase prices paid by such selling securityholders, which are significantly lower than the purchase prices they paid.</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Warrants are exercisable for Common Stock, the exercise of which would increase the number of shares eligible for future resale in the public market and result in dilution to our stockholders. *</w:t>
      </w:r>
    </w:p>
    <w:p>
      <w:pPr>
        <w:spacing w:after="0" w:line="10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Following the closing of the offer and Consent Solicitation on </w:t>
      </w:r>
      <w:r>
        <w:rPr>
          <w:rFonts w:ascii="Times New Roman" w:cs="Times New Roman" w:eastAsia="Times New Roman" w:hAnsi="Times New Roman"/>
          <w:sz w:val="18"/>
          <w:szCs w:val="18"/>
          <w:color w:val="000000"/>
        </w:rPr>
        <w:t>July 1, 2024, there were approximately 1,751,825</w:t>
      </w:r>
      <w:r>
        <w:rPr>
          <w:rFonts w:ascii="Times New Roman" w:cs="Times New Roman" w:eastAsia="Times New Roman" w:hAnsi="Times New Roman"/>
          <w:sz w:val="18"/>
          <w:szCs w:val="18"/>
          <w:color w:val="231F20"/>
        </w:rPr>
        <w:t xml:space="preserve"> Public Warrants to purchase an aggregate of </w:t>
      </w:r>
      <w:r>
        <w:rPr>
          <w:rFonts w:ascii="Times New Roman" w:cs="Times New Roman" w:eastAsia="Times New Roman" w:hAnsi="Times New Roman"/>
          <w:sz w:val="18"/>
          <w:szCs w:val="18"/>
          <w:color w:val="000000"/>
        </w:rPr>
        <w:t>1,751,825</w:t>
      </w:r>
      <w:r>
        <w:rPr>
          <w:rFonts w:ascii="Times New Roman" w:cs="Times New Roman" w:eastAsia="Times New Roman" w:hAnsi="Times New Roman"/>
          <w:sz w:val="18"/>
          <w:szCs w:val="18"/>
          <w:color w:val="231F20"/>
        </w:rPr>
        <w:t xml:space="preserve"> shares of Common Stock, </w:t>
      </w:r>
      <w:r>
        <w:rPr>
          <w:rFonts w:ascii="Times New Roman" w:cs="Times New Roman" w:eastAsia="Times New Roman" w:hAnsi="Times New Roman"/>
          <w:sz w:val="18"/>
          <w:szCs w:val="18"/>
          <w:color w:val="000000"/>
        </w:rPr>
        <w:t>4,428,648</w:t>
      </w:r>
      <w:r>
        <w:rPr>
          <w:rFonts w:ascii="Times New Roman" w:cs="Times New Roman" w:eastAsia="Times New Roman" w:hAnsi="Times New Roman"/>
          <w:sz w:val="18"/>
          <w:szCs w:val="18"/>
          <w:color w:val="231F20"/>
        </w:rPr>
        <w:t xml:space="preserve"> Private Placement</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Warrants to purchase an aggregate of </w:t>
      </w:r>
      <w:r>
        <w:rPr>
          <w:rFonts w:ascii="Times New Roman" w:cs="Times New Roman" w:eastAsia="Times New Roman" w:hAnsi="Times New Roman"/>
          <w:sz w:val="18"/>
          <w:szCs w:val="18"/>
          <w:color w:val="000000"/>
        </w:rPr>
        <w:t>4,428,648</w:t>
      </w:r>
      <w:r>
        <w:rPr>
          <w:rFonts w:ascii="Times New Roman" w:cs="Times New Roman" w:eastAsia="Times New Roman" w:hAnsi="Times New Roman"/>
          <w:sz w:val="18"/>
          <w:szCs w:val="18"/>
          <w:color w:val="231F20"/>
        </w:rPr>
        <w:t xml:space="preserve"> shares of Common Stock and </w:t>
      </w:r>
      <w:r>
        <w:rPr>
          <w:rFonts w:ascii="Times New Roman" w:cs="Times New Roman" w:eastAsia="Times New Roman" w:hAnsi="Times New Roman"/>
          <w:sz w:val="18"/>
          <w:szCs w:val="18"/>
          <w:color w:val="000000"/>
        </w:rPr>
        <w:t>1,000,000</w:t>
      </w:r>
      <w:r>
        <w:rPr>
          <w:rFonts w:ascii="Times New Roman" w:cs="Times New Roman" w:eastAsia="Times New Roman" w:hAnsi="Times New Roman"/>
          <w:sz w:val="18"/>
          <w:szCs w:val="18"/>
          <w:color w:val="231F20"/>
        </w:rPr>
        <w:t xml:space="preserve"> Conversion Warrants to purchase an aggregate of </w:t>
      </w:r>
      <w:r>
        <w:rPr>
          <w:rFonts w:ascii="Times New Roman" w:cs="Times New Roman" w:eastAsia="Times New Roman" w:hAnsi="Times New Roman"/>
          <w:sz w:val="18"/>
          <w:szCs w:val="18"/>
          <w:color w:val="000000"/>
        </w:rPr>
        <w:t>1,000,000</w:t>
      </w:r>
      <w:r>
        <w:rPr>
          <w:rFonts w:ascii="Times New Roman" w:cs="Times New Roman" w:eastAsia="Times New Roman" w:hAnsi="Times New Roman"/>
          <w:sz w:val="18"/>
          <w:szCs w:val="18"/>
          <w:color w:val="231F20"/>
        </w:rPr>
        <w:t xml:space="preserve"> shares of Common Stock. The Private Placement Warrants and Conversion Warrants became exercisable on September 10, 2023, in accordance with the terms of the Warrant Agreement. The </w:t>
      </w:r>
      <w:r>
        <w:rPr>
          <w:rFonts w:ascii="Times New Roman" w:cs="Times New Roman" w:eastAsia="Times New Roman" w:hAnsi="Times New Roman"/>
          <w:sz w:val="18"/>
          <w:szCs w:val="18"/>
          <w:color w:val="000000"/>
        </w:rPr>
        <w:t>130,805</w:t>
      </w:r>
      <w:r>
        <w:rPr>
          <w:rFonts w:ascii="Times New Roman" w:cs="Times New Roman" w:eastAsia="Times New Roman" w:hAnsi="Times New Roman"/>
          <w:sz w:val="18"/>
          <w:szCs w:val="18"/>
          <w:color w:val="231F20"/>
        </w:rPr>
        <w:t xml:space="preserve"> Initial OrbiMed Warrant became exercisable on April 30, 2024. The exercise price of the remaining SPAC Warrants is $11.50 per share, or approximately </w:t>
      </w:r>
      <w:r>
        <w:rPr>
          <w:rFonts w:ascii="Times New Roman" w:cs="Times New Roman" w:eastAsia="Times New Roman" w:hAnsi="Times New Roman"/>
          <w:sz w:val="18"/>
          <w:szCs w:val="18"/>
          <w:color w:val="000000"/>
        </w:rPr>
        <w:t>$82.6 million</w:t>
      </w:r>
      <w:r>
        <w:rPr>
          <w:rFonts w:ascii="Times New Roman" w:cs="Times New Roman" w:eastAsia="Times New Roman" w:hAnsi="Times New Roman"/>
          <w:sz w:val="18"/>
          <w:szCs w:val="18"/>
          <w:color w:val="231F20"/>
        </w:rPr>
        <w:t xml:space="preserve"> in the aggregate, assuming none of the SPAC Warrants are exercised through “cashless” exercise. The exercise price of the Initial OrbiMed Warrant was initially </w:t>
      </w:r>
      <w:r>
        <w:rPr>
          <w:rFonts w:ascii="Times New Roman" w:cs="Times New Roman" w:eastAsia="Times New Roman" w:hAnsi="Times New Roman"/>
          <w:sz w:val="18"/>
          <w:szCs w:val="18"/>
          <w:color w:val="000000"/>
        </w:rPr>
        <w:t>$9.5562</w:t>
      </w:r>
      <w:r>
        <w:rPr>
          <w:rFonts w:ascii="Times New Roman" w:cs="Times New Roman" w:eastAsia="Times New Roman" w:hAnsi="Times New Roman"/>
          <w:sz w:val="18"/>
          <w:szCs w:val="18"/>
          <w:color w:val="231F20"/>
        </w:rPr>
        <w:t xml:space="preserve"> per share, or approximately $1.25 million in the aggregate, assuming none of the Initial OrbiMed Warrant is exercised through a "cashless" exercise. In the </w:t>
      </w:r>
      <w:r>
        <w:rPr>
          <w:rFonts w:ascii="Times New Roman" w:cs="Times New Roman" w:eastAsia="Times New Roman" w:hAnsi="Times New Roman"/>
          <w:sz w:val="18"/>
          <w:szCs w:val="18"/>
          <w:color w:val="000000"/>
        </w:rPr>
        <w:t>three months ended September 30, 2024</w:t>
      </w:r>
      <w:r>
        <w:rPr>
          <w:rFonts w:ascii="Times New Roman" w:cs="Times New Roman" w:eastAsia="Times New Roman" w:hAnsi="Times New Roman"/>
          <w:sz w:val="18"/>
          <w:szCs w:val="18"/>
          <w:color w:val="231F20"/>
        </w:rPr>
        <w:t xml:space="preserve">, the exercise price was adjusted pursuant to the terms of the Initial OrbiMed Warrant to </w:t>
      </w:r>
      <w:r>
        <w:rPr>
          <w:rFonts w:ascii="Times New Roman" w:cs="Times New Roman" w:eastAsia="Times New Roman" w:hAnsi="Times New Roman"/>
          <w:sz w:val="18"/>
          <w:szCs w:val="18"/>
          <w:color w:val="000000"/>
        </w:rPr>
        <w:t>$9.4487</w:t>
      </w:r>
      <w:r>
        <w:rPr>
          <w:rFonts w:ascii="Times New Roman" w:cs="Times New Roman" w:eastAsia="Times New Roman" w:hAnsi="Times New Roman"/>
          <w:sz w:val="18"/>
          <w:szCs w:val="18"/>
          <w:color w:val="231F20"/>
        </w:rPr>
        <w:t xml:space="preserve"> per share, or approximately $1.24 million in the aggregate, assuming none of the Initial OrbiMed Warrant is exercised through a "cashless" exercise. We have the unilateral right to reduce the exercise price of the SPAC Warrants, and may do so as a means of raising capital. Additionally, pursuant to the Warrant Amendment, we have the unilateral right to force conversion of the remaining 1,751,825 Public Warrants in exchange for 0.27 shares of Common Stock per Public Warrant. There is no guaranty that the warrant holders will exercise their Warrants at the current exercise price or any reduced exercise price. We believe the likelihood that warrant holders will exercise their Warrants, and therefore the amount of cash proceeds that we would receive, is dependent upon the trading price of our Common Stock. So long as the trading price for our Common Stock is less than $11.50 per share (or, if the exercise price is lowered, such lower exercise price), meaning the SPAC Warrants are “out of the money,” we believe holders of our SPAC Warrants that were issued will be unlikely to exercise their SPAC Warrants on a cash basis. Similarly, if the trading price of our Common Stock is below </w:t>
      </w:r>
      <w:r>
        <w:rPr>
          <w:rFonts w:ascii="Times New Roman" w:cs="Times New Roman" w:eastAsia="Times New Roman" w:hAnsi="Times New Roman"/>
          <w:sz w:val="18"/>
          <w:szCs w:val="18"/>
          <w:color w:val="000000"/>
        </w:rPr>
        <w:t>$9.4487</w:t>
      </w:r>
      <w:r>
        <w:rPr>
          <w:rFonts w:ascii="Times New Roman" w:cs="Times New Roman" w:eastAsia="Times New Roman" w:hAnsi="Times New Roman"/>
          <w:sz w:val="18"/>
          <w:szCs w:val="18"/>
          <w:color w:val="231F20"/>
        </w:rPr>
        <w:t xml:space="preserve">, meaning the Initial OrbiMed Warrant would be “out of the money,” we believe OrbiMed would be unlikely to exercise the Initial OrbiMed Warrant on a cash basis. Additionally, the Initial OrbiMed Warrant, as shown above, is subject to customary price-based anti-dilution protections, such that, in certain circumstances, if we issue shares of our common stock below the current exercise price of the Initial OrbiMed Warrant, including through sales under the SEPA, the exercise price of the Initial OrbiMed Warrant will be adjusted downward based on such issuance. As a result, if there are any such adjustments, the amount of proceeds we receive from the exercise of the Initial OrbiMed Warrant will be less than $1.24 million in the aggregate. On </w:t>
      </w:r>
      <w:r>
        <w:rPr>
          <w:rFonts w:ascii="Times New Roman" w:cs="Times New Roman" w:eastAsia="Times New Roman" w:hAnsi="Times New Roman"/>
          <w:sz w:val="18"/>
          <w:szCs w:val="18"/>
          <w:color w:val="000000"/>
        </w:rPr>
        <w:t>November 8, 2024</w:t>
      </w:r>
      <w:r>
        <w:rPr>
          <w:rFonts w:ascii="Times New Roman" w:cs="Times New Roman" w:eastAsia="Times New Roman" w:hAnsi="Times New Roman"/>
          <w:sz w:val="18"/>
          <w:szCs w:val="18"/>
          <w:color w:val="231F20"/>
        </w:rPr>
        <w:t xml:space="preserve">, the reported sales price of our Common Stock was </w:t>
      </w:r>
      <w:r>
        <w:rPr>
          <w:rFonts w:ascii="Times New Roman" w:cs="Times New Roman" w:eastAsia="Times New Roman" w:hAnsi="Times New Roman"/>
          <w:sz w:val="18"/>
          <w:szCs w:val="18"/>
          <w:color w:val="000000"/>
        </w:rPr>
        <w:t>$4.23</w:t>
      </w:r>
      <w:r>
        <w:rPr>
          <w:rFonts w:ascii="Times New Roman" w:cs="Times New Roman" w:eastAsia="Times New Roman" w:hAnsi="Times New Roman"/>
          <w:sz w:val="18"/>
          <w:szCs w:val="18"/>
          <w:color w:val="231F20"/>
        </w:rPr>
        <w:t xml:space="preserve"> per share and the last reported sales price of our Public Warrants was </w:t>
      </w:r>
      <w:r>
        <w:rPr>
          <w:rFonts w:ascii="Times New Roman" w:cs="Times New Roman" w:eastAsia="Times New Roman" w:hAnsi="Times New Roman"/>
          <w:sz w:val="18"/>
          <w:szCs w:val="18"/>
          <w:color w:val="000000"/>
        </w:rPr>
        <w:t>$1.10</w:t>
      </w:r>
      <w:r>
        <w:rPr>
          <w:rFonts w:ascii="Times New Roman" w:cs="Times New Roman" w:eastAsia="Times New Roman" w:hAnsi="Times New Roman"/>
          <w:sz w:val="18"/>
          <w:szCs w:val="18"/>
          <w:color w:val="231F20"/>
        </w:rPr>
        <w:t xml:space="preserve"> per warrant, both of which are lower than the exercise price of the Warrants.</w:t>
      </w:r>
    </w:p>
    <w:p>
      <w:pPr>
        <w:spacing w:after="0" w:line="120" w:lineRule="exact"/>
        <w:rPr>
          <w:sz w:val="20"/>
          <w:szCs w:val="20"/>
          <w:color w:val="auto"/>
        </w:rPr>
      </w:pPr>
    </w:p>
    <w:p>
      <w:pPr>
        <w:ind w:right="380" w:firstLine="324"/>
        <w:spacing w:after="0" w:line="289" w:lineRule="auto"/>
        <w:rPr>
          <w:sz w:val="20"/>
          <w:szCs w:val="20"/>
          <w:color w:val="auto"/>
        </w:rPr>
      </w:pPr>
      <w:r>
        <w:rPr>
          <w:rFonts w:ascii="Times New Roman" w:cs="Times New Roman" w:eastAsia="Times New Roman" w:hAnsi="Times New Roman"/>
          <w:sz w:val="17"/>
          <w:szCs w:val="17"/>
          <w:color w:val="231F20"/>
        </w:rPr>
        <w:t>To the extent such Warrants are exercised, or we force the conversion of the Public Warrants, additional Common Stock will be issued, which will result in dilution to the holders of Common Stock and will increase the number of shares eligible for resale in the public market. Sales of substantial numbers of such shares in the public market or the fact that such warrants may be exercised could adversely affect the market price of Common Stock.</w:t>
      </w:r>
    </w:p>
    <w:p>
      <w:pPr>
        <w:spacing w:after="0" w:line="73"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as well as a smaller reporting company within the meaning of the Securities Act and, if we take advantage of certain exemptions from disclosure requirements available to “emerging growth companies,” our securities may be less attractive to investors and it may be more difficult to compare our performance with other public companies.</w:t>
      </w:r>
    </w:p>
    <w:p>
      <w:pPr>
        <w:spacing w:after="0" w:line="1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We qualify as an emerging growth company under SEC rules. As an emerging growth company, we are permitted and plan to rely on exemptions from certain disclosure requirements that are applicable to other public companies that are not emerging growth companies. These provisions include: (1) presenting only two years of audited financial statements; (2) presenting only two years of related selected financial data and “Management’s Discussion and Analysis of Financial Condition and Results of Operations” disclosure; (3) an exemption from compliance with the auditor attestation requirement in the assessment of internal control over financial reporting pursuant to Section 404 of Sarbanes-Oxley; (4) not being required to comply with any requirement that may be adopted by the Public Company Accounting Oversight Board regarding mandatory audit firm rotation or a supplement to the auditor’s report providing additional information about the audit and the financial statements; (5) reduced disclosure obligations regarding executive compensation arrangements in periodic reports, registration statements, and proxy statements; and (6) exemptions from the requirements of holding a nonbinding advisory vote on executive compensation and stockholder approval of any golden parachute payments not previously approved. As a result, the information we provide will be different than the information that is available with respect to other public companies that are not emerging growth companies. If some investors find our Common Stock less attractive as a result, there may be a less active trading market for the Common Stock, and its market price may be more volatile. We will remain an emerging growth company until the earlier of: (1) the last day of the fiscal year (a) following the fifth anniversary of the closing of MTAC’s initial public offering (i.e., December 31, 2025), (b) in which we have total annual gross revenue of at least $1.235 billion or (c) in which we are deemed to be a “large accelerated filer” under the rules of the SEC, which means the market value of our common equity that is held by non-affiliates exceeds $700 million as of the end of the prior fiscal year’s second fiscal quarter; and (2) the date on which we will have issued more than $1.0 billion in non-convertible debt securities during the prior three-year period.</w:t>
      </w:r>
    </w:p>
    <w:p>
      <w:pPr>
        <w:spacing w:after="0" w:line="127"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231F20"/>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of the fiscal year in which (1) the market value of our Common Stock held by non-affiliates exceeds $250 million as of the end of that year’s second fiscal quarter, or (2) our annual revenues exceeded $100 million during such completed fiscal year and the market value of Common Stock held by non-affiliates equals or exceeds $700 million as of the end of that year’s second fiscal quarter. To the extent that we take advantage of such reduced disclosure obligations, it may also make comparison of our financial statements with other public companies difficult or impossible.</w:t>
      </w:r>
    </w:p>
    <w:p>
      <w:pPr>
        <w:spacing w:after="0" w:line="9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Warrants may not be exercised at all or may be exercised on a cashless basis and we may not receive any cash proceeds from the exercise of the Warrants. *</w:t>
      </w:r>
    </w:p>
    <w:p>
      <w:pPr>
        <w:spacing w:after="0" w:line="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The exercise price of the Warrants may be higher than the prevailing market price of the underlying shares of Common Stock. The exercise price of the Warrants is subject to market conditions and may not be advantageous if the prevailing market price of the underlying shares of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As of </w:t>
      </w:r>
      <w:r>
        <w:rPr>
          <w:rFonts w:ascii="Times New Roman" w:cs="Times New Roman" w:eastAsia="Times New Roman" w:hAnsi="Times New Roman"/>
          <w:sz w:val="18"/>
          <w:szCs w:val="18"/>
          <w:color w:val="000000"/>
        </w:rPr>
        <w:t>November 8, 2024</w:t>
      </w:r>
      <w:r>
        <w:rPr>
          <w:rFonts w:ascii="Times New Roman" w:cs="Times New Roman" w:eastAsia="Times New Roman" w:hAnsi="Times New Roman"/>
          <w:sz w:val="18"/>
          <w:szCs w:val="18"/>
          <w:color w:val="231F20"/>
        </w:rPr>
        <w:t xml:space="preserve">, the last reported sales price of our Common Stock was </w:t>
      </w:r>
      <w:r>
        <w:rPr>
          <w:rFonts w:ascii="Times New Roman" w:cs="Times New Roman" w:eastAsia="Times New Roman" w:hAnsi="Times New Roman"/>
          <w:sz w:val="18"/>
          <w:szCs w:val="18"/>
          <w:color w:val="000000"/>
        </w:rPr>
        <w:t>$4.23</w:t>
      </w:r>
      <w:r>
        <w:rPr>
          <w:rFonts w:ascii="Times New Roman" w:cs="Times New Roman" w:eastAsia="Times New Roman" w:hAnsi="Times New Roman"/>
          <w:sz w:val="18"/>
          <w:szCs w:val="18"/>
          <w:color w:val="231F20"/>
        </w:rPr>
        <w:t xml:space="preserve"> per share. So long as the trading price of our Common Stock is less than $11.50, meaning the SPAC Warrants are “out of the money,” meaning the exercise price is higher than the market price of our Common Stock, we believe that holders of the SPAC Warrants are unlikely to choose to exercise their SPAC Warrants. Similarly, so long as the trading price for our Common Stock is less than </w:t>
      </w:r>
      <w:r>
        <w:rPr>
          <w:rFonts w:ascii="Times New Roman" w:cs="Times New Roman" w:eastAsia="Times New Roman" w:hAnsi="Times New Roman"/>
          <w:sz w:val="18"/>
          <w:szCs w:val="18"/>
          <w:color w:val="000000"/>
        </w:rPr>
        <w:t>$9.4487</w:t>
      </w:r>
      <w:r>
        <w:rPr>
          <w:rFonts w:ascii="Times New Roman" w:cs="Times New Roman" w:eastAsia="Times New Roman" w:hAnsi="Times New Roman"/>
          <w:sz w:val="18"/>
          <w:szCs w:val="18"/>
          <w:color w:val="231F20"/>
        </w:rPr>
        <w:t>, meaning the Initial OrbiMed Warrant is “out of the money,” we believe OrbiMed would be unlikely to exercise the Initial OrbiMed Warrant. As a result, we may not receive any proceeds from the exercise of the Warrants.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Furthermore, to the extent that the Private Placement Warrants, Conversion Warrants, or OrbiMed Warrants are exercised on a “cashless basis,” we will not receive cash upon their exercise. A cashless exercise allows holders of such Warrants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Private Placement Warrants, Conversion Warrants, or OrbiMed Warrants were exercised on a cash basis.</w:t>
      </w:r>
    </w:p>
    <w:p>
      <w:pPr>
        <w:spacing w:after="0" w:line="10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The Public Warrants may only be exercised for cash provided there is then an effective registration statement registering the shares of Common Stock issuable upon the exercise of such warrants. If there is not a then-effective registration statement, then such Public Warrants may be exercised on a “cashless basis,” pursuant to an available exemption from registration under the Securities Act.</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contained in our Certificate of Incorporation and Bylaws, as well as provisions of Delaware law, could limit the ability of stockholders to take certain actions and could delay or discourage takeover attempts that stockholders may consider favorable.</w:t>
      </w:r>
    </w:p>
    <w:p>
      <w:pPr>
        <w:spacing w:after="0" w:line="9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may discourage unsolicited takeover proposals that stockholders may consider to be in their best interests. These provisions could also make it difficult for stockholders to take certain actions, including electing directors who are not nominated by the Board or taking other corporate actions, including effecting changes in our management. We are also subject to anti-takeover provisions under Delaware law, which could delay or prevent a change of control. Together these provisions may discourage transactions that otherwise could involve the payment of a premium over prevailing market prices for our securities. These provisions include:</w:t>
      </w:r>
    </w:p>
    <w:p>
      <w:pPr>
        <w:spacing w:after="0" w:line="7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w:t>
      </w:r>
      <w:r>
        <w:rPr>
          <w:rFonts w:ascii="Times New Roman" w:cs="Times New Roman" w:eastAsia="Times New Roman" w:hAnsi="Times New Roman"/>
          <w:sz w:val="18"/>
          <w:szCs w:val="18"/>
          <w:color w:val="231F20"/>
        </w:rPr>
        <w:t>d;</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created by the expansion of the Board or the resignation, death or removal of a director in certain circumstances, which prevents stockholders from being able to fill vacancies on the Boar</w:t>
      </w:r>
      <w:r>
        <w:rPr>
          <w:rFonts w:ascii="Times New Roman" w:cs="Times New Roman" w:eastAsia="Times New Roman" w:hAnsi="Times New Roman"/>
          <w:sz w:val="18"/>
          <w:szCs w:val="18"/>
          <w:color w:val="231F20"/>
        </w:rPr>
        <w:t>d;</w:t>
      </w:r>
    </w:p>
    <w:p>
      <w:pPr>
        <w:spacing w:after="0" w:line="5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requirement that a special meeting of stockholders may only be called by a majority of the Board, the chairperson of the Board, or our chief executive officer which may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limitation of the liability of, and the indemnification of,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100" w:hanging="328"/>
        <w:spacing w:after="0" w:line="282" w:lineRule="auto"/>
        <w:tabs>
          <w:tab w:leader="none" w:pos="65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the Board to amend our Bylaws, which may allow the Board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231F20"/>
        </w:rPr>
      </w:pPr>
    </w:p>
    <w:p>
      <w:pPr>
        <w:ind w:left="660" w:right="14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potential acquirer’s own slate of directors or otherwise attempting to obtain control of us.</w:t>
      </w:r>
    </w:p>
    <w:p>
      <w:pPr>
        <w:spacing w:after="0" w:line="112" w:lineRule="exact"/>
        <w:rPr>
          <w:sz w:val="20"/>
          <w:szCs w:val="20"/>
          <w:color w:val="auto"/>
        </w:rPr>
      </w:pPr>
    </w:p>
    <w:p>
      <w:pPr>
        <w:ind w:right="960" w:firstLine="324"/>
        <w:spacing w:after="0" w:line="282" w:lineRule="auto"/>
        <w:rPr>
          <w:sz w:val="20"/>
          <w:szCs w:val="20"/>
          <w:color w:val="auto"/>
        </w:rPr>
      </w:pPr>
      <w:r>
        <w:rPr>
          <w:rFonts w:ascii="Times New Roman" w:cs="Times New Roman" w:eastAsia="Times New Roman" w:hAnsi="Times New Roman"/>
          <w:sz w:val="18"/>
          <w:szCs w:val="18"/>
          <w:color w:val="231F20"/>
        </w:rPr>
        <w:t>These provisions, alone or together, could delay or prevent hostile takeovers and changes in control of us or changes in our Board and our management.</w:t>
      </w:r>
    </w:p>
    <w:p>
      <w:pPr>
        <w:spacing w:after="0" w:line="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As a Delaware corporation, we are also subject to provisions of Delaware law, including Section 203 of the General Corporation Law of the State of Delaware (the “DGCL”), which prevents some stockholders who hold more than 15% of our outstanding Common Stock from engaging in certain business combinations without approval of the holders of substantially all of our Common Stock. Any provision of our Certificate of Incorporation and Bylaws or Delaware law that has the effect of delaying or deterring a change in control could limit the opportunity for stockholders to receive a premium for their shares of Common Stock and could also affect the price that some investors are willing to pay for Common Stock.</w:t>
      </w:r>
    </w:p>
    <w:p>
      <w:pPr>
        <w:spacing w:after="0" w:line="11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designates the Delaware Court of Chancery or Delaware state or United States federal district courts as the sole and exclusive forum for substantially all disputes between us and our stockholders, which could limit such stockholders’ ability to obtain a favorable judicial forum for disputes with us or our directors, officers, other employees or other stockholders.</w:t>
      </w:r>
    </w:p>
    <w:p>
      <w:pPr>
        <w:spacing w:after="0" w:line="1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Certificate of Incorporation provides that, unless we consent in writing to the selection of an alternative forum,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shall be the sole and exclusive forum for state law claims for (i) any derivative claim or cause of action brought on behalf of us; (ii) any action asserting a claim of breach of a fiduciary duty owed by any of our current or former directors, officers, other employees or stockholders, us or our stockholder; (iii) any action against us or any of our current or former directors, officers or other employees asserting a claim arising pursuant to any provision of the DGCL, our Certificate of Incorporation or Bylaws;</w:t>
      </w:r>
    </w:p>
    <w:p>
      <w:pPr>
        <w:spacing w:after="0" w:line="5" w:lineRule="exact"/>
        <w:rPr>
          <w:sz w:val="20"/>
          <w:szCs w:val="20"/>
          <w:color w:val="auto"/>
        </w:rPr>
      </w:pPr>
    </w:p>
    <w:p>
      <w:pPr>
        <w:ind w:right="40" w:firstLine="8"/>
        <w:spacing w:after="0" w:line="252" w:lineRule="auto"/>
        <w:tabs>
          <w:tab w:leader="none" w:pos="30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claim or cause of action seeking to interpret, apply, enforce or determine the validity of our Certificate of Incorporation or Bylaws (as each may be amended from time to time, including any right, obligation, or remedy thereunder); (v) any claim or cause of action as to which the DGCL confers jurisdiction on the Delaware Court of Chancery; and (vi) any action asserting a claim against us or any of our current or former directors, officers or other employees governed by the internal affairs doctrine or otherwise related to our internal affairs. The foregoing provisions will not apply to any claims as to which the Delaware Court of Chancery determines that there is an indispensable party not subject to the jurisdiction of such court, which is rested in the exclusive jurisdiction of a court or forum other than such court.</w:t>
      </w:r>
    </w:p>
    <w:p>
      <w:pPr>
        <w:spacing w:after="0" w:line="10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Section 22 of the Securities Act creates concurrent jurisdiction for federal and state courts over all suits brought to enforce any duty or liability created by the Securities Act or the rules or regulations promulgated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be the sole and exclusive forum for the resolution of any complaint asserting a cause of action arising under the Securities Act.</w:t>
      </w:r>
    </w:p>
    <w:p>
      <w:pPr>
        <w:spacing w:after="0" w:line="12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Any person or entity purchasing or otherwise acquiring, holding or owning (or continuing to hold or own) any interest in any of our securities shall be deemed to have notice of and consented to the forum provisions in our Certificate of Incorporation. Although we believe these exclusive forum provisions will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promulgated thereunder.</w:t>
      </w: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to the extent permitted by applicable law, contains provisions renouncing our interest and expectation to participate in certain corporate opportunities identified or presented to our non- employee directors or stockholders.</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Our officers and directors and their respective affiliates may hold, and may, from time to time in the future, acquire interests in or provide advice to businesses that directly or indirectly compete with certain areas of our business. Our Certificate of Incorporation provides that we renounce, to the fullest extent permitted by Delaware or other applicable law, any expectancy that any of our non-employee directors, stockholders or the affiliates of such stockholders will offer any corporate opportunity of which such director or stockholder may become aware to us except with respect to a corporate opportunity that was offered to a director solely in his or her capacity as our director and (i) such opportunity is one we are legally and contractually permitted to undertake and (ii) the director is permitted to refer that opportunity to us without violating any legal obligation. As a result, these arrangements could adversely affect our business, results of operations, financial condition or prospects if attractive business opportunities are allocated to any of our non-employee directors, stockholders or the affiliates of such stockholders instead of to us.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in October 2023, we entered the SEPA with Yorkville, whereby we have the right, but not the obligation, to sell to Yorkville up to $30.0 million of our common stock at our request, subject to terms and conditions specified in the SEPA. During the three and nine months ended September 30, 2024, we sold 1,124,867 and 1,874,867 shares of common stock under the SEPA, respectively, raising $5.6 million and $12.4 million, respectively. Yorkville represented to the Company, among other things, that it is an institutional “accredited investor” as defined in Rule 501(a)(3) of Regulation D under the Securities Act. The securities are being issued and sold by the Company to Yorkville in reliance upon the exemption from the registration requirements of the Securities Act afforded by Section 4(a)(2) of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5"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29"/>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Second Amended and Restated Certificate of</w:t>
              </w:r>
            </w:hyperlink>
          </w:p>
        </w:tc>
        <w:tc>
          <w:tcPr>
            <w:tcW w:w="920" w:type="dxa"/>
            <w:vAlign w:val="bottom"/>
            <w:gridSpan w:val="19"/>
          </w:tcPr>
          <w:p>
            <w:pPr>
              <w:spacing w:after="0"/>
              <w:rPr>
                <w:sz w:val="17"/>
                <w:szCs w:val="17"/>
                <w:color w:val="auto"/>
              </w:rPr>
            </w:pPr>
          </w:p>
        </w:tc>
        <w:tc>
          <w:tcPr>
            <w:tcW w:w="13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1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Incorporation of TriSalus Life Sciences, Inc.</w:t>
              </w:r>
            </w:hyperlink>
          </w:p>
        </w:tc>
        <w:tc>
          <w:tcPr>
            <w:tcW w:w="960" w:type="dxa"/>
            <w:vAlign w:val="bottom"/>
            <w:gridSpan w:val="20"/>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Amended and Restated Bylaws of TriSalus Life</w:t>
              </w:r>
            </w:hyperlink>
          </w:p>
        </w:tc>
        <w:tc>
          <w:tcPr>
            <w:tcW w:w="700" w:type="dxa"/>
            <w:vAlign w:val="bottom"/>
            <w:gridSpan w:val="16"/>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Sciences, Inc.</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Form of Certificate of Designations, Preferences, and</w:t>
              </w:r>
            </w:hyperlink>
          </w:p>
        </w:tc>
        <w:tc>
          <w:tcPr>
            <w:tcW w:w="300" w:type="dxa"/>
            <w:vAlign w:val="bottom"/>
            <w:gridSpan w:val="7"/>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Rights of Series A Convertible Preferred Stock of</w:t>
              </w:r>
            </w:hyperlink>
          </w:p>
        </w:tc>
        <w:tc>
          <w:tcPr>
            <w:tcW w:w="58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TriSalus Life Sciences, Inc.</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Specimen Common Stock Certificate</w:t>
              </w:r>
            </w:hyperlink>
          </w:p>
        </w:tc>
        <w:tc>
          <w:tcPr>
            <w:tcW w:w="1480" w:type="dxa"/>
            <w:vAlign w:val="bottom"/>
            <w:gridSpan w:val="22"/>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1"/>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Specimen Warrant Certificate</w:t>
              </w:r>
            </w:hyperlink>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1"/>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Warrant Agreement, dated December 17, 2020, by and</w:t>
              </w:r>
            </w:hyperlink>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23, 2020</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between MTAC and Continental Stock Transfer &amp; Trust</w:t>
              </w:r>
            </w:hyperlink>
          </w:p>
        </w:tc>
        <w:tc>
          <w:tcPr>
            <w:tcW w:w="1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Company.</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Form of Amended and Restated Registration Rights</w:t>
              </w:r>
            </w:hyperlink>
          </w:p>
        </w:tc>
        <w:tc>
          <w:tcPr>
            <w:tcW w:w="420" w:type="dxa"/>
            <w:vAlign w:val="bottom"/>
            <w:gridSpan w:val="10"/>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November 14, 2022</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Agreement, by and among TriSalus Life Sciences, Inc.,</w:t>
              </w:r>
            </w:hyperlink>
          </w:p>
        </w:tc>
        <w:tc>
          <w:tcPr>
            <w:tcW w:w="18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MedTech Acquisition Sponsor LLC, and certain former</w:t>
              </w:r>
            </w:hyperlink>
          </w:p>
        </w:tc>
        <w:tc>
          <w:tcPr>
            <w:tcW w:w="1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45">
              <w:r>
                <w:rPr>
                  <w:rFonts w:ascii="Times New Roman" w:cs="Times New Roman" w:eastAsia="Times New Roman" w:hAnsi="Times New Roman"/>
                  <w:sz w:val="18"/>
                  <w:szCs w:val="18"/>
                  <w:color w:val="0000FF"/>
                  <w:w w:val="98"/>
                </w:rPr>
                <w:t>stockholders of TriSalus Life Science, Inc.</w:t>
              </w:r>
            </w:hyperlink>
          </w:p>
        </w:tc>
        <w:tc>
          <w:tcPr>
            <w:tcW w:w="1100" w:type="dxa"/>
            <w:vAlign w:val="bottom"/>
            <w:gridSpan w:val="21"/>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Registration Rights Agreement, dated April 30, 2024,</w:t>
              </w:r>
            </w:hyperlink>
          </w:p>
        </w:tc>
        <w:tc>
          <w:tcPr>
            <w:tcW w:w="300" w:type="dxa"/>
            <w:vAlign w:val="bottom"/>
            <w:gridSpan w:val="7"/>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10-Q</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by and between TriSalus Life Sciences, Inc., and</w:t>
              </w:r>
            </w:hyperlink>
          </w:p>
        </w:tc>
        <w:tc>
          <w:tcPr>
            <w:tcW w:w="640" w:type="dxa"/>
            <w:vAlign w:val="bottom"/>
            <w:gridSpan w:val="14"/>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OrbiMed Royalty &amp; Credit Opportunities IV, LP</w:t>
              </w:r>
              <w:r>
                <w:rPr>
                  <w:rFonts w:ascii="Times New Roman" w:cs="Times New Roman" w:eastAsia="Times New Roman" w:hAnsi="Times New Roman"/>
                  <w:sz w:val="18"/>
                  <w:szCs w:val="18"/>
                  <w:color w:val="000000"/>
                </w:rPr>
                <w:t>.</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Amendment No. 1 to Warrant Agreement, dated June</w:t>
              </w:r>
            </w:hyperlink>
          </w:p>
        </w:tc>
        <w:tc>
          <w:tcPr>
            <w:tcW w:w="320" w:type="dxa"/>
            <w:vAlign w:val="bottom"/>
            <w:gridSpan w:val="8"/>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2024</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26, 2024, by and between the Company and Continental</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Stock Transfer &amp; Trust Company.</w:t>
              </w:r>
            </w:hyperlink>
          </w:p>
        </w:tc>
        <w:tc>
          <w:tcPr>
            <w:tcW w:w="1600" w:type="dxa"/>
            <w:vAlign w:val="bottom"/>
            <w:tcBorders>
              <w:top w:val="single" w:sz="8" w:color="0000FF"/>
            </w:tcBorders>
            <w:gridSpan w:val="21"/>
          </w:tcPr>
          <w:p>
            <w:pPr>
              <w:spacing w:after="0"/>
              <w:rPr>
                <w:sz w:val="17"/>
                <w:szCs w:val="17"/>
                <w:color w:val="auto"/>
              </w:rPr>
            </w:pPr>
          </w:p>
        </w:tc>
        <w:tc>
          <w:tcPr>
            <w:tcW w:w="1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1"/>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Description of Securities</w:t>
              </w:r>
            </w:hyperlink>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10-Q</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14, 2024</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1"/>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Substitute Warrant Certificate, dated August 15, 2024,</w:t>
              </w:r>
            </w:hyperlink>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S-3</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29, 2024</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by and between TriSalus Life Sciences, Inc, and</w:t>
              </w:r>
            </w:hyperlink>
          </w:p>
        </w:tc>
        <w:tc>
          <w:tcPr>
            <w:tcW w:w="420" w:type="dxa"/>
            <w:vAlign w:val="bottom"/>
            <w:tcBorders>
              <w:top w:val="single" w:sz="8" w:color="0000FF"/>
            </w:tcBorders>
            <w:gridSpan w:val="10"/>
          </w:tcPr>
          <w:p>
            <w:pPr>
              <w:spacing w:after="0"/>
              <w:rPr>
                <w:sz w:val="17"/>
                <w:szCs w:val="17"/>
                <w:color w:val="auto"/>
              </w:rPr>
            </w:pPr>
          </w:p>
        </w:tc>
        <w:tc>
          <w:tcPr>
            <w:tcW w:w="24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8"/>
              </w:rPr>
            </w:pPr>
            <w:hyperlink r:id="rId249">
              <w:r>
                <w:rPr>
                  <w:rFonts w:ascii="Times New Roman" w:cs="Times New Roman" w:eastAsia="Times New Roman" w:hAnsi="Times New Roman"/>
                  <w:sz w:val="18"/>
                  <w:szCs w:val="18"/>
                  <w:color w:val="0000FF"/>
                  <w:w w:val="98"/>
                </w:rPr>
                <w:t>OrbiMed Royalty &amp; Credit Opportunities IV, LP.</w:t>
              </w:r>
            </w:hyperlink>
          </w:p>
        </w:tc>
        <w:tc>
          <w:tcPr>
            <w:tcW w:w="62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1"/>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Substitute Warrant Certificate, dated August 15, 2024,</w:t>
              </w:r>
            </w:hyperlink>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S-3</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29, 2024</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by and between TriSalus Life Sciences, Inc, and</w:t>
              </w:r>
            </w:hyperlink>
          </w:p>
        </w:tc>
        <w:tc>
          <w:tcPr>
            <w:tcW w:w="420" w:type="dxa"/>
            <w:vAlign w:val="bottom"/>
            <w:tcBorders>
              <w:top w:val="single" w:sz="8" w:color="0000FF"/>
            </w:tcBorders>
            <w:gridSpan w:val="10"/>
          </w:tcPr>
          <w:p>
            <w:pPr>
              <w:spacing w:after="0"/>
              <w:rPr>
                <w:sz w:val="17"/>
                <w:szCs w:val="17"/>
                <w:color w:val="auto"/>
              </w:rPr>
            </w:pPr>
          </w:p>
        </w:tc>
        <w:tc>
          <w:tcPr>
            <w:tcW w:w="24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8"/>
              </w:rPr>
            </w:pPr>
            <w:hyperlink r:id="rId250">
              <w:r>
                <w:rPr>
                  <w:rFonts w:ascii="Times New Roman" w:cs="Times New Roman" w:eastAsia="Times New Roman" w:hAnsi="Times New Roman"/>
                  <w:sz w:val="18"/>
                  <w:szCs w:val="18"/>
                  <w:color w:val="0000FF"/>
                  <w:w w:val="98"/>
                </w:rPr>
                <w:t>OrbiMed Royalty &amp; Credit Opportunities IV, LP.</w:t>
              </w:r>
            </w:hyperlink>
          </w:p>
        </w:tc>
        <w:tc>
          <w:tcPr>
            <w:tcW w:w="640" w:type="dxa"/>
            <w:vAlign w:val="bottom"/>
            <w:gridSpan w:val="14"/>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Credit Agreement, dated April 30, 2024, by and</w:t>
              </w:r>
            </w:hyperlink>
          </w:p>
        </w:tc>
        <w:tc>
          <w:tcPr>
            <w:tcW w:w="700" w:type="dxa"/>
            <w:vAlign w:val="bottom"/>
            <w:gridSpan w:val="16"/>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10-Q</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between TriSalus Operating Life Sciences, Inc.,</w:t>
              </w:r>
            </w:hyperlink>
          </w:p>
        </w:tc>
        <w:tc>
          <w:tcPr>
            <w:tcW w:w="720" w:type="dxa"/>
            <w:vAlign w:val="bottom"/>
            <w:gridSpan w:val="17"/>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TriSalus Life Sciences, Inc., and OrbiMed Royalty &amp;</w:t>
              </w:r>
            </w:hyperlink>
          </w:p>
        </w:tc>
        <w:tc>
          <w:tcPr>
            <w:tcW w:w="32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6"/>
              </w:rPr>
            </w:pPr>
            <w:hyperlink r:id="rId251">
              <w:r>
                <w:rPr>
                  <w:rFonts w:ascii="Times New Roman" w:cs="Times New Roman" w:eastAsia="Times New Roman" w:hAnsi="Times New Roman"/>
                  <w:sz w:val="18"/>
                  <w:szCs w:val="18"/>
                  <w:color w:val="0000FF"/>
                  <w:w w:val="96"/>
                </w:rPr>
                <w:t>Credit Opportunities IV, LP.</w:t>
              </w:r>
            </w:hyperlink>
          </w:p>
        </w:tc>
        <w:tc>
          <w:tcPr>
            <w:tcW w:w="2140" w:type="dxa"/>
            <w:vAlign w:val="bottom"/>
            <w:gridSpan w:val="2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1"/>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Second Amendment to Lease of Space dated July 17,</w:t>
              </w:r>
            </w:hyperlink>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10-Q</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14, 2024</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1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2024, by and between TriSalus Life Sciences, Inc. and</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BPAZ Holdings 14, LLC.</w:t>
              </w:r>
            </w:hyperlink>
          </w:p>
        </w:tc>
        <w:tc>
          <w:tcPr>
            <w:tcW w:w="24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to Rule 13a-14(a) and Rule 15d-14(a) under the</w:t>
            </w:r>
          </w:p>
        </w:tc>
        <w:tc>
          <w:tcPr>
            <w:tcW w:w="1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13"/>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top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8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52"/>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0" w:type="dxa"/>
            <w:vAlign w:val="bottom"/>
          </w:tcPr>
          <w:p>
            <w:pPr>
              <w:spacing w:after="0"/>
              <w:rPr>
                <w:sz w:val="16"/>
                <w:szCs w:val="16"/>
                <w:color w:val="auto"/>
              </w:rPr>
            </w:pPr>
          </w:p>
        </w:tc>
      </w:tr>
      <w:tr>
        <w:trPr>
          <w:trHeight w:val="37"/>
        </w:trPr>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17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9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160" w:type="dxa"/>
            <w:vAlign w:val="bottom"/>
            <w:gridSpan w:val="10"/>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the Principal Financial Officer pursuant</w:t>
            </w:r>
          </w:p>
        </w:tc>
        <w:tc>
          <w:tcPr>
            <w:tcW w:w="1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to Rule 13a-14(a) and Rule 15d-14(a) under the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80" w:type="dxa"/>
            <w:vAlign w:val="bottom"/>
            <w:tcBorders>
              <w:top w:val="single" w:sz="8" w:color="0000FF"/>
            </w:tcBorders>
          </w:tcPr>
          <w:p>
            <w:pPr>
              <w:spacing w:after="0"/>
              <w:rPr>
                <w:sz w:val="17"/>
                <w:szCs w:val="17"/>
                <w:color w:val="auto"/>
              </w:rPr>
            </w:pPr>
          </w:p>
        </w:tc>
        <w:tc>
          <w:tcPr>
            <w:tcW w:w="28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to 18 U.S.C. 1350, as adopted pursuant to Section 906</w:t>
            </w:r>
          </w:p>
        </w:tc>
        <w:tc>
          <w:tcPr>
            <w:tcW w:w="140" w:type="dxa"/>
            <w:vAlign w:val="bottom"/>
            <w:tcBorders>
              <w:top w:val="single" w:sz="8" w:color="0000FF"/>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4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w:t>
            </w:r>
          </w:p>
        </w:tc>
        <w:tc>
          <w:tcPr>
            <w:tcW w:w="16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to 18 U.S.C. 1350, as adopted pursuant to Section 906</w:t>
            </w:r>
          </w:p>
        </w:tc>
        <w:tc>
          <w:tcPr>
            <w:tcW w:w="26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91"/>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2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66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3"/>
                <w:szCs w:val="23"/>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2"/>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1"/>
                <w:szCs w:val="21"/>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36" w:lineRule="exact"/>
        <w:rPr>
          <w:sz w:val="20"/>
          <w:szCs w:val="20"/>
          <w:color w:val="auto"/>
        </w:rPr>
      </w:pPr>
    </w:p>
    <w:p>
      <w:pPr>
        <w:ind w:left="1180" w:right="6140" w:hanging="781"/>
        <w:spacing w:after="0" w:line="282"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right="360" w:firstLine="8"/>
        <w:spacing w:after="0" w:line="282" w:lineRule="auto"/>
        <w:tabs>
          <w:tab w:leader="none" w:pos="1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would likely cause competitive harm to TriSalus Life Sciences, Inc. if publicly disclosed.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report to be signed on its behalf by the undersigned, thereunto duly authorized, on the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14th day of November, 2024.</w:t>
      </w:r>
    </w:p>
    <w:p>
      <w:pPr>
        <w:spacing w:after="0" w:line="2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00" w:lineRule="exact"/>
        <w:rPr>
          <w:sz w:val="20"/>
          <w:szCs w:val="20"/>
          <w:color w:val="auto"/>
        </w:rPr>
      </w:pPr>
    </w:p>
    <w:p>
      <w:pPr>
        <w:spacing w:after="0" w:line="380" w:lineRule="exact"/>
        <w:rPr>
          <w:sz w:val="20"/>
          <w:szCs w:val="20"/>
          <w:color w:val="auto"/>
        </w:rPr>
      </w:pPr>
    </w:p>
    <w:p>
      <w:pPr>
        <w:ind w:left="548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34290</wp:posOffset>
            </wp:positionV>
            <wp:extent cx="33432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ind w:left="5960"/>
        <w:spacing w:after="0"/>
        <w:tabs>
          <w:tab w:leader="none" w:pos="6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Sean Murphy</w:t>
      </w:r>
    </w:p>
    <w:p>
      <w:pPr>
        <w:spacing w:after="0" w:line="63" w:lineRule="exact"/>
        <w:rPr>
          <w:sz w:val="20"/>
          <w:szCs w:val="20"/>
          <w:color w:val="auto"/>
        </w:rPr>
      </w:pPr>
    </w:p>
    <w:p>
      <w:pPr>
        <w:ind w:left="596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40"/>
          </w:cols>
          <w:pgMar w:left="320" w:top="135" w:right="6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color w:val="auto"/>
        </w:rPr>
        <w:t>CERTIFICATION THE PRINCIPAL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13a-14(a) AND RULE 15d-14(a) UNDER THE SECURITIES EXCHANGE ACT OF 1934, 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Szela, certify that:</w:t>
      </w:r>
    </w:p>
    <w:p>
      <w:pPr>
        <w:spacing w:after="0" w:line="198"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TriSalus Life Sciences, Inc.</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5"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2"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Times New Roman" w:cs="Times New Roman" w:eastAsia="Times New Roman" w:hAnsi="Times New Roman"/>
          <w:sz w:val="18"/>
          <w:szCs w:val="18"/>
          <w:color w:val="auto"/>
        </w:rPr>
      </w:pPr>
    </w:p>
    <w:p>
      <w:pPr>
        <w:ind w:left="1300" w:right="40" w:hanging="320"/>
        <w:spacing w:after="0" w:line="24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November 14,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Szela</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05" w:name="page106"/>
    <w:bookmarkEnd w:id="105"/>
    <w:p>
      <w:pPr>
        <w:ind w:left="3240"/>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PURSUANT TO RULE 13a-14(a) AND RULE 15d-14(a) UNDER THE SECURITIES EXCHANGE ACT OF 1934, AS ADOPTED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Murphy, certify that:</w:t>
      </w:r>
    </w:p>
    <w:p>
      <w:pPr>
        <w:spacing w:after="0" w:line="198"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TriSalus Life Sciences, Inc.</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5"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2"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November 14,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Murphy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line="329" w:lineRule="auto"/>
        <w:rPr>
          <w:sz w:val="20"/>
          <w:szCs w:val="20"/>
          <w:color w:val="auto"/>
        </w:rPr>
      </w:pPr>
      <w:r>
        <w:rPr>
          <w:rFonts w:ascii="Times New Roman" w:cs="Times New Roman" w:eastAsia="Times New Roman" w:hAnsi="Times New Roman"/>
          <w:sz w:val="18"/>
          <w:szCs w:val="18"/>
          <w:color w:val="auto"/>
        </w:rPr>
        <w:t>CERTIFICATION OF THE CHIEF EXECUTIVE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Mary Szela, Chief Executive Officer of TriSalus Life Sciences, Inc. (the “Company”) certifies that, to the best of her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w:t>
            </w:r>
          </w:p>
        </w:tc>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The Company’s Quarterly Report on Form 10-Q for the period ended September 30, 2024, to which this Certification</w:t>
            </w:r>
          </w:p>
        </w:tc>
      </w:tr>
      <w:tr>
        <w:trPr>
          <w:trHeight w:val="216"/>
        </w:trPr>
        <w:tc>
          <w:tcPr>
            <w:tcW w:w="94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is attached as Exhibit 32.1 (the “Report”), fully complies with the requirements of Section 13(a) or 15(d) of the</w:t>
            </w:r>
          </w:p>
        </w:tc>
      </w:tr>
      <w:tr>
        <w:trPr>
          <w:trHeight w:val="234"/>
        </w:trPr>
        <w:tc>
          <w:tcPr>
            <w:tcW w:w="940" w:type="dxa"/>
            <w:vAlign w:val="bottom"/>
          </w:tcPr>
          <w:p>
            <w:pPr>
              <w:spacing w:after="0"/>
              <w:rPr>
                <w:sz w:val="20"/>
                <w:szCs w:val="20"/>
                <w:color w:val="auto"/>
              </w:rPr>
            </w:pPr>
          </w:p>
        </w:tc>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Act of 1934; and</w:t>
            </w:r>
          </w:p>
        </w:tc>
      </w:tr>
      <w:tr>
        <w:trPr>
          <w:trHeight w:val="738"/>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w:t>
            </w: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The information contained in the Report fairly presents, in all material respects, the financial condition and results of</w:t>
            </w:r>
          </w:p>
        </w:tc>
      </w:tr>
      <w:tr>
        <w:trPr>
          <w:trHeight w:val="234"/>
        </w:trPr>
        <w:tc>
          <w:tcPr>
            <w:tcW w:w="940" w:type="dxa"/>
            <w:vAlign w:val="bottom"/>
          </w:tcPr>
          <w:p>
            <w:pPr>
              <w:spacing w:after="0"/>
              <w:rPr>
                <w:sz w:val="20"/>
                <w:szCs w:val="20"/>
                <w:color w:val="auto"/>
              </w:rPr>
            </w:pP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tabs>
          <w:tab w:leader="none" w:pos="3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14, 2024</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Mary Szela</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ind w:left="5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35" w:right="339" w:bottom="1440" w:gutter="0" w:footer="0" w:header="0"/>
        </w:sectPr>
      </w:pPr>
    </w:p>
    <w:bookmarkStart w:id="107" w:name="page108"/>
    <w:bookmarkEnd w:id="107"/>
    <w:p>
      <w:pPr>
        <w:jc w:val="center"/>
        <w:spacing w:after="0" w:line="329" w:lineRule="auto"/>
        <w:rPr>
          <w:sz w:val="20"/>
          <w:szCs w:val="20"/>
          <w:color w:val="auto"/>
        </w:rPr>
      </w:pPr>
      <w:r>
        <w:rPr>
          <w:rFonts w:ascii="Times New Roman" w:cs="Times New Roman" w:eastAsia="Times New Roman" w:hAnsi="Times New Roman"/>
          <w:sz w:val="18"/>
          <w:szCs w:val="18"/>
          <w:color w:val="auto"/>
        </w:rPr>
        <w:t>CERTIFICATION OF THE CHIEF FINANCIAL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Murphy, Chief Financial Officer of TriSalus Life Sciences, Inc. (the “Company”) certifies that, to the best of his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(1)</w:t>
            </w:r>
          </w:p>
        </w:tc>
        <w:tc>
          <w:tcPr>
            <w:tcW w:w="92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The Company’s Quarterly Report on Form 10-Q for the period ended September 30, 2024, to which this Certification</w:t>
            </w:r>
          </w:p>
        </w:tc>
      </w:tr>
      <w:tr>
        <w:trPr>
          <w:trHeight w:val="216"/>
        </w:trPr>
        <w:tc>
          <w:tcPr>
            <w:tcW w:w="100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is attached as Exhibit 32.1 (the “Report”), fully complies with the requirements of Section 13(a) or 15(d) of the</w:t>
            </w:r>
          </w:p>
        </w:tc>
      </w:tr>
      <w:tr>
        <w:trPr>
          <w:trHeight w:val="234"/>
        </w:trPr>
        <w:tc>
          <w:tcPr>
            <w:tcW w:w="1000" w:type="dxa"/>
            <w:vAlign w:val="bottom"/>
          </w:tcPr>
          <w:p>
            <w:pPr>
              <w:spacing w:after="0"/>
              <w:rPr>
                <w:sz w:val="20"/>
                <w:szCs w:val="20"/>
                <w:color w:val="auto"/>
              </w:rPr>
            </w:pPr>
          </w:p>
        </w:tc>
        <w:tc>
          <w:tcPr>
            <w:tcW w:w="9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Exchange Act of 1934; and</w:t>
            </w:r>
          </w:p>
        </w:tc>
      </w:tr>
      <w:tr>
        <w:trPr>
          <w:trHeight w:val="738"/>
        </w:trPr>
        <w:tc>
          <w:tcPr>
            <w:tcW w:w="1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(2)</w:t>
            </w:r>
          </w:p>
        </w:tc>
        <w:tc>
          <w:tcPr>
            <w:tcW w:w="9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tc>
      </w:tr>
      <w:tr>
        <w:trPr>
          <w:trHeight w:val="234"/>
        </w:trPr>
        <w:tc>
          <w:tcPr>
            <w:tcW w:w="1000" w:type="dxa"/>
            <w:vAlign w:val="bottom"/>
          </w:tcPr>
          <w:p>
            <w:pPr>
              <w:spacing w:after="0"/>
              <w:rPr>
                <w:sz w:val="20"/>
                <w:szCs w:val="20"/>
                <w:color w:val="auto"/>
              </w:rPr>
            </w:pPr>
          </w:p>
        </w:tc>
        <w:tc>
          <w:tcPr>
            <w:tcW w:w="9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tabs>
          <w:tab w:leader="none" w:pos="3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14, 2024</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Sean Murphy</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ind w:left="5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2"/>
    </w:lvl>
  </w:abstractNum>
  <w:abstractNum w:abstractNumId="7">
    <w:nsid w:val="4516DDE9"/>
    <w:multiLevelType w:val="hybridMultilevel"/>
    <w:lvl w:ilvl="0">
      <w:lvlJc w:val="left"/>
      <w:lvlText w:val="(%1)"/>
      <w:numFmt w:val="lowerLetter"/>
      <w:start w:val="2"/>
    </w:lvl>
  </w:abstractNum>
  <w:abstractNum w:abstractNumId="8">
    <w:nsid w:val="3006C83E"/>
    <w:multiLevelType w:val="hybridMultilevel"/>
    <w:lvl w:ilvl="0">
      <w:lvlJc w:val="left"/>
      <w:lvlText w:val="(%1)"/>
      <w:numFmt w:val="lowerLetter"/>
      <w:start w:val="7"/>
    </w:lvl>
  </w:abstractNum>
  <w:abstractNum w:abstractNumId="9">
    <w:nsid w:val="614FD4A1"/>
    <w:multiLevelType w:val="hybridMultilevel"/>
    <w:lvl w:ilvl="0">
      <w:lvlJc w:val="left"/>
      <w:lvlText w:val="(%1)"/>
      <w:numFmt w:val="decimal"/>
      <w:start w:val="3"/>
    </w:lvl>
  </w:abstractNum>
  <w:abstractNum w:abstractNumId="10">
    <w:nsid w:val="419AC241"/>
    <w:multiLevelType w:val="hybridMultilevel"/>
    <w:lvl w:ilvl="0">
      <w:lvlJc w:val="left"/>
      <w:lvlText w:val="(%1)"/>
      <w:numFmt w:val="decimal"/>
      <w:start w:val="4"/>
    </w:lvl>
  </w:abstractNum>
  <w:abstractNum w:abstractNumId="11">
    <w:nsid w:val="5577F8E1"/>
    <w:multiLevelType w:val="hybridMultilevel"/>
    <w:lvl w:ilvl="0">
      <w:lvlJc w:val="left"/>
      <w:lvlText w:val="(%1)"/>
      <w:numFmt w:val="decimal"/>
      <w:start w:val="5"/>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lowerLetter"/>
      <w:start w:val="9"/>
    </w:lvl>
    <w:lvl w:ilvl="1">
      <w:lvlJc w:val="left"/>
      <w:lvlText w:val="(%2)"/>
      <w:numFmt w:val="lowerLetter"/>
      <w:start w:val="1"/>
    </w:lvl>
  </w:abstractNum>
  <w:abstractNum w:abstractNumId="19">
    <w:nsid w:val="5E884ADC"/>
    <w:multiLevelType w:val="hybridMultilevel"/>
    <w:lvl w:ilvl="0">
      <w:lvlJc w:val="left"/>
      <w:lvlText w:val="(%1)"/>
      <w:numFmt w:val="lowerLetter"/>
      <w:start w:val="2"/>
    </w:lvl>
  </w:abstractNum>
  <w:abstractNum w:abstractNumId="20">
    <w:nsid w:val="51EAD36B"/>
    <w:multiLevelType w:val="hybridMultilevel"/>
    <w:lvl w:ilvl="0">
      <w:lvlJc w:val="left"/>
      <w:lvlText w:val="%1"/>
      <w:numFmt w:val="lowerRoman"/>
      <w:start w:val="1"/>
    </w:lvl>
    <w:lvl w:ilvl="1">
      <w:lvlJc w:val="left"/>
      <w:lvlText w:val="(%2)"/>
      <w:numFmt w:val="lowerRoman"/>
      <w:start w:val="1"/>
    </w:lvl>
  </w:abstractNum>
  <w:abstractNum w:abstractNumId="21">
    <w:nsid w:val="2D517796"/>
    <w:multiLevelType w:val="hybridMultilevel"/>
    <w:lvl w:ilvl="0">
      <w:lvlJc w:val="left"/>
      <w:lvlText w:val="(%1)"/>
      <w:numFmt w:val="lowerRoman"/>
      <w:start w:val="4"/>
    </w:lvl>
    <w:lvl w:ilvl="1">
      <w:lvlJc w:val="left"/>
      <w:lvlText w:val="%2"/>
      <w:numFmt w:val="lowerRoman"/>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lowerRoman"/>
      <w:start w:val="1"/>
    </w:lvl>
    <w:lvl w:ilvl="1">
      <w:lvlJc w:val="left"/>
      <w:lvlText w:val="%2."/>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2"/>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lowerLetter"/>
      <w:start w:val="5"/>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lowerRoman"/>
      <w:start w:val="4"/>
    </w:lvl>
  </w:abstractNum>
  <w:abstractNum w:abstractNumId="55">
    <w:nsid w:val="1CF10FD8"/>
    <w:multiLevelType w:val="hybridMultilevel"/>
    <w:lvl w:ilvl="0">
      <w:lvlJc w:val="left"/>
      <w:lvlText w:val="+"/>
      <w:numFmt w:val="bullet"/>
      <w:start w:val="1"/>
    </w:lvl>
    <w:lvl w:ilvl="1">
      <w:lvlJc w:val="left"/>
      <w:lvlText w:val="%2"/>
      <w:numFmt w:val="decimal"/>
      <w:start w:val="104"/>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39" Type="http://schemas.openxmlformats.org/officeDocument/2006/relationships/hyperlink" Target="https://www.sec.gov/Archives/edgar/data/1826667/000110465923092586/tm2321991d1_ex3-1.htm" TargetMode="External"/><Relationship Id="rId240" Type="http://schemas.openxmlformats.org/officeDocument/2006/relationships/hyperlink" Target="https://www.sec.gov/Archives/edgar/data/1826667/000110465923092586/tm2321991d1_ex3-2.htm" TargetMode="External"/><Relationship Id="rId241" Type="http://schemas.openxmlformats.org/officeDocument/2006/relationships/hyperlink" Target="https://www.sec.gov/Archives/edgar/data/1826667/000110465923092586/tm2321991d1_ex3-3.htm" TargetMode="External"/><Relationship Id="rId242" Type="http://schemas.openxmlformats.org/officeDocument/2006/relationships/hyperlink" Target="https://www.sec.gov/Archives/edgar/data/1826667/000110465923092586/tm2321991d1_ex4-1.htm" TargetMode="External"/><Relationship Id="rId243" Type="http://schemas.openxmlformats.org/officeDocument/2006/relationships/hyperlink" Target="https://www.sec.gov/Archives/edgar/data/1826667/000110465923092586/tm2321991d1_ex4-2.htm" TargetMode="External"/><Relationship Id="rId244" Type="http://schemas.openxmlformats.org/officeDocument/2006/relationships/hyperlink" Target="https://www.sec.gov/Archives/edgar/data/1826667/000110465920139004/tm2039161d1_ex4-1.htm" TargetMode="External"/><Relationship Id="rId245" Type="http://schemas.openxmlformats.org/officeDocument/2006/relationships/hyperlink" Target="https://www.sec.gov/Archives/edgar/data/1826667/000110465922117666/tm2230343d1_8k.htm" TargetMode="External"/><Relationship Id="rId246" Type="http://schemas.openxmlformats.org/officeDocument/2006/relationships/hyperlink" Target="https://www.sec.gov/Archives/edgar/data/1826667/000182666724000017/a44registrationrightsagree.htm" TargetMode="External"/><Relationship Id="rId247" Type="http://schemas.openxmlformats.org/officeDocument/2006/relationships/hyperlink" Target="https://www.sec.gov/Archives/edgar/data/1826667/000110465924075234/tm2418344d1_ex10-1.htm" TargetMode="External"/><Relationship Id="rId248" Type="http://schemas.openxmlformats.org/officeDocument/2006/relationships/hyperlink" Target="https://www.sec.gov/Archives/edgar/data/1826667/000182666724000039/ex47-descriptionofsecuriti.htm" TargetMode="External"/><Relationship Id="rId249" Type="http://schemas.openxmlformats.org/officeDocument/2006/relationships/hyperlink" Target="https://www.sec.gov/Archives/edgar/data/1826667/000110465924112293/tm2426916d4_ex4-10.htm" TargetMode="External"/><Relationship Id="rId250" Type="http://schemas.openxmlformats.org/officeDocument/2006/relationships/hyperlink" Target="https://www.sec.gov/Archives/edgar/data/1826667/000110465924112293/tm2426916d4_ex4-11.htm" TargetMode="External"/><Relationship Id="rId251" Type="http://schemas.openxmlformats.org/officeDocument/2006/relationships/hyperlink" Target="https://www.sec.gov/Archives/edgar/data/1826667/000182666724000017/a101creditagreementdatedap.htm" TargetMode="External"/><Relationship Id="rId252" Type="http://schemas.openxmlformats.org/officeDocument/2006/relationships/hyperlink" Target="https://www.sec.gov/Archives/edgar/data/1826667/000182666724000039/ex102-westminsterlease_2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2024-11-14T07:43:36Z</dcterms:created>
  <dcterms:modified xsi:type="dcterms:W3CDTF">2024-11-14T07:43:36Z</dcterms:modified>
</cp:coreProperties>
</file>