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 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11, 2022</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MedTech Acquisition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45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001-39813</w:t>
            </w:r>
          </w:p>
        </w:tc>
        <w:tc>
          <w:tcPr>
            <w:tcW w:w="12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85-3009869</w:t>
            </w:r>
          </w:p>
        </w:tc>
      </w:tr>
      <w:tr>
        <w:trPr>
          <w:trHeight w:val="188"/>
        </w:trPr>
        <w:tc>
          <w:tcPr>
            <w:tcW w:w="38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60"/>
              <w:spacing w:after="0" w:line="189"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2"/>
        </w:trPr>
        <w:tc>
          <w:tcPr>
            <w:tcW w:w="452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9"/>
              </w:rPr>
              <w:t>incorporation)</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08"/>
        </w:trPr>
        <w:tc>
          <w:tcPr>
            <w:tcW w:w="4520" w:type="dxa"/>
            <w:vAlign w:val="bottom"/>
            <w:gridSpan w:val="3"/>
          </w:tcPr>
          <w:p>
            <w:pPr>
              <w:jc w:val="center"/>
              <w:ind w:left="1091"/>
              <w:spacing w:after="0"/>
              <w:rPr>
                <w:sz w:val="20"/>
                <w:szCs w:val="20"/>
                <w:color w:val="auto"/>
              </w:rPr>
            </w:pPr>
            <w:r>
              <w:rPr>
                <w:rFonts w:ascii="Times New Roman" w:cs="Times New Roman" w:eastAsia="Times New Roman" w:hAnsi="Times New Roman"/>
                <w:sz w:val="18"/>
                <w:szCs w:val="18"/>
                <w:color w:val="auto"/>
                <w:w w:val="97"/>
              </w:rPr>
              <w:t>48 Maple Avenue,</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2"/>
        </w:trPr>
        <w:tc>
          <w:tcPr>
            <w:tcW w:w="4520" w:type="dxa"/>
            <w:vAlign w:val="bottom"/>
            <w:tcBorders>
              <w:bottom w:val="single" w:sz="8" w:color="auto"/>
            </w:tcBorders>
            <w:gridSpan w:val="3"/>
          </w:tcPr>
          <w:p>
            <w:pPr>
              <w:jc w:val="center"/>
              <w:ind w:left="1131"/>
              <w:spacing w:after="0"/>
              <w:rPr>
                <w:sz w:val="20"/>
                <w:szCs w:val="20"/>
                <w:color w:val="auto"/>
              </w:rPr>
            </w:pPr>
            <w:r>
              <w:rPr>
                <w:rFonts w:ascii="Times New Roman" w:cs="Times New Roman" w:eastAsia="Times New Roman" w:hAnsi="Times New Roman"/>
                <w:sz w:val="18"/>
                <w:szCs w:val="18"/>
                <w:color w:val="auto"/>
                <w:w w:val="99"/>
              </w:rPr>
              <w:t>Greenwich, CT</w:t>
            </w: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jc w:val="right"/>
              <w:ind w:right="2391"/>
              <w:spacing w:after="0"/>
              <w:rPr>
                <w:sz w:val="20"/>
                <w:szCs w:val="20"/>
                <w:color w:val="auto"/>
              </w:rPr>
            </w:pPr>
            <w:r>
              <w:rPr>
                <w:rFonts w:ascii="Times New Roman" w:cs="Times New Roman" w:eastAsia="Times New Roman" w:hAnsi="Times New Roman"/>
                <w:sz w:val="18"/>
                <w:szCs w:val="18"/>
                <w:color w:val="auto"/>
              </w:rPr>
              <w:t>06830</w:t>
            </w:r>
          </w:p>
        </w:tc>
      </w:tr>
      <w:tr>
        <w:trPr>
          <w:trHeight w:val="226"/>
        </w:trPr>
        <w:tc>
          <w:tcPr>
            <w:tcW w:w="4520" w:type="dxa"/>
            <w:vAlign w:val="bottom"/>
            <w:gridSpan w:val="3"/>
          </w:tcPr>
          <w:p>
            <w:pPr>
              <w:jc w:val="center"/>
              <w:ind w:left="113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jc w:val="center"/>
              <w:ind w:right="171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(908) 391-1288</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1"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to the registrant under any of the following provisions:</w:t>
      </w:r>
    </w:p>
    <w:p>
      <w:pPr>
        <w:spacing w:after="0" w:line="163"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0"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520" w:hanging="513"/>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right="2780" w:firstLine="7"/>
        <w:spacing w:after="0" w:line="492" w:lineRule="auto"/>
        <w:tabs>
          <w:tab w:leader="none" w:pos="5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6"/>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which registered</w:t>
            </w:r>
          </w:p>
        </w:tc>
      </w:tr>
      <w:tr>
        <w:trPr>
          <w:trHeight w:val="188"/>
        </w:trPr>
        <w:tc>
          <w:tcPr>
            <w:tcW w:w="474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Units, each consisting of one share of Class A common stock and</w:t>
            </w:r>
          </w:p>
        </w:tc>
        <w:tc>
          <w:tcPr>
            <w:tcW w:w="1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MTACU</w:t>
            </w:r>
          </w:p>
        </w:tc>
        <w:tc>
          <w:tcPr>
            <w:tcW w:w="100" w:type="dxa"/>
            <w:vAlign w:val="bottom"/>
            <w:tcBorders>
              <w:top w:val="single" w:sz="8" w:color="CCEEFF"/>
            </w:tcBorders>
            <w:shd w:val="clear" w:color="auto" w:fill="CCEEFF"/>
          </w:tcPr>
          <w:p>
            <w:pPr>
              <w:spacing w:after="0"/>
              <w:rPr>
                <w:sz w:val="16"/>
                <w:szCs w:val="16"/>
                <w:color w:val="auto"/>
              </w:rPr>
            </w:pPr>
          </w:p>
        </w:tc>
        <w:tc>
          <w:tcPr>
            <w:tcW w:w="348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The Nasdaq Stock Market LLC</w:t>
            </w:r>
          </w:p>
        </w:tc>
      </w:tr>
      <w:tr>
        <w:trPr>
          <w:trHeight w:val="232"/>
        </w:trPr>
        <w:tc>
          <w:tcPr>
            <w:tcW w:w="48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one-third of one Redeemable Warrant</w:t>
            </w:r>
          </w:p>
        </w:tc>
        <w:tc>
          <w:tcPr>
            <w:tcW w:w="2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r>
      <w:tr>
        <w:trPr>
          <w:trHeight w:val="213"/>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Class A common stock, par value $0.0001 per share</w:t>
            </w:r>
          </w:p>
        </w:tc>
        <w:tc>
          <w:tcPr>
            <w:tcW w:w="2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MTAC</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r>
        <w:trPr>
          <w:trHeight w:val="195"/>
        </w:trPr>
        <w:tc>
          <w:tcPr>
            <w:tcW w:w="4860" w:type="dxa"/>
            <w:vAlign w:val="bottom"/>
            <w:gridSpan w:val="2"/>
            <w:shd w:val="clear" w:color="auto" w:fill="CCEEFF"/>
          </w:tcPr>
          <w:p>
            <w:pPr>
              <w:jc w:val="center"/>
              <w:ind w:right="140"/>
              <w:spacing w:after="0" w:line="195" w:lineRule="exact"/>
              <w:rPr>
                <w:sz w:val="20"/>
                <w:szCs w:val="20"/>
                <w:color w:val="auto"/>
              </w:rPr>
            </w:pPr>
            <w:r>
              <w:rPr>
                <w:rFonts w:ascii="Times New Roman" w:cs="Times New Roman" w:eastAsia="Times New Roman" w:hAnsi="Times New Roman"/>
                <w:sz w:val="18"/>
                <w:szCs w:val="18"/>
                <w:color w:val="auto"/>
                <w:w w:val="98"/>
              </w:rPr>
              <w:t>Warrants, each whole warrant exercisable for one share of Class</w:t>
            </w:r>
          </w:p>
        </w:tc>
        <w:tc>
          <w:tcPr>
            <w:tcW w:w="2900" w:type="dxa"/>
            <w:vAlign w:val="bottom"/>
            <w:gridSpan w:val="2"/>
            <w:shd w:val="clear" w:color="auto" w:fill="CCEEFF"/>
          </w:tcPr>
          <w:p>
            <w:pPr>
              <w:jc w:val="center"/>
              <w:ind w:right="120"/>
              <w:spacing w:after="0" w:line="195" w:lineRule="exact"/>
              <w:rPr>
                <w:sz w:val="20"/>
                <w:szCs w:val="20"/>
                <w:color w:val="auto"/>
              </w:rPr>
            </w:pPr>
            <w:r>
              <w:rPr>
                <w:rFonts w:ascii="Times New Roman" w:cs="Times New Roman" w:eastAsia="Times New Roman" w:hAnsi="Times New Roman"/>
                <w:sz w:val="18"/>
                <w:szCs w:val="18"/>
                <w:color w:val="auto"/>
                <w:w w:val="95"/>
              </w:rPr>
              <w:t>MTACW</w:t>
            </w:r>
          </w:p>
        </w:tc>
        <w:tc>
          <w:tcPr>
            <w:tcW w:w="34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The Nasdaq Stock Market LLC</w:t>
            </w:r>
          </w:p>
        </w:tc>
      </w:tr>
      <w:tr>
        <w:trPr>
          <w:trHeight w:val="232"/>
        </w:trPr>
        <w:tc>
          <w:tcPr>
            <w:tcW w:w="4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A common stock, each at an exercise price of $11.50 per share</w:t>
            </w:r>
          </w:p>
        </w:tc>
        <w:tc>
          <w:tcPr>
            <w:tcW w:w="2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r>
    </w:tbl>
    <w:p>
      <w:pPr>
        <w:spacing w:after="0" w:line="195" w:lineRule="exact"/>
        <w:rPr>
          <w:sz w:val="24"/>
          <w:szCs w:val="24"/>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9"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150495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438150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November 11, 2022, MedTech Acquisition Corporation, a Delaware corporation (“</w:t>
      </w:r>
      <w:r>
        <w:rPr>
          <w:rFonts w:ascii="Times New Roman" w:cs="Times New Roman" w:eastAsia="Times New Roman" w:hAnsi="Times New Roman"/>
          <w:sz w:val="18"/>
          <w:szCs w:val="18"/>
          <w:u w:val="single" w:color="auto"/>
          <w:color w:val="auto"/>
        </w:rPr>
        <w:t>MTAC</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MTAC Merger Sub, Inc., a Delaware corporation and direct, wholly owned subsidiary of MTAC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TriSalus Life Sciences, Inc., a Delaware corporation (“</w:t>
      </w:r>
      <w:r>
        <w:rPr>
          <w:rFonts w:ascii="Times New Roman" w:cs="Times New Roman" w:eastAsia="Times New Roman" w:hAnsi="Times New Roman"/>
          <w:sz w:val="18"/>
          <w:szCs w:val="18"/>
          <w:u w:val="single" w:color="auto"/>
          <w:color w:val="auto"/>
        </w:rPr>
        <w:t>TriSalus</w:t>
      </w:r>
      <w:r>
        <w:rPr>
          <w:rFonts w:ascii="Times New Roman" w:cs="Times New Roman" w:eastAsia="Times New Roman" w:hAnsi="Times New Roman"/>
          <w:sz w:val="18"/>
          <w:szCs w:val="18"/>
          <w:color w:val="auto"/>
        </w:rPr>
        <w:t>”), pursuant to which, subject to the satisfaction or waiver of certain conditions set forth therein, Merger Sub will merge with and into TriSalus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TriSalus surviving the Merger in accordance with the Delaware General Corporation Law as a wholly owned subsidiary of MTAC (the transactions contemplated by the Merger Agreement and the related ancillary agreements,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w:t>
      </w:r>
      <w:r>
        <w:rPr>
          <w:rFonts w:ascii="Times New Roman" w:cs="Times New Roman" w:eastAsia="Times New Roman" w:hAnsi="Times New Roman"/>
          <w:sz w:val="18"/>
          <w:szCs w:val="18"/>
          <w:color w:val="auto"/>
        </w:rPr>
        <w:t>”). The Business Combination is subject to certain closing conditions as summarized below under “Conditions to Closing.” Upon consummation of the Business Combination, MTAC will be renamed “TriSalus Life Sciences,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aggregate consideration payable to the stockholders of TriSalus at the closing of the Business Combination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is $220,000,000, payable solely in shares of MTAC common stock, par value $0.0001 per share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valued at $10.00 per share (the “</w:t>
      </w:r>
      <w:r>
        <w:rPr>
          <w:rFonts w:ascii="Times New Roman" w:cs="Times New Roman" w:eastAsia="Times New Roman" w:hAnsi="Times New Roman"/>
          <w:sz w:val="17"/>
          <w:szCs w:val="17"/>
          <w:u w:val="single" w:color="auto"/>
          <w:color w:val="auto"/>
        </w:rPr>
        <w:t>Closing Merger Consideration</w:t>
      </w:r>
      <w:r>
        <w:rPr>
          <w:rFonts w:ascii="Times New Roman" w:cs="Times New Roman" w:eastAsia="Times New Roman" w:hAnsi="Times New Roman"/>
          <w:sz w:val="17"/>
          <w:szCs w:val="17"/>
          <w:color w:val="auto"/>
        </w:rPr>
        <w:t>”). Immediately prior to the Closing, the shares of Class A Common Stock of MTAC and the warrants to purchase shares of Class A Common Stock of MTAC issued to the public that comprise each issued and outstanding Unit shall be automatically separated, if not already separated prior to such time, and the holder thereof shall be deemed to hold one share of Class A Common Stock of MTAC and one-third of one warrant to purchase Class A Common Stock; provided that any fractional warrants issuable to a holder upon the separation of the Units will be rounded down to the nearest whole number of warrants. Following the separation of the Units but prior to the Closing, the Class B Common Stock of MTAC will automatically convert into Class A Common Stock, and pursuant to the proposed amended and restated certificate of incorporation of MTAC to be effective immediately prior to the effective time of the Merger, if approved by MTAC’s stockholders, Class A Common Stock and Class B Common Stock will be reclassified as Common Stock.</w:t>
      </w:r>
    </w:p>
    <w:p>
      <w:pPr>
        <w:spacing w:after="0" w:line="17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Immediately prior to the Closing, each share of TriSalus’s issued and outstanding preferred stock will automatically convert into shares of TriSalus common stock (the “</w:t>
      </w:r>
      <w:r>
        <w:rPr>
          <w:rFonts w:ascii="Times New Roman" w:cs="Times New Roman" w:eastAsia="Times New Roman" w:hAnsi="Times New Roman"/>
          <w:sz w:val="18"/>
          <w:szCs w:val="18"/>
          <w:u w:val="single" w:color="auto"/>
          <w:color w:val="auto"/>
        </w:rPr>
        <w:t>Preferred Conversion</w:t>
      </w:r>
      <w:r>
        <w:rPr>
          <w:rFonts w:ascii="Times New Roman" w:cs="Times New Roman" w:eastAsia="Times New Roman" w:hAnsi="Times New Roman"/>
          <w:sz w:val="18"/>
          <w:szCs w:val="18"/>
          <w:color w:val="auto"/>
        </w:rPr>
        <w:t>”), and all in-the-money TriSalus warrants that would be exercised or otherwise exchanged in full in accordance with their terms by virtue of the occurrence of the Business Combination will be exercised for shares of TriSalus common stock, such that the holders thereof will receive Closing Merger Consideration as holders of TriSalus common stock. TriSalus warrants that are out-of-the-money will be cancelled for no consideration immediately prior to the Closing. At the time of the Business Combination, the outstanding options for shares of TriSalus common stock under TriSalus’s equity plan will be assumed by MTAC and converted into options to purchase Common Stock (the “</w:t>
      </w:r>
      <w:r>
        <w:rPr>
          <w:rFonts w:ascii="Times New Roman" w:cs="Times New Roman" w:eastAsia="Times New Roman" w:hAnsi="Times New Roman"/>
          <w:sz w:val="18"/>
          <w:szCs w:val="18"/>
          <w:u w:val="single" w:color="auto"/>
          <w:color w:val="auto"/>
        </w:rPr>
        <w:t>Assumed Equity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22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7"/>
          <w:szCs w:val="17"/>
          <w:color w:val="auto"/>
        </w:rPr>
        <w:t>The Merger Agreement contains customary representations, warranties and covenants by the parties thereto, including, among other things, covenants with respect to the conduct of MTAC and TriSalus during the period between execution of the Merger Agreement and the Closing, including the parties’ agreement not to solicit or enter into any inquiry, proposal or offer, or any indication of interest in making an offer or proposal for an alternative competing transactions. The representations, warranties and covenants made under the Merger Agreement will not survive the Closing; provided, however, that any covenants that are to be performed at or after the Closing shall survive until such covenant has been performed or satisfied pursuant to their terms. Each of MTAC and TriSalus have agreed to use their commercially reasonable efforts to cause the Merger to be consummated as soon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407670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Post-Closing Board of Directors</w:t>
      </w:r>
    </w:p>
    <w:p>
      <w:pPr>
        <w:spacing w:after="0" w:line="22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Prior to the Closing, the parties shall use all commercially reasonable efforts to designate and nominate to MTAC’s board of directors nine directors, which shall include seven (7) directors designated by TriSalus (with at least a majority of the authorized number of such directors to qualify as “independent directors” pursuant to Nasdaq listing standards) (the “</w:t>
      </w:r>
      <w:r>
        <w:rPr>
          <w:rFonts w:ascii="Times New Roman" w:cs="Times New Roman" w:eastAsia="Times New Roman" w:hAnsi="Times New Roman"/>
          <w:sz w:val="18"/>
          <w:szCs w:val="18"/>
          <w:u w:val="single" w:color="auto"/>
          <w:color w:val="auto"/>
        </w:rPr>
        <w:t>TriSalus Directors</w:t>
      </w:r>
      <w:r>
        <w:rPr>
          <w:rFonts w:ascii="Times New Roman" w:cs="Times New Roman" w:eastAsia="Times New Roman" w:hAnsi="Times New Roman"/>
          <w:sz w:val="18"/>
          <w:szCs w:val="18"/>
          <w:color w:val="auto"/>
        </w:rPr>
        <w:t>”), and two (2) directors as non-executive directors designated solely by MTAC (the “</w:t>
      </w:r>
      <w:r>
        <w:rPr>
          <w:rFonts w:ascii="Times New Roman" w:cs="Times New Roman" w:eastAsia="Times New Roman" w:hAnsi="Times New Roman"/>
          <w:sz w:val="18"/>
          <w:szCs w:val="18"/>
          <w:u w:val="single" w:color="auto"/>
          <w:color w:val="auto"/>
        </w:rPr>
        <w:t>MTAC Directors</w:t>
      </w:r>
      <w:r>
        <w:rPr>
          <w:rFonts w:ascii="Times New Roman" w:cs="Times New Roman" w:eastAsia="Times New Roman" w:hAnsi="Times New Roman"/>
          <w:sz w:val="18"/>
          <w:szCs w:val="18"/>
          <w:color w:val="auto"/>
        </w:rPr>
        <w:t>”). Following the Closing, the board of directors will be a classified board with three (3) classes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Solicitation of Acquisition Proposals</w:t>
      </w:r>
    </w:p>
    <w:p>
      <w:pPr>
        <w:spacing w:after="0" w:line="2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Each party also agreed, during the period between the execution of the Merger Agreement and continuing until the earlier of its Closing or termination, not to solicit or enter into any alternative competing transactions.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22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Closing is subject to certain conditions, including, among others, that (i) the stockholders of TriSalus and the stockholders of MTAC approve the Business Combination, (ii) the Nasdaq Stock Market approves for listing the Common Stock to be issued in connection with the Business Combination, (iii) MTAC has at least $60,000,000 in Available Closing Acquiror Cash (as defined in the Merger Agreement), which amount includes any proceeds or committed amounts from private equity or debt sources, the remaining balance in MTAC’s trust account (after taking into account stockholder redemptions), minus the payment of up to $6,000,000 of MTAC’s transaction expenses (subject to potential increases as further described in the Merger Agreement) (such amount, the “</w:t>
      </w:r>
      <w:r>
        <w:rPr>
          <w:rFonts w:ascii="Times New Roman" w:cs="Times New Roman" w:eastAsia="Times New Roman" w:hAnsi="Times New Roman"/>
          <w:sz w:val="18"/>
          <w:szCs w:val="18"/>
          <w:u w:val="single" w:color="auto"/>
          <w:color w:val="auto"/>
        </w:rPr>
        <w:t>MTAC Transaction Expenses Cap</w:t>
      </w:r>
      <w:r>
        <w:rPr>
          <w:rFonts w:ascii="Times New Roman" w:cs="Times New Roman" w:eastAsia="Times New Roman" w:hAnsi="Times New Roman"/>
          <w:sz w:val="18"/>
          <w:szCs w:val="18"/>
          <w:color w:val="auto"/>
        </w:rPr>
        <w:t>”), (iv) for the calendar year ending December 31, 2023, either (a) by legislation or application regulatory action, the Transitional Pass through Payment provision applicable to TriSalus’s TriNav™ Infusion System shall have been extended or a permanent reimbursement code shall have been assigned to the TriNav™ Infusion System as specified in the Merger Agreement or (b) use of existing reimbursement codes with respect to the TriNav™ Infusion System shall provide adequate profitability to TriSalus, and (v) MTAC has $5,000,001 or more in net tangible assets at the Closing.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Merger Agreement may be terminated prior to the Closing under certain circumstances, including, among others, (i) by written consent of TriSalus and MTAC, (ii) by written notice from either MTAC or TriSalus, if (A) the Closing has not occurred on or before December 22, 2022, as such date may be extended by MTAC to match the extension of the last date for MTAC to consummate a business combination under its certificate of incorporation by seeking the necessary stockholder approval to file an amendment to MTAC’s certificate of incorporation in accordance with its terms, which date shall not be later than June 22, 2023 (the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unless the terminating party’s failure to comply in any material respect with its obligations under the Merger Agreement shall have contributed to the failure of the Closing to have occurred on or prior to the Outside Date, (B) the consummation of the Business Combination is permanently enjoined, (C) MTAC does not obtain stockholder approval of the Business Combination at the special meeting at which such approval shall be voted upon, or (D) by March 31, 2023, MTAC shall not have obtained commitments for private financing of at least $40,000,000 in support of the Business Combination, (iii) by written notice from either MTAC or TriSalus, in the event that the other party breaches any of its representations, warranties, covenants or other agreements under the Merger Agreement that would result in the failure of the conditions to MTAC’s or TriSalus’s obligation to consummate the Business Combination and such breach has not been cured by the breaching party by 30 days after receiving notice of such breach, (iv) by TriSalus at any time prior to the approval of the Business Combination by MTAC’s public stockholders, if the board of directors of MTAC has made a change in recommendation to its stockholders regarding the Business Combination, and (v) by written notice to TriSalus from MTAC, if TriSalus does not obtain stockholder approval within 25 days after delivering an information statement regarding the Business Combination to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414020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The foregoing description of the Merger Agreement and the Business Combination does not purport to be complete and is qualified in its entirety by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conditions of the Merger Agreement, a copy of which is attached as Exhibit 2.1 hereto and is incorporated by reference herein. The Merger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contains representations, warranties and covenants that the respective parties made to each other as of the date of such agreement or other specific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dates. The assertions embodied in those representations, warranties and covenants were made for purposes of the contract among the respective parties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subject to important qualifications and limitations agreed to by the parties in connection with negotiating such agreement. The Merger Agreement has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been attached to provide investors with information regarding its terms and is not intended to provide any other factual information about MTAC, TriSalus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other party to the Merger Agreement. In particular, the representations, warranties, covenants and agreements contained in the Merger Agreement, which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were made only for purposes of such agreement and as of specific dates, were solely for the benefit of the parties to the Merger Agreement, may be subject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limitations agreed upon by the contracting parties (including being qualified by confidential disclosures made for the purposes of allocating contractual risk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parties to the Merger Agreement instead of establishing these matters as facts) and may be subject to standards of materiality applicable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contracting parties that differ from those applicable to investors and reports and documents filed with the U.S. Securities and Exchange Commission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Investors should not rely on the representations, warranties, covenants and agreements, or any descriptions thereof, as characterizations of the actual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facts or condition of any party to the Merger Agreement. In addition, the representations, warranties, covenants and agreements and other terms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Merger Agreement may be subject to subsequent waiver or modification. Moreover, information concerning the subject matter of the representations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warranties and other terms may change after the date of the Merger Agreement, which subsequent information may or may not be fully reflected in MTAC’s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2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the day of Closing, MTAC will enter into an amended and restated registration rights agreement (the “</w:t>
      </w:r>
      <w:r>
        <w:rPr>
          <w:rFonts w:ascii="Times New Roman" w:cs="Times New Roman" w:eastAsia="Times New Roman" w:hAnsi="Times New Roman"/>
          <w:sz w:val="18"/>
          <w:szCs w:val="18"/>
          <w:u w:val="single" w:color="auto"/>
          <w:color w:val="auto"/>
        </w:rPr>
        <w:t>A&amp;R RRA</w:t>
      </w:r>
      <w:r>
        <w:rPr>
          <w:rFonts w:ascii="Times New Roman" w:cs="Times New Roman" w:eastAsia="Times New Roman" w:hAnsi="Times New Roman"/>
          <w:sz w:val="18"/>
          <w:szCs w:val="18"/>
          <w:color w:val="auto"/>
        </w:rPr>
        <w:t>”) with MedTech Acquisition Sponsor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certain TriSalus stockholders (the “</w:t>
      </w:r>
      <w:r>
        <w:rPr>
          <w:rFonts w:ascii="Times New Roman" w:cs="Times New Roman" w:eastAsia="Times New Roman" w:hAnsi="Times New Roman"/>
          <w:sz w:val="18"/>
          <w:szCs w:val="18"/>
          <w:u w:val="single" w:color="auto"/>
          <w:color w:val="auto"/>
        </w:rPr>
        <w:t>Requisite Stockholders</w:t>
      </w:r>
      <w:r>
        <w:rPr>
          <w:rFonts w:ascii="Times New Roman" w:cs="Times New Roman" w:eastAsia="Times New Roman" w:hAnsi="Times New Roman"/>
          <w:sz w:val="18"/>
          <w:szCs w:val="18"/>
          <w:color w:val="auto"/>
        </w:rPr>
        <w:t>,” and together with the Sponsor,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which, among other things, amends and restates the registration rights agreement entered into by and among MTAC and the Sponsor at the time of MTAC’s initial public offering. Pursuant to the terms of the A&amp;R RRA, among other things, MTAC will be obligated to file, within 45 days of the Closing, a registration statement covering the shares of Common Stock issued or issuable to the Investors. The A&amp;R RRA also provides the Investors with piggyback registration rights and demand registration rights. The A&amp;R RRA provides that MTAC will pay certain expenses relating to such registration and indemnify the Investors against certain liabilities. The foregoing description of the A&amp;R RRA does not purport to be complete and is qualified in its entirety by the terms and conditions of the A&amp;R RRA, a copy of which is attached as Exhibit 10.1 hereto and is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22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In connection with the entry into the Merger Agreement, on November 11, 2022, the Requisite Stockholders entered into lock-up agreements (the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MTAC, pursuant to which the Requisite Stockholders will not transfer shares of Common Stock held by them prior to the earliest of (x) three hundred and sixty-five (365) days after the Closing, (y) the date on which the last sales price of Common Stock equals or exceeds $12.00 per share, subject to adjustment as provided therein, for any 20 trading days within any 30-consecutive-day trading period commencing at least 150 days after the Closing, and (z) the date following Closing on which MTAC consummates a liquidation, merger, tender offer, or similar transaction resulting in all MTAC stockholders having the right to exchange their shares of Common Stock for cash, securities, or other property. The foregoing description of the Lock-up Agreements does not purport to be complete and is qualified in its entirety by the terms and conditions of the Lock-up Agreements, a copy of which is attached as Exhibit 10.2 hereto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22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connection with the entry into the Merger Agreement, on November 11, 2022, the Sponsor entered into a support agreement (the “</w:t>
      </w:r>
      <w:r>
        <w:rPr>
          <w:rFonts w:ascii="Times New Roman" w:cs="Times New Roman" w:eastAsia="Times New Roman" w:hAnsi="Times New Roman"/>
          <w:sz w:val="18"/>
          <w:szCs w:val="18"/>
          <w:u w:val="single" w:color="auto"/>
          <w:color w:val="auto"/>
        </w:rPr>
        <w:t>Sponsor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MTAC and TriSalus, pursuant to which the Sponsor agreed, among other things, to vote or cause to be voted (or express consent or dissent in writing, as applicable) all its shares of MTAC Common Stock that are entitled to vote to approve and adopt the Merger Agreement and the Business Combination. The Sponsor also agreed (i) not to sell or transfer any of its shares of Common Stock or MTAC warrants prior to the Closing, except to affiliates of the Sponsor who execute a joinder to the Sponsor Support Agreement or by private sales or transfers made in connection with any forward purchase agreement or similar arrangement or in connection with the consummation of the Business Combination, (ii) to assume the transaction expenses of MTAC which exceed the MTAC Transaction Expenses Cap, (iii) to forfeit 2,187,500 shares of MTAC Common Stock (which represents 35% of the Sponsor’s shares of MTAC on the date hereof), and (iv) to subject 3,125,000 of its shares of Common Stock (which represents 50% of the Sponsor’s shares of MTAC on the date hereof) to certain vesting restrictions as set forth in the Sponsor Support Agreement (it being understood that the undertakings in the foregoing clauses (iii) and (iv) shall be null and void in the event that the Sponsor Support Agreement or Merger Agreement is terminated). The foregoing description of the Sponsor Support Agreement does not purport to be complete and is qualified in its entirety by the terms and conditions of the Sponsor Support Agreement, a copy of which is attached as Exhibit 10.3 hereto and is incorporated by reference herein.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Support Agreements</w:t>
      </w:r>
    </w:p>
    <w:p>
      <w:pPr>
        <w:spacing w:after="0" w:line="2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Merger Agreement, on November 11, 2022, MTAC, TriSalus, and the Requisite Stockholders executed and delivered support agreements (the “</w:t>
      </w:r>
      <w:r>
        <w:rPr>
          <w:rFonts w:ascii="Times New Roman" w:cs="Times New Roman" w:eastAsia="Times New Roman" w:hAnsi="Times New Roman"/>
          <w:sz w:val="18"/>
          <w:szCs w:val="18"/>
          <w:u w:val="single" w:color="auto"/>
          <w:color w:val="auto"/>
        </w:rPr>
        <w:t>Stockholder Support Agreements</w:t>
      </w:r>
      <w:r>
        <w:rPr>
          <w:rFonts w:ascii="Times New Roman" w:cs="Times New Roman" w:eastAsia="Times New Roman" w:hAnsi="Times New Roman"/>
          <w:sz w:val="18"/>
          <w:szCs w:val="18"/>
          <w:color w:val="auto"/>
        </w:rPr>
        <w:t>”), pursuant to which each Requisite Stockholder agreed to, among other things, (i) consent to, and vote to approve and adopt, the Merger Agreement and the Business Combination, (ii) waive any dissenters’ or approval rights under applicable law in connection with the Business Combination, and (iii) not transfer, subject to certain permitted exceptions, any of such stockholder’s TriSalus shares prior to the Closing. The foregoing description of the Stockholder Support Agreements does not purport to be complete and is qualified in its entirety by the terms and conditions of the Stockholder Support Agreements, a copy of which is attached as Exhibit 10.4 hereto and is incorporated by reference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Underwriting Agreement</w:t>
      </w:r>
    </w:p>
    <w:p>
      <w:pPr>
        <w:spacing w:after="0" w:line="22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Merger Agreement, on November 11, 2022, MTAC and Raymond James &amp; Associates, Inc. (“</w:t>
      </w:r>
      <w:r>
        <w:rPr>
          <w:rFonts w:ascii="Times New Roman" w:cs="Times New Roman" w:eastAsia="Times New Roman" w:hAnsi="Times New Roman"/>
          <w:sz w:val="18"/>
          <w:szCs w:val="18"/>
          <w:u w:val="single" w:color="auto"/>
          <w:color w:val="auto"/>
        </w:rPr>
        <w:t>Raymond James</w:t>
      </w:r>
      <w:r>
        <w:rPr>
          <w:rFonts w:ascii="Times New Roman" w:cs="Times New Roman" w:eastAsia="Times New Roman" w:hAnsi="Times New Roman"/>
          <w:sz w:val="18"/>
          <w:szCs w:val="18"/>
          <w:color w:val="auto"/>
        </w:rPr>
        <w:t>”) amended that certain Underwriting Agreement, dated December 17, 2020 (such amendment, the “</w:t>
      </w:r>
      <w:r>
        <w:rPr>
          <w:rFonts w:ascii="Times New Roman" w:cs="Times New Roman" w:eastAsia="Times New Roman" w:hAnsi="Times New Roman"/>
          <w:sz w:val="18"/>
          <w:szCs w:val="18"/>
          <w:u w:val="single" w:color="auto"/>
          <w:color w:val="auto"/>
        </w:rPr>
        <w:t>Amendment to the Underwriting Agreement</w:t>
      </w:r>
      <w:r>
        <w:rPr>
          <w:rFonts w:ascii="Times New Roman" w:cs="Times New Roman" w:eastAsia="Times New Roman" w:hAnsi="Times New Roman"/>
          <w:sz w:val="18"/>
          <w:szCs w:val="18"/>
          <w:color w:val="auto"/>
        </w:rPr>
        <w:t>”), pursuant to which, in the event that the Business Combination with TriSalus is consummated, Raymond James agreed to waive its right to the deferred underwriting fees and commissions that would have otherwise been payable upon the consummation of the Business Combination. The foregoing description of the Amendment to the Underwriting Agreement does not purport to be complete and is qualified in its entirety by the terms and conditions of the Amendment to the Underwriting Agreement, a copy of which is attached as Exhibit 10.5 hereto and is incorporated by reference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Non-Binding Term Sheet</w:t>
      </w:r>
    </w:p>
    <w:p>
      <w:pPr>
        <w:spacing w:after="0" w:line="22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connection with the entry into the Merger Agreement, on November 11, 2022, MTAC, TriSalus and Magnetar Capital LLC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entered into a non-binding term sheet providing for the sale and issuance of up to $50,000,000 of 8.0% senior secured convertible notes (the “</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by MTAC concurrent with the closing of the Business Combination. The term sheet, which grants the Investor the exclusive right to negotiate the foregoing proposed debt financing, provides for MTAC to issue $25,000,000 or $50,000,000 of such Convertible Notes at the Closing, and grants the Investor the option to purchase the same principal amount of purchased Convertible Notes during the two-year period following the Closing (resulting in the potential issuance of up to $100,000,000 of such Convertible Notes). The Convertible Notes would have a three-year maturity, and would be convertible into shares of MTAC Common Stock at an initial conversion price of $10.00 per share, with conversion price resets and certain anti-dilution rights, with the conversion feature subject to certain ownership limitations. Other than exclusivity and certain expense reimbursement and indemnity obligations of MTAC and TriSalus, the term sheet is non-binding on each of the parties thereto, and the parties’ obligations to consummate the transactions contemplated therein are subject in all respects to the completion of the Investor’s due diligence process, the negotiation and execution of definitive transaction documents to the Investor’s satisfaction, and the satisfaction of certain other conditions (including, but not limited to, TriSalus obtaining or securing certain temporary or permanent reimbursement codes for its TriNav Infusion System by January 31, 2023). The foregoing description of the term sheet does not purport to be complete and is qualified in its entirety by the terms and conditions of the term sheet, a copy of which is attached as Exhibit 10.6 hereto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424180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On November 14, 2022, MTAC and TriSalus issued a joint press release announcing the execution of the Merger Agreement. The press release is furnished hereto as Exhibit 99.1.</w:t>
      </w:r>
    </w:p>
    <w:p>
      <w:pPr>
        <w:spacing w:after="0" w:line="163"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color w:val="auto"/>
        </w:rPr>
        <w:t>Also, furnished as Exhibit 99.2 hereto and incorporated herein by reference is an investor presentation that may be used from time to time by MTAC and TriSalus in connection with the Business Combination.</w:t>
      </w:r>
    </w:p>
    <w:p>
      <w:pPr>
        <w:spacing w:after="0" w:line="16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information in this Item 7.01, including Exhibit 99.1 and Exhibit 99.2,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liabilities under that section, and shall not be deemed to be incorporated by reference into the filings of MTAC under the Securities Act or the Exchange Act, regardless of any general incorporation language in such filings. This Current Report on Form 8-K will not be deemed an admission as to the materiality of any information in this Item 7.01, including Exhibit 99.1 and Exhibit 99.2.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and Additional Information in Connection with SEC Filing</w:t>
      </w:r>
    </w:p>
    <w:p>
      <w:pPr>
        <w:spacing w:after="0" w:line="22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MTAC intends to file a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that will include a proxy statement/prospectus of MTAC, that will be both the proxy statement to be distributed to holders of MTAC’s Common Stock in connection with its solicitation of proxies for the vote by MTAC’s stockholders with respect to the Business Combination and other matters as may be described in the Registration Statement, as well as the prospectus relating to the offer and sale of the securities to be issued in the Business Combination. The Registration Statement is not yet effective. The Registration Statement, including the proxy statement/prospectus contained therein, when it is declared effective by the SEC, will contain important information about the Business Combination and the other matters to be voted upon at a meeting of MTAC’s stockholders to be held to approve the Business Combination and other matters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MTAC may also file other documents with the SEC regarding the Business Combination. MTAC stockholders and other interested persons are advised to read, when available, the Registration Statement, including the proxy statement/prospectus contained therein, as well as any amendments or supplements thereto, because they will contain important information about the Business Combination. When available, the definitive proxy statement /prospectus will be mailed to MTAC stockholders as of a record date to be established for voting on the Business Combination and the other matters to be voted upon at the Special Meeting.</w:t>
      </w:r>
    </w:p>
    <w:p>
      <w:pPr>
        <w:spacing w:after="0" w:line="190" w:lineRule="exact"/>
        <w:rPr>
          <w:sz w:val="20"/>
          <w:szCs w:val="20"/>
          <w:color w:val="auto"/>
        </w:rPr>
      </w:pPr>
    </w:p>
    <w:p>
      <w:pPr>
        <w:jc w:val="both"/>
        <w:ind w:right="200"/>
        <w:spacing w:after="0" w:line="257" w:lineRule="auto"/>
        <w:rPr>
          <w:sz w:val="20"/>
          <w:szCs w:val="20"/>
          <w:color w:val="auto"/>
        </w:rPr>
      </w:pPr>
      <w:r>
        <w:rPr>
          <w:rFonts w:ascii="Times New Roman" w:cs="Times New Roman" w:eastAsia="Times New Roman" w:hAnsi="Times New Roman"/>
          <w:sz w:val="18"/>
          <w:szCs w:val="18"/>
          <w:color w:val="auto"/>
        </w:rPr>
        <w:t>The financial information and data contained in this Current Report on Form 8-K is unaudited and does not conform to Regulation S-X. Such information and data may not be included in, may be adjusted in or may be presented differently in, the Registration Statement to be filed by MTAC with the SEC, and such differences may be material. In particular, all TriSalus financial information included herein is preliminary and subject to risks and uncertainties. Any variation between TriSalus’s actual results and the financial information included herein may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Solicitation</w:t>
      </w:r>
    </w:p>
    <w:p>
      <w:pPr>
        <w:spacing w:after="0" w:line="22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MTAC and TriSalus and their respective directors and executive officers, under SEC rules, may be deemed to be participants in the solicitation of proxies of MTAC’s stockholders in connection with the Business Combination. Investors and security holders may obtain more detailed information regarding the names and interests in the Business Combination of MTAC’s directors and officers in MTAC’s filings with the SEC, including MTAC’s registration statement on Form S-1, which was originally filed with the SEC on November 30, 2020, as amended, and MTAC’s Annual Report on Form 10-K for the fiscal year ended December 31, 2021, filed with the SEC on March 2, 2022 (the “</w:t>
      </w:r>
      <w:r>
        <w:rPr>
          <w:rFonts w:ascii="Times New Roman" w:cs="Times New Roman" w:eastAsia="Times New Roman" w:hAnsi="Times New Roman"/>
          <w:sz w:val="17"/>
          <w:szCs w:val="17"/>
          <w:u w:val="single" w:color="auto"/>
          <w:color w:val="auto"/>
        </w:rPr>
        <w:t>2021 Form 10-K</w:t>
      </w:r>
      <w:r>
        <w:rPr>
          <w:rFonts w:ascii="Times New Roman" w:cs="Times New Roman" w:eastAsia="Times New Roman" w:hAnsi="Times New Roman"/>
          <w:sz w:val="17"/>
          <w:szCs w:val="17"/>
          <w:color w:val="auto"/>
        </w:rPr>
        <w:t>”). To the extent that holdings of MTAC’s securities have changed from the amounts reported in MTAC’s 2021 Form 10-K, such changes have been or will be reflected on Statements of Change in Ownership on Form 4 filed with the SEC. Information regarding the persons who may, under SEC rules, be deemed participants in the solicitation of proxies from MTAC’s stockholders in connection with the Business Combination will be set forth in the proxy statement/prospectus forming a part of the Registration Statement. Investors and security holders of MTAC and TriSalus are urged to carefully read in their entirety the proxy statement/prospectus and other relevant documents that will be filed with the SEC, when they become available, because they will contain important information about the Business Combination.</w:t>
      </w:r>
    </w:p>
    <w:p>
      <w:pPr>
        <w:spacing w:after="0" w:line="174"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proxy statement/prospectus and other documents containing important information about MTAC and TriSalus through the website maintained by the SEC at www.sec.gov. Copies of the documents filed with the SEC by MTAC can be obtained free of charge by directing a written request to MedTech Acquisition Corporation at 48 Maple Avenue, Greenwich, CT 06830.</w:t>
      </w:r>
    </w:p>
    <w:p>
      <w:pPr>
        <w:spacing w:after="0" w:line="176"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THEREOF OR THE ACCURACY OR ADEQUACY OF THE INFORMATION CONTAINED HEREIN. ANY REPRESENTATION TO THE CONTRARY IS A CRIMINAL OFFENSE.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This Current Report on Form 8-K contains certain “forward-looking statements” within the meaning of the United States federal securities laws regarding MTAC’s or TriSalus’s expectations, hopes, beliefs, assumptions, intentions or strategies regarding the future including, without limitation, statements regarding: (i) the size and growth potential of the markets for TriSalus’s products and TriSalus’s ability to serve those markets, (ii) the degree of market acceptance and adoption of TriSalus’s products, (iii) TriSalus’s ability to compete with other companies, (iv) expectations for topline data and regulatory approval, (v) the implied upside and implied valuation of TriSalus, (vi) TriSalus's value and projected financial results, and (vii) the potential results and benefits of the Business Combination, the amount of cash to be delivered at closing from MTAC’s trust account and any additional financing in connection with the Business Combination, and stockholder value. These forward-looking statements generally are identified by words such as “anticipate,” “believe,” continue,” “could,” “estimate,” “expect,” “intend,” “may,” “might,” “plan,” “possible,” “potential,” “predict,” “project,” “should,” “strive,” “would,” “will” and similar expressions or the negative or other variations of such statements. These statements are predictions, projections and other statements about future events that are based on various assumptions, whether or not identified in this Current Report on Form 8-K and on the current expectations of MTAC’s and TriSalus’s respective managements and are not predictions of actual performance and, as a result, are subject to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-1501140</wp:posOffset>
            </wp:positionV>
            <wp:extent cx="7134225" cy="5151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5151120"/>
                    </a:xfrm>
                    <a:prstGeom prst="rect">
                      <a:avLst/>
                    </a:prstGeom>
                    <a:noFill/>
                  </pic:spPr>
                </pic:pic>
              </a:graphicData>
            </a:graphic>
          </wp:anchor>
        </w:drawing>
      </w:r>
    </w:p>
    <w:p>
      <w:pPr>
        <w:spacing w:after="0" w:line="15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Many factors could cause actual results or developments to differ materially from those expressed or implied by such forward-looking statements, including but not limited to: (i) the risk that the Business Combination may not be completed in a timely manner or at all, which may adversely affect the price of MTAC’s securities; (ii) the risk that the Business Combination may not be completed by MTAC’s business combination deadline and the potential failure to obtain an extension of the business combination deadline; (iii) the failure to satisfy the conditions to the consummation of the Business Combination, including the approval of the Merger Agreement by the stockholders of MTAC, the satisfaction of the minimum cash amount following any redemptions by MTAC’s public stockholders, and the receipt of certain governmental and regulatory approvals, including reimbursement approval; (iv) the lack of a third-party valuation in determining whether or not to pursue the Business Combination; (v) the occurrence of any event, change or other circumstance that could give rise to the termination of the Merger Agreement; (vi) the receipt of an unsolicited offer from another party for an alternative transaction that could interfere with the Business Combination, (vii) the effect of the announcement or pendency of the Business Combination on TriSalus’s business relationships, operating results and business generally; (viii) risks that the Business Combination disrupts current plans and operations of TriSalus; (ix) the outcome of any legal proceedings that may be instituted against TriSalus or MTAC related to the Merger Agreement or the Business Combination; (x) the ability to maintain the listing of MTAC’s securities on the Nasdaq; (xi) changes in business, market, financial, political and legal conditions; (xii) unfavorable changes in the reimbursement environment for TriSalus’s products; (xiii) TriSalus’s product candidates not achieving success in preclinical or clinical trials or not being able to obtain regulatory approval, either on a timely basis or at all or subject to any conditions that negatively impact TriSalus’s ability to commercialize the applicable product candidates; (xiv) TriSalus being unable to continue to grow TriNav sales; (xv) the size of the addressable markets for TriNav and TriSalus’s product candidates, if successfully developed and approved by the applicable regulatory authorities, being less than TriSalus estimates; (xvi) TriSalus’s ability to successfully commercialize any product candidates that it successfully develops and that are approved by applicable regulatory authorities; (xvii) TriSalus’s ability to continue to fund preclinical and clinical trials for its product candidates; (xviii) TriSalus’s ability to partner with other companies; (xix) future economic and market conditions; the development, effects and enforcement of laws and regulations affecting TriSalus's business or industry; (xx) TriSalus’s ability to manage future growth; (xxi) TriSalus’s ability to maintain and grow its market share; (xxii) the effects of competition on TriSalus’s business; (xxiii) the ability of MTAC or the combined company to raise additional financing in connection with the Business Combination or to finance its operations in the future; (xxiv) the ability to implement business plans, forecasts and other expectations after the completion of the Business Combination, and identify and realize additional opportunities; (xxv) costs related to the Business Combination; and (xxvi) the failure to realize the anticipated benefits of the Business Combination or to realize estimated pro forma results and the underlying assumptions, including with respect to estimated stockholder redemptions. The foregoing list of factors is not 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428625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7" w:name="page8"/>
    <w:bookmarkEnd w:id="7"/>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34225" cy="135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355725"/>
                    </a:xfrm>
                    <a:prstGeom prst="rect">
                      <a:avLst/>
                    </a:prstGeom>
                    <a:noFill/>
                  </pic:spPr>
                </pic:pic>
              </a:graphicData>
            </a:graphic>
          </wp:anchor>
        </w:drawing>
        <w:t>You should carefully consider the foregoing factors and other risks and uncertainties described in the “Risk Factors” section of MTAC’s 2021 Form 10-K, the preliminary proxy statement/prospectus on Form S-4 relating to the Business Combination, which is expected to be filed by MTAC with the SEC and other documents filed by MTAC from time to time with the SEC. These filings identify and address other important risks and uncertainties that could cause actual events and results to differ materially from those expressed or implied in the forward-looking statements. Forward-looking statements speak only as of the date they are made. Readers are cautioned not to put undue reliance on forward-looking statements, and none of MTAC, TriSalus, or any of their respective representatives assume any obligation and do not intend to update or revise these forward-looking statements, whether as a result of new information, future events, or otherwise. None of MTAC, TriSalus, or any of their respective representatives gives any assurance that either MTAC or TriSalus will achieve its expectations.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a solicitation of an offer to buy or a recommendation to purchase any securities, or the solicitation of any proxy, vote, consent or approval in any jurisdiction in connection with the Business Combination, nor shall there be any offer, solicitation or sale of securities in any jurisdiction in which the offer, solicitation or sale would be unlawful prior to the registration or qualification under the securities laws of such jurisdictions. This communication is restricted by law; it is not intended for distribution to, or use by any person in, any jurisdiction where such distribution or use would be contrary to local law or regulation. No offering of securities shall be made except by means of a prospectus meeting the requirements of Section 10 of the U.S. Securities Act of 1933, as amended.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8"/>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7"/>
        </w:trPr>
        <w:tc>
          <w:tcPr>
            <w:tcW w:w="3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gridSpan w:val="2"/>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980" w:type="dxa"/>
            <w:vAlign w:val="bottom"/>
            <w:tcBorders>
              <w:top w:val="single" w:sz="8" w:color="auto"/>
            </w:tcBorders>
            <w:gridSpan w:val="16"/>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0000EE"/>
              </w:rPr>
              <w:t>Agreement and Plan or Merger, dated as of November 11, 2022, by and among MedTech Acquisition Corporation, MTAC Merger Sub,</w:t>
            </w:r>
          </w:p>
        </w:tc>
      </w:tr>
      <w:tr>
        <w:trPr>
          <w:trHeight w:val="193"/>
        </w:trPr>
        <w:tc>
          <w:tcPr>
            <w:tcW w:w="3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620" w:type="dxa"/>
            <w:vAlign w:val="bottom"/>
            <w:tcBorders>
              <w:top w:val="single" w:sz="8" w:color="0000EE"/>
            </w:tcBorders>
            <w:gridSpan w:val="10"/>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Inc., and TriSalus Life Sciences, Inc.</w:t>
            </w:r>
          </w:p>
        </w:tc>
        <w:tc>
          <w:tcPr>
            <w:tcW w:w="360" w:type="dxa"/>
            <w:vAlign w:val="bottom"/>
            <w:tcBorders>
              <w:top w:val="single" w:sz="8" w:color="CCEEFF"/>
            </w:tcBorders>
            <w:gridSpan w:val="6"/>
            <w:shd w:val="clear" w:color="auto" w:fill="CCEEFF"/>
          </w:tcPr>
          <w:p>
            <w:pPr>
              <w:spacing w:after="0"/>
              <w:rPr>
                <w:sz w:val="16"/>
                <w:szCs w:val="16"/>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320" w:type="dxa"/>
            <w:vAlign w:val="bottom"/>
            <w:tcBorders>
              <w:bottom w:val="single" w:sz="8" w:color="0000EE"/>
            </w:tcBorders>
          </w:tcPr>
          <w:p>
            <w:pPr>
              <w:spacing w:after="0" w:line="17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bottom w:val="single" w:sz="8" w:color="0000EE"/>
            </w:tcBorders>
            <w:gridSpan w:val="14"/>
          </w:tcPr>
          <w:p>
            <w:pPr>
              <w:spacing w:after="0" w:line="174" w:lineRule="exact"/>
              <w:rPr>
                <w:sz w:val="20"/>
                <w:szCs w:val="20"/>
                <w:color w:val="auto"/>
              </w:rPr>
            </w:pPr>
            <w:r>
              <w:rPr>
                <w:rFonts w:ascii="Times New Roman" w:cs="Times New Roman" w:eastAsia="Times New Roman" w:hAnsi="Times New Roman"/>
                <w:sz w:val="18"/>
                <w:szCs w:val="18"/>
                <w:color w:val="0000EE"/>
                <w:w w:val="98"/>
              </w:rPr>
              <w:t>Form of Amended and Restated Registration Rights Agreement, by and among TriSalus Life Sciences, Inc., MedTech Acquisition Sponsor</w:t>
            </w:r>
          </w:p>
        </w:tc>
        <w:tc>
          <w:tcPr>
            <w:tcW w:w="80" w:type="dxa"/>
            <w:vAlign w:val="bottom"/>
            <w:gridSpan w:val="2"/>
          </w:tcPr>
          <w:p>
            <w:pPr>
              <w:spacing w:after="0"/>
              <w:rPr>
                <w:sz w:val="15"/>
                <w:szCs w:val="15"/>
                <w:color w:val="auto"/>
              </w:rPr>
            </w:pPr>
          </w:p>
        </w:tc>
      </w:tr>
      <w:tr>
        <w:trPr>
          <w:trHeight w:val="193"/>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8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LLC, and certain former stockholders of TriSalus Life Sciences, Inc.</w:t>
            </w: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320" w:type="dxa"/>
            <w:vAlign w:val="bottom"/>
            <w:tcBorders>
              <w:bottom w:val="single" w:sz="8" w:color="0000EE"/>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680" w:type="dxa"/>
            <w:vAlign w:val="bottom"/>
            <w:tcBorders>
              <w:bottom w:val="single" w:sz="8" w:color="0000EE"/>
            </w:tcBorders>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Form of Lock-up Agreement, by and among certain stockholders of TriSalus Life Sciences, Inc. and MedTech Acquisition Corporation.</w:t>
            </w:r>
          </w:p>
        </w:tc>
        <w:tc>
          <w:tcPr>
            <w:tcW w:w="300" w:type="dxa"/>
            <w:vAlign w:val="bottom"/>
            <w:tcBorders>
              <w:bottom w:val="single" w:sz="8" w:color="CCEEFF"/>
            </w:tcBorders>
            <w:gridSpan w:val="4"/>
            <w:shd w:val="clear" w:color="auto" w:fill="CCEEFF"/>
          </w:tcPr>
          <w:p>
            <w:pPr>
              <w:spacing w:after="0"/>
              <w:rPr>
                <w:sz w:val="16"/>
                <w:szCs w:val="16"/>
                <w:color w:val="auto"/>
              </w:rPr>
            </w:pPr>
          </w:p>
        </w:tc>
      </w:tr>
      <w:tr>
        <w:trPr>
          <w:trHeight w:val="173"/>
        </w:trPr>
        <w:tc>
          <w:tcPr>
            <w:tcW w:w="114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16"/>
          </w:tcPr>
          <w:p>
            <w:pPr>
              <w:spacing w:after="0" w:line="174" w:lineRule="exact"/>
              <w:rPr>
                <w:sz w:val="20"/>
                <w:szCs w:val="20"/>
                <w:color w:val="auto"/>
              </w:rPr>
            </w:pPr>
            <w:r>
              <w:rPr>
                <w:rFonts w:ascii="Times New Roman" w:cs="Times New Roman" w:eastAsia="Times New Roman" w:hAnsi="Times New Roman"/>
                <w:sz w:val="18"/>
                <w:szCs w:val="18"/>
                <w:color w:val="0000EE"/>
              </w:rPr>
              <w:t>Sponsor Support Agreement, dated as of November 11, 2022, by and among MedTech Acquisition Corporation, TriSalus Life Sciences,</w:t>
            </w:r>
          </w:p>
        </w:tc>
      </w:tr>
      <w:tr>
        <w:trPr>
          <w:trHeight w:val="193"/>
        </w:trPr>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60" w:type="dxa"/>
            <w:vAlign w:val="bottom"/>
            <w:tcBorders>
              <w:top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Inc., and MedTech Acquisition Sponsor LLC.</w:t>
            </w:r>
          </w:p>
        </w:tc>
        <w:tc>
          <w:tcPr>
            <w:tcW w:w="320" w:type="dxa"/>
            <w:vAlign w:val="bottom"/>
            <w:gridSpan w:val="5"/>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3"/>
        </w:trPr>
        <w:tc>
          <w:tcPr>
            <w:tcW w:w="320" w:type="dxa"/>
            <w:vAlign w:val="bottom"/>
            <w:tcBorders>
              <w:bottom w:val="single" w:sz="8" w:color="0000EE"/>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400" w:type="dxa"/>
            <w:vAlign w:val="bottom"/>
            <w:tcBorders>
              <w:bottom w:val="single" w:sz="8" w:color="0000EE"/>
            </w:tcBorders>
            <w:gridSpan w:val="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Form of Stockholder Support Agreement, by and among MedTech Acquisition Corporation, TriSalus Life Sciences, Inc. and certain</w:t>
            </w:r>
          </w:p>
        </w:tc>
        <w:tc>
          <w:tcPr>
            <w:tcW w:w="580" w:type="dxa"/>
            <w:vAlign w:val="bottom"/>
            <w:tcBorders>
              <w:bottom w:val="single" w:sz="8" w:color="CCEEFF"/>
            </w:tcBorders>
            <w:gridSpan w:val="7"/>
            <w:shd w:val="clear" w:color="auto" w:fill="CCEEFF"/>
          </w:tcPr>
          <w:p>
            <w:pPr>
              <w:spacing w:after="0"/>
              <w:rPr>
                <w:sz w:val="15"/>
                <w:szCs w:val="15"/>
                <w:color w:val="auto"/>
              </w:rPr>
            </w:pPr>
          </w:p>
        </w:tc>
      </w:tr>
      <w:tr>
        <w:trPr>
          <w:trHeight w:val="193"/>
        </w:trPr>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80" w:type="dxa"/>
            <w:vAlign w:val="bottom"/>
            <w:gridSpan w:val="1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stockholders of TriSalus Life Sciences, Inc.</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3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16"/>
          </w:tcPr>
          <w:p>
            <w:pPr>
              <w:spacing w:after="0" w:line="174" w:lineRule="exact"/>
              <w:rPr>
                <w:sz w:val="20"/>
                <w:szCs w:val="20"/>
                <w:color w:val="auto"/>
              </w:rPr>
            </w:pPr>
            <w:r>
              <w:rPr>
                <w:rFonts w:ascii="Times New Roman" w:cs="Times New Roman" w:eastAsia="Times New Roman" w:hAnsi="Times New Roman"/>
                <w:sz w:val="18"/>
                <w:szCs w:val="18"/>
                <w:color w:val="0000EE"/>
                <w:w w:val="98"/>
              </w:rPr>
              <w:t>Amendment to Underwriting Agreement, dated as of November 11, 2022, by and between MedTech Acquisition Corporation and Raymond</w:t>
            </w:r>
          </w:p>
        </w:tc>
      </w:tr>
      <w:tr>
        <w:trPr>
          <w:trHeight w:val="193"/>
        </w:trPr>
        <w:tc>
          <w:tcPr>
            <w:tcW w:w="3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40" w:type="dxa"/>
            <w:vAlign w:val="bottom"/>
            <w:tcBorders>
              <w:top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James &amp; Associates, Inc.</w:t>
            </w:r>
          </w:p>
        </w:tc>
        <w:tc>
          <w:tcPr>
            <w:tcW w:w="4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3"/>
        </w:trPr>
        <w:tc>
          <w:tcPr>
            <w:tcW w:w="320" w:type="dxa"/>
            <w:vAlign w:val="bottom"/>
            <w:tcBorders>
              <w:bottom w:val="single" w:sz="8" w:color="0000EE"/>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800" w:type="dxa"/>
            <w:vAlign w:val="bottom"/>
            <w:tcBorders>
              <w:bottom w:val="single" w:sz="8" w:color="0000EE"/>
            </w:tcBorders>
            <w:gridSpan w:val="1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Term Sheet, dated as of November 11, 2022, by and among MedTech Acquisition Corporation, TriSalus Life Sciences, Inc. and Magnetar</w:t>
            </w:r>
          </w:p>
        </w:tc>
        <w:tc>
          <w:tcPr>
            <w:tcW w:w="180" w:type="dxa"/>
            <w:vAlign w:val="bottom"/>
            <w:tcBorders>
              <w:bottom w:val="single" w:sz="8" w:color="CCEEFF"/>
            </w:tcBorders>
            <w:gridSpan w:val="3"/>
            <w:shd w:val="clear" w:color="auto" w:fill="CCEEFF"/>
          </w:tcPr>
          <w:p>
            <w:pPr>
              <w:spacing w:after="0"/>
              <w:rPr>
                <w:sz w:val="15"/>
                <w:szCs w:val="15"/>
                <w:color w:val="auto"/>
              </w:rPr>
            </w:pPr>
          </w:p>
        </w:tc>
      </w:tr>
      <w:tr>
        <w:trPr>
          <w:trHeight w:val="214"/>
        </w:trPr>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0000EE"/>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w w:val="97"/>
              </w:rPr>
              <w:t>Capital LLC</w:t>
            </w:r>
          </w:p>
        </w:tc>
        <w:tc>
          <w:tcPr>
            <w:tcW w:w="9080" w:type="dxa"/>
            <w:vAlign w:val="bottom"/>
            <w:tcBorders>
              <w:bottom w:val="single" w:sz="8" w:color="CCEEFF"/>
            </w:tcBorders>
            <w:gridSpan w:val="15"/>
            <w:shd w:val="clear" w:color="auto" w:fill="CCEEFF"/>
          </w:tcPr>
          <w:p>
            <w:pPr>
              <w:spacing w:after="0"/>
              <w:rPr>
                <w:sz w:val="18"/>
                <w:szCs w:val="18"/>
                <w:color w:val="auto"/>
              </w:rPr>
            </w:pPr>
          </w:p>
        </w:tc>
      </w:tr>
      <w:tr>
        <w:trPr>
          <w:trHeight w:val="173"/>
        </w:trPr>
        <w:tc>
          <w:tcPr>
            <w:tcW w:w="40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16"/>
          </w:tcPr>
          <w:p>
            <w:pPr>
              <w:spacing w:after="0" w:line="174" w:lineRule="exact"/>
              <w:rPr>
                <w:sz w:val="20"/>
                <w:szCs w:val="20"/>
                <w:color w:val="auto"/>
              </w:rPr>
            </w:pPr>
            <w:r>
              <w:rPr>
                <w:rFonts w:ascii="Times New Roman" w:cs="Times New Roman" w:eastAsia="Times New Roman" w:hAnsi="Times New Roman"/>
                <w:sz w:val="18"/>
                <w:szCs w:val="18"/>
                <w:color w:val="0000EE"/>
              </w:rPr>
              <w:t>Press Release, dated November 14, 2022.</w:t>
            </w: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320" w:type="dxa"/>
            <w:vAlign w:val="bottom"/>
            <w:tcBorders>
              <w:bottom w:val="single" w:sz="8" w:color="0000EE"/>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0000EE"/>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Investor Presentation.</w:t>
            </w:r>
          </w:p>
        </w:tc>
        <w:tc>
          <w:tcPr>
            <w:tcW w:w="8420" w:type="dxa"/>
            <w:vAlign w:val="bottom"/>
            <w:tcBorders>
              <w:bottom w:val="single" w:sz="8" w:color="CCEEFF"/>
            </w:tcBorders>
            <w:gridSpan w:val="14"/>
            <w:shd w:val="clear" w:color="auto" w:fill="CCEEFF"/>
          </w:tcPr>
          <w:p>
            <w:pPr>
              <w:spacing w:after="0"/>
              <w:rPr>
                <w:sz w:val="16"/>
                <w:szCs w:val="16"/>
                <w:color w:val="auto"/>
              </w:rPr>
            </w:pPr>
          </w:p>
        </w:tc>
      </w:tr>
      <w:tr>
        <w:trPr>
          <w:trHeight w:val="2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6" w:lineRule="exact"/>
        <w:rPr>
          <w:sz w:val="20"/>
          <w:szCs w:val="20"/>
          <w:color w:val="auto"/>
        </w:rPr>
      </w:pPr>
    </w:p>
    <w:p>
      <w:pPr>
        <w:jc w:val="both"/>
        <w:ind w:left="240" w:right="520" w:hanging="233"/>
        <w:spacing w:after="0" w:line="262" w:lineRule="auto"/>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 provided, however, that MTAC may request confidential treatment pursuant to Rule 24b-2 of the Exchange Act, as amended, for any schedule or exhibit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MedTech Acquisition Corporation</w:t>
      </w:r>
    </w:p>
    <w:p>
      <w:pPr>
        <w:spacing w:after="0" w:line="264"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November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C. Dewey</w:t>
      </w:r>
    </w:p>
    <w:p>
      <w:pPr>
        <w:spacing w:after="0" w:line="4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Christopher C.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-127635</wp:posOffset>
            </wp:positionV>
            <wp:extent cx="32029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060"/>
          </w:cols>
          <w:pgMar w:left="320" w:top="891" w:right="5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153670</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170815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MEDTECH ACQUISITION CORPORATION,</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MTAC MERGER SUB,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November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162560</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179070</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475615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3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6"/>
        </w:trPr>
        <w:tc>
          <w:tcPr>
            <w:tcW w:w="1600" w:type="dxa"/>
            <w:vAlign w:val="bottom"/>
          </w:tcPr>
          <w:p>
            <w:pPr>
              <w:spacing w:after="0"/>
              <w:rPr>
                <w:sz w:val="20"/>
                <w:szCs w:val="20"/>
                <w:color w:val="auto"/>
              </w:rPr>
            </w:pPr>
          </w:p>
        </w:tc>
        <w:tc>
          <w:tcPr>
            <w:tcW w:w="712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r>
      <w:tr>
        <w:trPr>
          <w:trHeight w:val="427"/>
        </w:trPr>
        <w:tc>
          <w:tcPr>
            <w:tcW w:w="16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08"/>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CERTAIN 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1.01</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1.02</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1.03</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Knowledge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1.04</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Equitable Adjustments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THE MERGER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2.01</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Merger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2.02</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Time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2.03</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the Merger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2.04</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Documents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2.05</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 and Officers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2.06</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MERGER CONSIDERATION; CONVERSION OF SECURITIES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3.01</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Merger Consideration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3.02</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on Capital Stock</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3.03</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Procedures; Stockholder Deliverables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3.04</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Lost Certificate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3.05</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Dissenting Shares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3.06</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Treatment of Company Warrants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3.07</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Treatment of Company Options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9"/>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3.08</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 Rights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CLOSING TRANSACTIONS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4.01</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4.02</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Closing Statement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 OF THE COMPANY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5.01</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Organization of the Company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5.02</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5.03</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Authorization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5.04</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Conflict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5.05</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Authorities; Consents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5.06</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Capitalization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5.07</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5.08</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Undisclosed Liabilities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5.09</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and Proceedings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5.10</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5.11</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Contracts; No Defaults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5.12</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Benefit Plans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5.13</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Labor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5.14</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5.15</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5.16</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Permits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5.17</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Machinery, Equipment and Other Tangible Property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5.18</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Property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5.19</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 Information Technology and Data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5.20</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2"/>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5.21</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Changes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7"/>
        </w:trPr>
        <w:tc>
          <w:tcPr>
            <w:tcW w:w="1600" w:type="dxa"/>
            <w:vAlign w:val="bottom"/>
          </w:tcPr>
          <w:p>
            <w:pPr>
              <w:spacing w:after="0"/>
              <w:rPr>
                <w:sz w:val="18"/>
                <w:szCs w:val="18"/>
                <w:color w:val="auto"/>
              </w:rPr>
            </w:pPr>
          </w:p>
        </w:tc>
        <w:tc>
          <w:tcPr>
            <w:tcW w:w="762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tcPr>
          <w:p>
            <w:pPr>
              <w:spacing w:after="0"/>
              <w:rPr>
                <w:sz w:val="18"/>
                <w:szCs w:val="18"/>
                <w:color w:val="auto"/>
              </w:rPr>
            </w:pPr>
          </w:p>
        </w:tc>
      </w:tr>
      <w:tr>
        <w:trPr>
          <w:trHeight w:val="232"/>
        </w:trPr>
        <w:tc>
          <w:tcPr>
            <w:tcW w:w="1600" w:type="dxa"/>
            <w:vAlign w:val="bottom"/>
          </w:tcPr>
          <w:p>
            <w:pPr>
              <w:spacing w:after="0"/>
              <w:rPr>
                <w:sz w:val="20"/>
                <w:szCs w:val="20"/>
                <w:color w:val="auto"/>
              </w:rPr>
            </w:pPr>
          </w:p>
        </w:tc>
        <w:tc>
          <w:tcPr>
            <w:tcW w:w="762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(continued)</w:t>
            </w:r>
          </w:p>
        </w:tc>
        <w:tc>
          <w:tcPr>
            <w:tcW w:w="2020" w:type="dxa"/>
            <w:vAlign w:val="bottom"/>
          </w:tcPr>
          <w:p>
            <w:pPr>
              <w:spacing w:after="0"/>
              <w:rPr>
                <w:sz w:val="20"/>
                <w:szCs w:val="20"/>
                <w:color w:val="auto"/>
              </w:rPr>
            </w:pPr>
          </w:p>
        </w:tc>
      </w:tr>
      <w:tr>
        <w:trPr>
          <w:trHeight w:val="454"/>
        </w:trPr>
        <w:tc>
          <w:tcPr>
            <w:tcW w:w="16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08"/>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5.22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 Fees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5.23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Healthcare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5.24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Regulatory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5.25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5.26</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5.27</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Contracts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5.28</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FDA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7"/>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REPRESENTATIONS AND WARRANTIES OF ACQUIROR PARTIES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Organization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Authorization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Conflict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and Proceedings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Authorities; Consents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6.06</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Ability; Trust Account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6.07</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 Fees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6.08</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Reports; Financial Statements; Sarbanes-Oxley Act; Undisclosed Liabilities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6.09</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Activities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6.10</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Nasdaq Stock Market Listing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Company Act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6.16</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Changes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6.17</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Registration Statement; Proxy Statement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6.18</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Code Section 280G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9"/>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6.19</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Acquiror Material Contracts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7"/>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COVENANTS OF THE COMPANY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7.01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Business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7.02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Inspection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7.03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Claim Against the Trust Account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7.04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Proxy Solicitation; Other Actions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7.05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Code Section 280G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7.06</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FIRPTA Certificates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7.07</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Stockholder Approval; Support Agreements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7.08</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Information Prior to 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7.09</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Employment Agreements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7.10</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 of Inventions Agreements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7.11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Contemplated Interim Financing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9"/>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7.12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Warrants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7"/>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COVENANTS OF ACQUIROR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8.01</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Acquiror During the Interim Period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8.02</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Future PIPE Investment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8.03</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Inspection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3"/>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8.04</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16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2"/>
        </w:trPr>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8.05</w:t>
            </w:r>
          </w:p>
        </w:tc>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LTIP; ESPP</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7"/>
        </w:trPr>
        <w:tc>
          <w:tcPr>
            <w:tcW w:w="1660" w:type="dxa"/>
            <w:vAlign w:val="bottom"/>
          </w:tcPr>
          <w:p>
            <w:pPr>
              <w:spacing w:after="0"/>
              <w:rPr>
                <w:sz w:val="18"/>
                <w:szCs w:val="18"/>
                <w:color w:val="auto"/>
              </w:rPr>
            </w:pPr>
          </w:p>
        </w:tc>
        <w:tc>
          <w:tcPr>
            <w:tcW w:w="706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18"/>
                <w:szCs w:val="18"/>
                <w:color w:val="auto"/>
              </w:rPr>
            </w:pPr>
          </w:p>
        </w:tc>
      </w:tr>
      <w:tr>
        <w:trPr>
          <w:trHeight w:val="232"/>
        </w:trPr>
        <w:tc>
          <w:tcPr>
            <w:tcW w:w="1660" w:type="dxa"/>
            <w:vAlign w:val="bottom"/>
          </w:tcPr>
          <w:p>
            <w:pPr>
              <w:spacing w:after="0"/>
              <w:rPr>
                <w:sz w:val="20"/>
                <w:szCs w:val="20"/>
                <w:color w:val="auto"/>
              </w:rPr>
            </w:pPr>
          </w:p>
        </w:tc>
        <w:tc>
          <w:tcPr>
            <w:tcW w:w="706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(continued)</w:t>
            </w:r>
          </w:p>
        </w:tc>
        <w:tc>
          <w:tcPr>
            <w:tcW w:w="2520" w:type="dxa"/>
            <w:vAlign w:val="bottom"/>
          </w:tcPr>
          <w:p>
            <w:pPr>
              <w:spacing w:after="0"/>
              <w:rPr>
                <w:sz w:val="20"/>
                <w:szCs w:val="20"/>
                <w:color w:val="auto"/>
              </w:rPr>
            </w:pPr>
          </w:p>
        </w:tc>
      </w:tr>
      <w:tr>
        <w:trPr>
          <w:trHeight w:val="454"/>
        </w:trPr>
        <w:tc>
          <w:tcPr>
            <w:tcW w:w="166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08"/>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8.06</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Nasdaq Listing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8.07</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Separation of Units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8.08</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Acquiror Public Filings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8.09</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 Litigation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9"/>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8.10</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to Underwriting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JOINT COVENANTS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9.01</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9.02</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Registration Statement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9.03</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Acquiror Special Meeting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9.04</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Exclusivity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9.05</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9.06</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9.07</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 Publicity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9.08</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Cooperation; Further Assurances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9.09</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Board of Directors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9"/>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9.10</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Extensions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CONDITIONS TO OBLIGATIONS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10.01</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Obligations of All Parties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10.02</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Conditions to Obligations of Acquiror Parties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10.03</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Conditions to the Obligations of the Company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9"/>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10.04</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Frustration of Conditions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TERMINATION/EFFECTIVENESS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11.01</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9"/>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11.02</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Termination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 MISCELLANEOUS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12.01</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12.02</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12.03</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12.04</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Third Parties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12.05</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12.06</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12.07</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Captions; Counterparts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12.08</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Schedules and Exhibits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12.09</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12.10</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12.11</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12.12</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Jurisdiction; WAIVER OF TRIAL BY JURY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12.13</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Enforcement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12.14</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Non-Recourse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12.15</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Nonsurvival of Representations, Warranties and Covenants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3"/>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12.16</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2"/>
        </w:trPr>
        <w:tc>
          <w:tcPr>
            <w:tcW w:w="1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Section 12.17</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Conflicts and Privilege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3" w:name="page14"/>
    <w:bookmarkEnd w:id="13"/>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A -</w:t>
      </w:r>
      <w:r>
        <w:rPr>
          <w:sz w:val="20"/>
          <w:szCs w:val="20"/>
          <w:color w:val="auto"/>
        </w:rPr>
        <w:tab/>
      </w:r>
      <w:r>
        <w:rPr>
          <w:rFonts w:ascii="Times New Roman" w:cs="Times New Roman" w:eastAsia="Times New Roman" w:hAnsi="Times New Roman"/>
          <w:sz w:val="17"/>
          <w:szCs w:val="17"/>
          <w:color w:val="auto"/>
        </w:rPr>
        <w:t>Form of Sponsor Support Agreement</w:t>
      </w:r>
    </w:p>
    <w:p>
      <w:pPr>
        <w:spacing w:after="0" w:line="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B -</w:t>
      </w:r>
      <w:r>
        <w:rPr>
          <w:sz w:val="20"/>
          <w:szCs w:val="20"/>
          <w:color w:val="auto"/>
        </w:rPr>
        <w:tab/>
      </w:r>
      <w:r>
        <w:rPr>
          <w:rFonts w:ascii="Times New Roman" w:cs="Times New Roman" w:eastAsia="Times New Roman" w:hAnsi="Times New Roman"/>
          <w:sz w:val="17"/>
          <w:szCs w:val="17"/>
          <w:color w:val="auto"/>
        </w:rPr>
        <w:t>Form of Support Agreement</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C -</w:t>
      </w:r>
      <w:r>
        <w:rPr>
          <w:sz w:val="20"/>
          <w:szCs w:val="20"/>
          <w:color w:val="auto"/>
        </w:rPr>
        <w:tab/>
      </w:r>
      <w:r>
        <w:rPr>
          <w:rFonts w:ascii="Times New Roman" w:cs="Times New Roman" w:eastAsia="Times New Roman" w:hAnsi="Times New Roman"/>
          <w:sz w:val="17"/>
          <w:szCs w:val="17"/>
          <w:color w:val="auto"/>
        </w:rPr>
        <w:t>Form of Acquiror Charter</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D -</w:t>
      </w:r>
      <w:r>
        <w:rPr>
          <w:sz w:val="20"/>
          <w:szCs w:val="20"/>
          <w:color w:val="auto"/>
        </w:rPr>
        <w:tab/>
      </w:r>
      <w:r>
        <w:rPr>
          <w:rFonts w:ascii="Times New Roman" w:cs="Times New Roman" w:eastAsia="Times New Roman" w:hAnsi="Times New Roman"/>
          <w:sz w:val="17"/>
          <w:szCs w:val="17"/>
          <w:color w:val="auto"/>
        </w:rPr>
        <w:t>Form of Acquiror Bylaws</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E -</w:t>
      </w:r>
      <w:r>
        <w:rPr>
          <w:sz w:val="20"/>
          <w:szCs w:val="20"/>
          <w:color w:val="auto"/>
        </w:rPr>
        <w:tab/>
      </w:r>
      <w:r>
        <w:rPr>
          <w:rFonts w:ascii="Times New Roman" w:cs="Times New Roman" w:eastAsia="Times New Roman" w:hAnsi="Times New Roman"/>
          <w:sz w:val="17"/>
          <w:szCs w:val="17"/>
          <w:color w:val="auto"/>
        </w:rPr>
        <w:t>Form of Registration Rights Agreement</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F -</w:t>
      </w:r>
      <w:r>
        <w:rPr>
          <w:sz w:val="20"/>
          <w:szCs w:val="20"/>
          <w:color w:val="auto"/>
        </w:rPr>
        <w:tab/>
      </w:r>
      <w:r>
        <w:rPr>
          <w:rFonts w:ascii="Times New Roman" w:cs="Times New Roman" w:eastAsia="Times New Roman" w:hAnsi="Times New Roman"/>
          <w:sz w:val="17"/>
          <w:szCs w:val="17"/>
          <w:color w:val="auto"/>
        </w:rPr>
        <w:t>Form of Lock-Up Agreement</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G -</w:t>
      </w:r>
      <w:r>
        <w:rPr>
          <w:sz w:val="20"/>
          <w:szCs w:val="20"/>
          <w:color w:val="auto"/>
        </w:rPr>
        <w:tab/>
      </w:r>
      <w:r>
        <w:rPr>
          <w:rFonts w:ascii="Times New Roman" w:cs="Times New Roman" w:eastAsia="Times New Roman" w:hAnsi="Times New Roman"/>
          <w:sz w:val="17"/>
          <w:szCs w:val="17"/>
          <w:color w:val="auto"/>
        </w:rPr>
        <w:t>Form of Certificate of Merger</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H -</w:t>
      </w:r>
      <w:r>
        <w:rPr>
          <w:sz w:val="20"/>
          <w:szCs w:val="20"/>
          <w:color w:val="auto"/>
        </w:rPr>
        <w:tab/>
      </w:r>
      <w:r>
        <w:rPr>
          <w:rFonts w:ascii="Times New Roman" w:cs="Times New Roman" w:eastAsia="Times New Roman" w:hAnsi="Times New Roman"/>
          <w:sz w:val="17"/>
          <w:szCs w:val="17"/>
          <w:color w:val="auto"/>
        </w:rPr>
        <w:t>Form of Acquiror LTIP</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I -</w:t>
      </w:r>
      <w:r>
        <w:rPr>
          <w:sz w:val="20"/>
          <w:szCs w:val="20"/>
          <w:color w:val="auto"/>
        </w:rPr>
        <w:tab/>
      </w:r>
      <w:r>
        <w:rPr>
          <w:rFonts w:ascii="Times New Roman" w:cs="Times New Roman" w:eastAsia="Times New Roman" w:hAnsi="Times New Roman"/>
          <w:sz w:val="17"/>
          <w:szCs w:val="17"/>
          <w:color w:val="auto"/>
        </w:rPr>
        <w:t>Form of Acquiror ESPP</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J -</w:t>
      </w:r>
      <w:r>
        <w:rPr>
          <w:sz w:val="20"/>
          <w:szCs w:val="20"/>
          <w:color w:val="auto"/>
        </w:rPr>
        <w:tab/>
      </w:r>
      <w:r>
        <w:rPr>
          <w:rFonts w:ascii="Times New Roman" w:cs="Times New Roman" w:eastAsia="Times New Roman" w:hAnsi="Times New Roman"/>
          <w:sz w:val="17"/>
          <w:szCs w:val="17"/>
          <w:color w:val="auto"/>
        </w:rPr>
        <w:t>Form of Extension Note</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 AND PLAN OF MERGER</w:t>
      </w:r>
    </w:p>
    <w:p>
      <w:pPr>
        <w:spacing w:after="0" w:line="224"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November 11, 2022, (the “</w:t>
      </w:r>
      <w:r>
        <w:rPr>
          <w:rFonts w:ascii="Times New Roman" w:cs="Times New Roman" w:eastAsia="Times New Roman" w:hAnsi="Times New Roman"/>
          <w:sz w:val="18"/>
          <w:szCs w:val="18"/>
          <w:u w:val="single" w:color="auto"/>
          <w:color w:val="auto"/>
        </w:rPr>
        <w:t>Agreement Date</w:t>
      </w:r>
      <w:r>
        <w:rPr>
          <w:rFonts w:ascii="Times New Roman" w:cs="Times New Roman" w:eastAsia="Times New Roman" w:hAnsi="Times New Roman"/>
          <w:sz w:val="18"/>
          <w:szCs w:val="18"/>
          <w:color w:val="auto"/>
        </w:rPr>
        <w:t>”) by and among MedTech Acquisition Corporation, a Delaware corporation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MTAC Merger Sub, Inc., a Delaware corporation and direct, wholly owned subsidiary of Acquiror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TriSalus Life Sciences,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Acquiror, Merger Sub and the Company are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xml:space="preserve">.” Capitalized terms used and not otherwise defined herein have the meanings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4" w:lineRule="exact"/>
        <w:rPr>
          <w:sz w:val="20"/>
          <w:szCs w:val="20"/>
          <w:color w:val="auto"/>
        </w:rPr>
      </w:pPr>
    </w:p>
    <w:p>
      <w:pPr>
        <w:ind w:right="700" w:firstLine="640"/>
        <w:spacing w:after="0" w:line="277" w:lineRule="auto"/>
        <w:rPr>
          <w:sz w:val="20"/>
          <w:szCs w:val="20"/>
          <w:color w:val="auto"/>
        </w:rPr>
      </w:pPr>
      <w:r>
        <w:rPr>
          <w:rFonts w:ascii="Times New Roman" w:cs="Times New Roman" w:eastAsia="Times New Roman" w:hAnsi="Times New Roman"/>
          <w:sz w:val="18"/>
          <w:szCs w:val="18"/>
          <w:color w:val="auto"/>
        </w:rPr>
        <w:t>WHEREAS, Acquiror is a blank check company incorporated in Delaware to acquire one or more operating businesses through a Business Combination;</w:t>
      </w:r>
    </w:p>
    <w:p>
      <w:pPr>
        <w:spacing w:after="0" w:line="163"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WHEREAS, on the terms and subject to the conditions of this Agreement and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other applicable Laws, the Parties intend to enter into a business combination transaction by which: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being the surviving corporation of the Merger (the Company, in its capacity as the surviving corporation of the Merger, is sometimes referred to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0" w:firstLine="640"/>
        <w:spacing w:after="0" w:line="262" w:lineRule="auto"/>
        <w:rPr>
          <w:sz w:val="20"/>
          <w:szCs w:val="20"/>
          <w:color w:val="auto"/>
        </w:rPr>
      </w:pPr>
      <w:r>
        <w:rPr>
          <w:rFonts w:ascii="Times New Roman" w:cs="Times New Roman" w:eastAsia="Times New Roman" w:hAnsi="Times New Roman"/>
          <w:sz w:val="18"/>
          <w:szCs w:val="18"/>
          <w:color w:val="auto"/>
        </w:rPr>
        <w:t>WHEREAS, for U.S. federal income tax purposes (and for purposes of any applicable state or local income Tax that follows the U.S. federal income tax treatment), each of the Parties intends that the Merger will constitute a transaction that qualifies as a “reorganization” within the meaning of Code Section 368(a) and the Treasury Regulations thereunder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640"/>
        <w:spacing w:after="0" w:line="257" w:lineRule="auto"/>
        <w:rPr>
          <w:sz w:val="20"/>
          <w:szCs w:val="20"/>
          <w:color w:val="auto"/>
        </w:rPr>
      </w:pPr>
      <w:r>
        <w:rPr>
          <w:rFonts w:ascii="Times New Roman" w:cs="Times New Roman" w:eastAsia="Times New Roman" w:hAnsi="Times New Roman"/>
          <w:sz w:val="18"/>
          <w:szCs w:val="18"/>
          <w:color w:val="auto"/>
        </w:rPr>
        <w:t>WHEREAS, the board of directors of the Company has (i) determined that it is in the best interests of the Company and the Company Stockholders, and declared it advisable, to enter into this Agreement providing for the Merger in accordance with the DGCL, (ii) approved this Agreement, the other Transaction Agreements and the Transactions, including the Merger, on the terms and subject to the conditions of this Agreement, and (iii) adopted a resolution recommending that the plan of merger set forth in this Agreement be adopted by the Company Stockholders;</w:t>
      </w:r>
    </w:p>
    <w:p>
      <w:pPr>
        <w:spacing w:after="0" w:line="181" w:lineRule="exact"/>
        <w:rPr>
          <w:sz w:val="20"/>
          <w:szCs w:val="20"/>
          <w:color w:val="auto"/>
        </w:rPr>
      </w:pPr>
    </w:p>
    <w:p>
      <w:pPr>
        <w:ind w:right="260" w:firstLine="640"/>
        <w:spacing w:after="0" w:line="257" w:lineRule="auto"/>
        <w:rPr>
          <w:sz w:val="20"/>
          <w:szCs w:val="20"/>
          <w:color w:val="auto"/>
        </w:rPr>
      </w:pPr>
      <w:r>
        <w:rPr>
          <w:rFonts w:ascii="Times New Roman" w:cs="Times New Roman" w:eastAsia="Times New Roman" w:hAnsi="Times New Roman"/>
          <w:sz w:val="18"/>
          <w:szCs w:val="18"/>
          <w:color w:val="auto"/>
        </w:rPr>
        <w:t>WHEREAS, the board of directors of Acquiror has (i) determined that it is in the best interests of Acquiror and the stockholders of Acquiror, and declared it advisable, to enter into this Agreement providing for the Merger in accordance with the DGCL, (ii) approved this Agreement and the Transactions, including the Merger, on the terms and subject to the conditions of this Agreement and (iii) adopted a resolution recommending to its stockholders that they approve the Acquiror Stockholder Matters (the “</w:t>
      </w:r>
      <w:r>
        <w:rPr>
          <w:rFonts w:ascii="Times New Roman" w:cs="Times New Roman" w:eastAsia="Times New Roman" w:hAnsi="Times New Roman"/>
          <w:sz w:val="18"/>
          <w:szCs w:val="18"/>
          <w:u w:val="single" w:color="auto"/>
          <w:color w:val="auto"/>
        </w:rPr>
        <w:t>Acquiror Board Recommendation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0" w:firstLine="640"/>
        <w:spacing w:after="0" w:line="271" w:lineRule="auto"/>
        <w:rPr>
          <w:sz w:val="20"/>
          <w:szCs w:val="20"/>
          <w:color w:val="auto"/>
        </w:rPr>
      </w:pPr>
      <w:r>
        <w:rPr>
          <w:rFonts w:ascii="Times New Roman" w:cs="Times New Roman" w:eastAsia="Times New Roman" w:hAnsi="Times New Roman"/>
          <w:sz w:val="17"/>
          <w:szCs w:val="17"/>
          <w:color w:val="auto"/>
        </w:rPr>
        <w:t>WHEREAS, as a material inducement to the Company’s willingness to enter into this Agreement, concurrently with the execution and delivery of this Agreement, Acquiror, Sponsor and the Company are entering into a Sponsor Support Agreement (the “</w:t>
      </w:r>
      <w:r>
        <w:rPr>
          <w:rFonts w:ascii="Times New Roman" w:cs="Times New Roman" w:eastAsia="Times New Roman" w:hAnsi="Times New Roman"/>
          <w:sz w:val="17"/>
          <w:szCs w:val="17"/>
          <w:u w:val="single" w:color="auto"/>
          <w:color w:val="auto"/>
        </w:rPr>
        <w:t>Sponsor Support Agreement</w:t>
      </w:r>
      <w:r>
        <w:rPr>
          <w:rFonts w:ascii="Times New Roman" w:cs="Times New Roman" w:eastAsia="Times New Roman" w:hAnsi="Times New Roman"/>
          <w:sz w:val="17"/>
          <w:szCs w:val="17"/>
          <w:color w:val="auto"/>
        </w:rPr>
        <w:t xml:space="preserve">”), substantially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pursuant to which, among other things: (i) Sponsor agreed to waive its anti-dilution rights in the Acquiror Certificate of Incorporation with respect to the automatic conversion of Founder Shares into shares of Acquiror Class A Common Stock as of immediately prior to Closing; and (ii) certain Founder Shares held by the Sponsor at the Closing will be subject to certain vesting and forfeiture provisions as set forth in the Sponsor Support Agreement, including for purposes of satisfying Acquiror Transaction Expenses incurred in excess of the Acquiror Transaction Expenses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407670</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ind w:right="20" w:firstLine="640"/>
        <w:spacing w:after="0" w:line="252" w:lineRule="auto"/>
        <w:rPr>
          <w:sz w:val="20"/>
          <w:szCs w:val="20"/>
          <w:color w:val="auto"/>
        </w:rPr>
      </w:pPr>
      <w:r>
        <w:rPr>
          <w:rFonts w:ascii="Times New Roman" w:cs="Times New Roman" w:eastAsia="Times New Roman" w:hAnsi="Times New Roman"/>
          <w:sz w:val="18"/>
          <w:szCs w:val="18"/>
          <w:color w:val="auto"/>
        </w:rPr>
        <w:t>WHEREAS, as a material inducement to Acquiror Parties’ willingness to enter into this Agreement, simultaneously with the execution and delivery of this Agreement, the Company Requisite Stockholders shall have each executed support agreements (collectively, the “</w:t>
      </w:r>
      <w:r>
        <w:rPr>
          <w:rFonts w:ascii="Times New Roman" w:cs="Times New Roman" w:eastAsia="Times New Roman" w:hAnsi="Times New Roman"/>
          <w:sz w:val="18"/>
          <w:szCs w:val="18"/>
          <w:u w:val="single" w:color="auto"/>
          <w:color w:val="auto"/>
        </w:rPr>
        <w:t>Support Agreements</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pursuant to which the Company Requisite Stockholders have agreed to, among other things, provide their written consent, within twenty (20) days following the receipt by such Company Requisite Stockholder of the Information Statement delivered after the effectiveness of the Registration Statement in accordance with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to (a) adopt and approve this Agreement and the Merger, and the other documents contemplated hereby and the Transactions contemplated hereby and thereby, (b) adopt and approve, in accordance with the terms and subject to the conditions of the Company Certificate of Incorporation, the Preferred Conversion and (c) effect the Preferred Conversion;</w:t>
      </w:r>
    </w:p>
    <w:p>
      <w:pPr>
        <w:spacing w:after="0" w:line="187" w:lineRule="exact"/>
        <w:rPr>
          <w:sz w:val="20"/>
          <w:szCs w:val="20"/>
          <w:color w:val="auto"/>
        </w:rPr>
      </w:pPr>
    </w:p>
    <w:p>
      <w:pPr>
        <w:ind w:right="260" w:firstLine="640"/>
        <w:spacing w:after="0" w:line="262" w:lineRule="auto"/>
        <w:rPr>
          <w:sz w:val="20"/>
          <w:szCs w:val="20"/>
          <w:color w:val="auto"/>
        </w:rPr>
      </w:pPr>
      <w:r>
        <w:rPr>
          <w:rFonts w:ascii="Times New Roman" w:cs="Times New Roman" w:eastAsia="Times New Roman" w:hAnsi="Times New Roman"/>
          <w:sz w:val="18"/>
          <w:szCs w:val="18"/>
          <w:color w:val="auto"/>
        </w:rPr>
        <w:t xml:space="preserve">WHEREAS, as a condition to the consummation of the Transactions, Acquiror shall provide an opportunity to the stockholders of Acquiror to exercise their rights to participate in the Acquiror Stockholder Redemption in conjunction with,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obtaining approval from the stockholders of the Acquiror for (i) the Extension or (ii) the Transactions;</w:t>
      </w:r>
    </w:p>
    <w:p>
      <w:pPr>
        <w:spacing w:after="0" w:line="176"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WHEREAS, pursuant to the Acquiror Organizational Documents, shares of Acquiror Class B Common Stock shall automatically convert into shares of Acquiror Class A Common Stock in connection with the Transactions;</w:t>
      </w:r>
    </w:p>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WHEREAS, immediately prior to the Effective Time and subject to obtaining approval of the Acquiror Stockholder Matters, Acquiror shall</w:t>
      </w:r>
    </w:p>
    <w:p>
      <w:pPr>
        <w:spacing w:after="0" w:line="25" w:lineRule="exact"/>
        <w:rPr>
          <w:sz w:val="20"/>
          <w:szCs w:val="20"/>
          <w:color w:val="auto"/>
        </w:rPr>
      </w:pPr>
    </w:p>
    <w:p>
      <w:pPr>
        <w:ind w:right="160" w:firstLine="7"/>
        <w:spacing w:after="0" w:line="249" w:lineRule="auto"/>
        <w:tabs>
          <w:tab w:leader="none" w:pos="2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and restate the Acquiror Certificate of Incorporation to be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Acquiror Charter</w:t>
      </w:r>
      <w:r>
        <w:rPr>
          <w:rFonts w:ascii="Times New Roman" w:cs="Times New Roman" w:eastAsia="Times New Roman" w:hAnsi="Times New Roman"/>
          <w:sz w:val="18"/>
          <w:szCs w:val="18"/>
          <w:color w:val="auto"/>
        </w:rPr>
        <w:t>”) and effective immediately upon the filing and effectiveness of the Acquiror Charter, each one share of Acquiror Class A Common Stock and each one share of Acquiror Class B Common Stock that were issued and outstanding immediately prior to the Effective Time shall automatically be reclassified, redesignated and changed into one validly issued, fully paid and non-assessable share of Common Stock, par value $0.0001 per share of Acquiror (as defined in the Acquiror Charter,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and (ii) amend and restate the bylaws of Acquiror to be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Acquiror Bylaws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920" w:firstLine="640"/>
        <w:spacing w:after="0" w:line="277" w:lineRule="auto"/>
        <w:rPr>
          <w:sz w:val="20"/>
          <w:szCs w:val="20"/>
          <w:color w:val="auto"/>
        </w:rPr>
      </w:pPr>
      <w:r>
        <w:rPr>
          <w:rFonts w:ascii="Times New Roman" w:cs="Times New Roman" w:eastAsia="Times New Roman" w:hAnsi="Times New Roman"/>
          <w:sz w:val="18"/>
          <w:szCs w:val="18"/>
          <w:color w:val="auto"/>
        </w:rPr>
        <w:t>WHEREAS, in connection with the Closing, the Company Requisite Stockholders shall enter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18"/>
          <w:szCs w:val="18"/>
          <w:color w:val="auto"/>
        </w:rPr>
        <w:t>WHEREAS, as a material inducement to Acquiror’s and Merger Sub’s willingness to enter into this Agreement, concurrently with the effectiveness of this Agreement, and each effective as of the Closing, the Company Requisite Stockholders shall enter into a Lock-Up Agreement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substantially in the forms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in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intending to be legally bound, the Parties hereby agree as follows: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For purposes of this Agreement, the following capitalized terms have the following meanings: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has the meaning specified in the preamble 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Board Recommendation</w:t>
      </w:r>
      <w:r>
        <w:rPr>
          <w:rFonts w:ascii="Times New Roman" w:cs="Times New Roman" w:eastAsia="Times New Roman" w:hAnsi="Times New Roman"/>
          <w:sz w:val="18"/>
          <w:szCs w:val="18"/>
          <w:color w:val="auto"/>
        </w:rPr>
        <w:t>” has the meaning specified in the Recitals 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Bylaws</w:t>
      </w:r>
      <w:r>
        <w:rPr>
          <w:rFonts w:ascii="Times New Roman" w:cs="Times New Roman" w:eastAsia="Times New Roman" w:hAnsi="Times New Roman"/>
          <w:sz w:val="18"/>
          <w:szCs w:val="18"/>
          <w:color w:val="auto"/>
        </w:rPr>
        <w:t>” has the meaning specified in the Recitals hereto.</w:t>
      </w:r>
    </w:p>
    <w:p>
      <w:pPr>
        <w:spacing w:after="0" w:line="220" w:lineRule="exact"/>
        <w:rPr>
          <w:sz w:val="20"/>
          <w:szCs w:val="20"/>
          <w:color w:val="auto"/>
        </w:rPr>
      </w:pPr>
    </w:p>
    <w:p>
      <w:pPr>
        <w:ind w:right="10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Certificate of Incorporation</w:t>
      </w:r>
      <w:r>
        <w:rPr>
          <w:rFonts w:ascii="Times New Roman" w:cs="Times New Roman" w:eastAsia="Times New Roman" w:hAnsi="Times New Roman"/>
          <w:sz w:val="18"/>
          <w:szCs w:val="18"/>
          <w:color w:val="auto"/>
        </w:rPr>
        <w:t>” means the Amended and Restated Certificate of Incorporation of Acquiror, filed with the Secretary of State of the State of Delaware on December 17, 2020, as amended and in effect on the date hereof.</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Charter</w:t>
      </w:r>
      <w:r>
        <w:rPr>
          <w:rFonts w:ascii="Times New Roman" w:cs="Times New Roman" w:eastAsia="Times New Roman" w:hAnsi="Times New Roman"/>
          <w:sz w:val="18"/>
          <w:szCs w:val="18"/>
          <w:color w:val="auto"/>
        </w:rPr>
        <w:t>” has the meaning specified in the Recitals 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Class A Common Stock</w:t>
      </w:r>
      <w:r>
        <w:rPr>
          <w:rFonts w:ascii="Times New Roman" w:cs="Times New Roman" w:eastAsia="Times New Roman" w:hAnsi="Times New Roman"/>
          <w:sz w:val="18"/>
          <w:szCs w:val="18"/>
          <w:color w:val="auto"/>
        </w:rPr>
        <w:t>” means the Class A common stock, par value $0.0001 per share, of Acquiror.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Class B Common Stock</w:t>
      </w:r>
      <w:r>
        <w:rPr>
          <w:rFonts w:ascii="Times New Roman" w:cs="Times New Roman" w:eastAsia="Times New Roman" w:hAnsi="Times New Roman"/>
          <w:sz w:val="18"/>
          <w:szCs w:val="18"/>
          <w:color w:val="auto"/>
        </w:rPr>
        <w:t>” means the Class B common stock, par value $0.0001 per share, of Acquiror.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Common Stock</w:t>
      </w:r>
      <w:r>
        <w:rPr>
          <w:rFonts w:ascii="Times New Roman" w:cs="Times New Roman" w:eastAsia="Times New Roman" w:hAnsi="Times New Roman"/>
          <w:sz w:val="18"/>
          <w:szCs w:val="18"/>
          <w:color w:val="auto"/>
        </w:rPr>
        <w:t>” means the Acquiror Class A Common Stock and the Acquiror Class B Common Stock.</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Cure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11.01(d)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D&amp;O Tail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ESPP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40"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Fully Diluted Shares</w:t>
      </w:r>
      <w:r>
        <w:rPr>
          <w:rFonts w:ascii="Times New Roman" w:cs="Times New Roman" w:eastAsia="Times New Roman" w:hAnsi="Times New Roman"/>
          <w:sz w:val="18"/>
          <w:szCs w:val="18"/>
          <w:color w:val="auto"/>
        </w:rPr>
        <w:t>” means the number of shares of Common Stock, determined as of the applicable time of measurement, equal to the sum of (i) the total number of shares of Common Stock issued and outstanding and (ii) the total number of shares of Common Stock subject to securities that are convertible into or exercisable for shares of Common Stock (whether vested or unvested).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LTIP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6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Acquiror Material Adverse Effect</w:t>
      </w:r>
      <w:r>
        <w:rPr>
          <w:rFonts w:ascii="Times New Roman" w:cs="Times New Roman" w:eastAsia="Times New Roman" w:hAnsi="Times New Roman"/>
          <w:sz w:val="17"/>
          <w:szCs w:val="17"/>
          <w:color w:val="auto"/>
        </w:rPr>
        <w:t xml:space="preserve">” means any change, event or effect that has had, or would reasonably be expected to have, individually or in the aggregate, a material adverse effect on (a) the business, assets, results or operations or financial condition of Acquiror or (b) the ability of Acquiror or Merger Sub to perform their respective obligations under this Agreement or consummate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in no event shall any of the following, alone or in combination, be deemed to constitute, or be taken into account in determining whether there has been or will be, an “Acquiror Material Adverse Effect”: (i) the Acquiror Stockholder Redemption made in accordance with the Acquiror Certificate of Incorporation, (ii) any change in applicable Laws or GAAP or any interpretation thereof, or (iii) the announcement or the execution of this Agreement, the pendency or consummation of the Merger or the performance of this Agreement (provided that the exceptions in this clause (iii) shall not apply to any representation or warranty to the extent such representation or warranty relates to the consequences resulting from the announcement, execution, performance or existence of this Agreement, and, to the extent related thereto, the condition in </w:t>
      </w:r>
      <w:r>
        <w:rPr>
          <w:rFonts w:ascii="Times New Roman" w:cs="Times New Roman" w:eastAsia="Times New Roman" w:hAnsi="Times New Roman"/>
          <w:sz w:val="17"/>
          <w:szCs w:val="17"/>
          <w:u w:val="single" w:color="auto"/>
          <w:color w:val="auto"/>
        </w:rPr>
        <w:t>Section 10.03(a)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in the case of clauses (ii) and (iii) such changes may be taken into account to the extent that such changes have had or would reasonably be expected to have a disproportionate impact Acquiror as compared to other SPACs.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Acquiror Organizational Documents</w:t>
      </w:r>
      <w:r>
        <w:rPr>
          <w:rFonts w:ascii="Times New Roman" w:cs="Times New Roman" w:eastAsia="Times New Roman" w:hAnsi="Times New Roman"/>
          <w:sz w:val="17"/>
          <w:szCs w:val="17"/>
          <w:color w:val="auto"/>
        </w:rPr>
        <w:t>” means the Acquiror Certificate of Incorporation and Acquiror’s bylaws, as amended and in effect on the date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Parties</w:t>
      </w:r>
      <w:r>
        <w:rPr>
          <w:rFonts w:ascii="Times New Roman" w:cs="Times New Roman" w:eastAsia="Times New Roman" w:hAnsi="Times New Roman"/>
          <w:sz w:val="18"/>
          <w:szCs w:val="18"/>
          <w:color w:val="auto"/>
        </w:rPr>
        <w:t>” means Acquiror and Merger Sub.</w:t>
      </w:r>
    </w:p>
    <w:p>
      <w:pPr>
        <w:spacing w:after="0" w:line="220" w:lineRule="exact"/>
        <w:rPr>
          <w:sz w:val="20"/>
          <w:szCs w:val="20"/>
          <w:color w:val="auto"/>
        </w:rPr>
      </w:pPr>
    </w:p>
    <w:p>
      <w:pPr>
        <w:ind w:right="60"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Party Representations</w:t>
      </w:r>
      <w:r>
        <w:rPr>
          <w:rFonts w:ascii="Times New Roman" w:cs="Times New Roman" w:eastAsia="Times New Roman" w:hAnsi="Times New Roman"/>
          <w:sz w:val="18"/>
          <w:szCs w:val="18"/>
          <w:color w:val="auto"/>
        </w:rPr>
        <w:t xml:space="preserve">” means the representations and warranties of Acquiror and Merger Sub expressly and specifically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 as qualified by the Schedules. For the avoidance of doubt, the Acquiror Party Representations are solely made by Acquiror and Merger Sub.</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Preferred Stock</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6.11(a)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Share Value</w:t>
      </w:r>
      <w:r>
        <w:rPr>
          <w:rFonts w:ascii="Times New Roman" w:cs="Times New Roman" w:eastAsia="Times New Roman" w:hAnsi="Times New Roman"/>
          <w:sz w:val="18"/>
          <w:szCs w:val="18"/>
          <w:color w:val="auto"/>
        </w:rPr>
        <w:t>” means $10.00.</w:t>
      </w:r>
    </w:p>
    <w:p>
      <w:pPr>
        <w:spacing w:after="0" w:line="220" w:lineRule="exact"/>
        <w:rPr>
          <w:sz w:val="20"/>
          <w:szCs w:val="20"/>
          <w:color w:val="auto"/>
        </w:rPr>
      </w:pPr>
    </w:p>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Stockholder Approval</w:t>
      </w:r>
      <w:r>
        <w:rPr>
          <w:rFonts w:ascii="Times New Roman" w:cs="Times New Roman" w:eastAsia="Times New Roman" w:hAnsi="Times New Roman"/>
          <w:sz w:val="18"/>
          <w:szCs w:val="18"/>
          <w:color w:val="auto"/>
        </w:rPr>
        <w:t xml:space="preserve">” means the affirmative vote of the requisite holders of Acquiror Common Stock required under the DGCL, Nasdaq listing rules and the Acquiror Certificate of Incorporation to approve each of (A) the entry into this Agreement by Acquiror, and the consummation of the Transactions, (B) the issuance of more than 20% of Acquiror’s outstanding shares of Common Stock, in connection with the Merger, pursuant to the rules of the stock exchange on which Acquiror’s shares are listed, (C) the approval of the Acquiror LTIP and the Acquiror ESPP, (D) the election of members of the board of directors of Acquiror in accordance with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(E) the issuance of the Common Stock pursuant to the instruments entered into in connection with the Future PIPE Investment, (F) the adoption and approval of any other proposals as the SEC (or staff member thereof) may indicate as necessary in its comments to the Registration Statements or correspondence related thereto, (G) any other proposals the Parties agree are necessary or desirable to consummate the Transactions, (H) the amendment and restatement of the Acquiror Certificate of Incorporation in the form of the Acquiror Charter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(I) any amendment to the Acquiror Certificate of Incorporation in connection with the Extension.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Stockholder Matters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Stockholder Redemption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Transaction Expenses</w:t>
      </w:r>
      <w:r>
        <w:rPr>
          <w:rFonts w:ascii="Times New Roman" w:cs="Times New Roman" w:eastAsia="Times New Roman" w:hAnsi="Times New Roman"/>
          <w:sz w:val="18"/>
          <w:szCs w:val="18"/>
          <w:color w:val="auto"/>
        </w:rPr>
        <w:t xml:space="preserve">” means all fees, costs and expenses of Acquiror incurred prior to and through the Closing Date, including, but not limited to, in connection with the negotiation, preparation and execution of this Agreement, the other Transaction Agreements, the performance and compliance with all Transaction Agreements and conditions contained herein to be performed or complied with at or before Closing and the consummation of the Transactions, including the fees, costs, expenses and disbursements of counsel, accountants, advisors and consultants of Acquiror, whether paid or unpaid prior to the Closing, whether or not described on </w:t>
      </w: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 xml:space="preserve"> and whether related to the Transactions or a prior potential Business Combination, including, without limitation, (i) fifty percent (50%) of the Antitrust Expenses incurred in accordance with </w:t>
      </w:r>
      <w:r>
        <w:rPr>
          <w:rFonts w:ascii="Times New Roman" w:cs="Times New Roman" w:eastAsia="Times New Roman" w:hAnsi="Times New Roman"/>
          <w:sz w:val="18"/>
          <w:szCs w:val="18"/>
          <w:u w:val="single" w:color="auto"/>
          <w:color w:val="auto"/>
        </w:rPr>
        <w:t>Section 12.05(c)(i)</w:t>
      </w:r>
      <w:r>
        <w:rPr>
          <w:rFonts w:ascii="Times New Roman" w:cs="Times New Roman" w:eastAsia="Times New Roman" w:hAnsi="Times New Roman"/>
          <w:sz w:val="18"/>
          <w:szCs w:val="18"/>
          <w:color w:val="auto"/>
        </w:rPr>
        <w:t xml:space="preserve"> that have not been paid prior to Closing, (ii) fees, costs and expenses required to repay the principal and accrued interest of any promissory notes in favor of the Sponsor, including those entered into during the Interim Period pursuant to </w:t>
      </w:r>
      <w:r>
        <w:rPr>
          <w:rFonts w:ascii="Times New Roman" w:cs="Times New Roman" w:eastAsia="Times New Roman" w:hAnsi="Times New Roman"/>
          <w:sz w:val="18"/>
          <w:szCs w:val="18"/>
          <w:u w:val="single" w:color="auto"/>
          <w:color w:val="auto"/>
        </w:rPr>
        <w:t>Section 8.01(a)(vii)</w:t>
      </w:r>
      <w:r>
        <w:rPr>
          <w:rFonts w:ascii="Times New Roman" w:cs="Times New Roman" w:eastAsia="Times New Roman" w:hAnsi="Times New Roman"/>
          <w:sz w:val="18"/>
          <w:szCs w:val="18"/>
          <w:color w:val="auto"/>
        </w:rPr>
        <w:t xml:space="preserve"> (excluding, from such calculation, to the extent it is converted into Acquiror Warrants in accordance with its terms and conditions prior to the Closing, the Convertible Sponsor Note), (iii) all placement agent fees and other fees relating to the Future PIPE Investment (other than PIPE Investor Reimbursable Expenses), (iv) fifty percent (50%) of the Extension Costs incurred in connection with soliciting stockholder approval of the Extension in accordance with </w:t>
      </w:r>
      <w:r>
        <w:rPr>
          <w:rFonts w:ascii="Times New Roman" w:cs="Times New Roman" w:eastAsia="Times New Roman" w:hAnsi="Times New Roman"/>
          <w:sz w:val="18"/>
          <w:szCs w:val="18"/>
          <w:u w:val="single" w:color="auto"/>
          <w:color w:val="auto"/>
        </w:rPr>
        <w:t>Section 12.05(c)(ii)</w:t>
      </w:r>
      <w:r>
        <w:rPr>
          <w:rFonts w:ascii="Times New Roman" w:cs="Times New Roman" w:eastAsia="Times New Roman" w:hAnsi="Times New Roman"/>
          <w:sz w:val="18"/>
          <w:szCs w:val="18"/>
          <w:color w:val="auto"/>
        </w:rPr>
        <w:t>; (v) fifty percent (50%) of any Taxes required to be paid by Acquiror in respect of the Acquiror Stockholder Redemptions pursuant to Section 4501 of the Code (taking into account any offsetting issuances of Common Stock, including pursuant to the Transactions); (vi) all transfer, documentary, sales, use, real property, stamp, registration and other similar Taxes, fees and costs (including any associated penalties and interest) incurred in connection with the Transactions; and (vii) to the extent such amounts remain unsatisfied as of immediately prior to the Closing, any deferred underwriting commissions, including the Deferred Discount (as defined in the Raymond James Underwriting Agreement).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ind w:right="80"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Transaction Expenses Cap</w:t>
      </w:r>
      <w:r>
        <w:rPr>
          <w:rFonts w:ascii="Times New Roman" w:cs="Times New Roman" w:eastAsia="Times New Roman" w:hAnsi="Times New Roman"/>
          <w:sz w:val="18"/>
          <w:szCs w:val="18"/>
          <w:color w:val="auto"/>
        </w:rPr>
        <w:t xml:space="preserve">” means $6,000,000;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Acquiror Transaction Expenses Cap shall be increased to $7,000,000 if the Available Closing Acquiror Cash at Closing equals or exceeds $70,000,000, and (ii) the Acquiror Transaction Expenses Cap shall be increased by additional $1,000,000 for each $5,000,000 of Available Closing Acquiror Cash at Closing in excess of $70,000,000. By way of example, the Acquiror Transaction Expenses Cap shall be $8,000,000 in the event the Available Closing Acquiror Cash at Closing is equal to or exceeds $75,000,000 but is less than $80,000,000.</w:t>
      </w:r>
    </w:p>
    <w:p>
      <w:pPr>
        <w:spacing w:after="0" w:line="186" w:lineRule="exact"/>
        <w:rPr>
          <w:sz w:val="20"/>
          <w:szCs w:val="20"/>
          <w:color w:val="auto"/>
        </w:rPr>
      </w:pPr>
    </w:p>
    <w:p>
      <w:pPr>
        <w:ind w:right="56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Units</w:t>
      </w:r>
      <w:r>
        <w:rPr>
          <w:rFonts w:ascii="Times New Roman" w:cs="Times New Roman" w:eastAsia="Times New Roman" w:hAnsi="Times New Roman"/>
          <w:sz w:val="18"/>
          <w:szCs w:val="18"/>
          <w:color w:val="auto"/>
        </w:rPr>
        <w:t>” means equity securities of Acquiror each consisting of one share of Acquiror Class A Common Stock and one-third of one Acquiror Warrant.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Warrant</w:t>
      </w:r>
      <w:r>
        <w:rPr>
          <w:rFonts w:ascii="Times New Roman" w:cs="Times New Roman" w:eastAsia="Times New Roman" w:hAnsi="Times New Roman"/>
          <w:sz w:val="18"/>
          <w:szCs w:val="18"/>
          <w:color w:val="auto"/>
        </w:rPr>
        <w:t>” means a warrant entitling the holder to purchase one share of Acquiror Class A Common Stock per warrant.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50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charge, action, suit, complaint, grievance, audit, investigation, inquiry, assessment, arbitration or legal, judicial or administrative proceeding (whether at law or in equity).</w:t>
      </w:r>
    </w:p>
    <w:p>
      <w:pPr>
        <w:spacing w:after="0" w:line="163"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Person that, directly or indirectly, controls, is controlled by, or is under common control with, such specified Person, through one or more intermediaries or otherwise (but excluding, with respect to the Company, any portfolio companies of venture capital or investment funds that are, or otherwise affiliated with, Company stockholders, which portfolio companies may otherwise be deemed to be “under common control with” the Company).</w:t>
      </w:r>
    </w:p>
    <w:p>
      <w:pPr>
        <w:spacing w:after="0" w:line="181" w:lineRule="exact"/>
        <w:rPr>
          <w:sz w:val="20"/>
          <w:szCs w:val="20"/>
          <w:color w:val="auto"/>
        </w:rPr>
      </w:pPr>
    </w:p>
    <w:p>
      <w:pPr>
        <w:ind w:right="60"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Company Common Stock</w:t>
      </w:r>
      <w:r>
        <w:rPr>
          <w:rFonts w:ascii="Times New Roman" w:cs="Times New Roman" w:eastAsia="Times New Roman" w:hAnsi="Times New Roman"/>
          <w:sz w:val="18"/>
          <w:szCs w:val="18"/>
          <w:color w:val="auto"/>
        </w:rPr>
        <w:t xml:space="preserve">” means, without duplication, and in each case after giving effect to the Preferred Conversion, the exercise of all of the outstanding Series B-3 Warrants prior to the Effective Time in accordance with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xml:space="preserve">, and the exercise of any other Company Warrants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the sum of the aggregate number of Company Common Shares that are issued and outstanding immediately prior to the Effective Time.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preamble 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Date</w:t>
      </w:r>
      <w:r>
        <w:rPr>
          <w:rFonts w:ascii="Times New Roman" w:cs="Times New Roman" w:eastAsia="Times New Roman" w:hAnsi="Times New Roman"/>
          <w:sz w:val="18"/>
          <w:szCs w:val="18"/>
          <w:color w:val="auto"/>
        </w:rPr>
        <w:t>” has the meaning specified in the preamble 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Related Party Arrangements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U.S. and applicable non-U.S. Laws relating to the prevention of corruption and bribery, including the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Corrupt Practices Act of 1977, as amended. For the avoidance of doubt. Anti-Corruption Laws do not include Healthcare Laws.</w:t>
      </w:r>
    </w:p>
    <w:p>
      <w:pPr>
        <w:spacing w:after="0" w:line="201"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w:t>
      </w:r>
      <w:r>
        <w:rPr>
          <w:rFonts w:ascii="Times New Roman" w:cs="Times New Roman" w:eastAsia="Times New Roman" w:hAnsi="Times New Roman"/>
          <w:sz w:val="18"/>
          <w:szCs w:val="18"/>
          <w:color w:val="auto"/>
        </w:rPr>
        <w:t>” means any antitrust, competition or trade regulation Law that is designed or intended to prohibit, restrict or regulate actions having the purpose or effect of monopolization or restraint of trade or lessening competition through merger or acquisition, including the HSR Act, the Clayton Act, the Federal Trade Commission Act, the Sherman Act and similar domestic, foreign and multilateral competition laws.</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Warrant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3.06(c)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20" w:firstLine="6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Closing Acquiror Cash</w:t>
      </w:r>
      <w:r>
        <w:rPr>
          <w:rFonts w:ascii="Times New Roman" w:cs="Times New Roman" w:eastAsia="Times New Roman" w:hAnsi="Times New Roman"/>
          <w:sz w:val="18"/>
          <w:szCs w:val="18"/>
          <w:color w:val="auto"/>
        </w:rPr>
        <w:t xml:space="preserve">” means an amount equal to, as of the Effective Time, the sum of (i) all amounts in the Trust Account (after reduction for the aggregate amount of payments required to be made in connection with the Acquiror Stockholder Redemption),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amount funded at or prior to the Closing in the Future PIPE Investment (after reduction for the aggregate amount of payments required to be made in connection with the payment of PIPE Investor Reimbursable Expenses, if 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aggregate amounts contractually committed to be funded following the Closing pursuant to the terms and conditions of Future PIPE Investment (subject to, and assuming for these purposes, the satisfaction or waiver of the conditions to the investor’s obligation to fund such amounts as set forth in the definitive agreements entered into in connection with the applicable Future PIPE Investment),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(iv) the Acquiror Transaction Expenses (which such amount shall not exceed the Acquiror Transaction Expenses Cap).</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has the meaning specified in the Acquiror Certificate of Incorporation.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38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163" w:lineRule="exact"/>
        <w:rPr>
          <w:sz w:val="20"/>
          <w:szCs w:val="20"/>
          <w:color w:val="auto"/>
        </w:rPr>
      </w:pPr>
    </w:p>
    <w:p>
      <w:pPr>
        <w:ind w:firstLine="640"/>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CARES Act</w:t>
      </w:r>
      <w:r>
        <w:rPr>
          <w:rFonts w:ascii="Times New Roman" w:cs="Times New Roman" w:eastAsia="Times New Roman" w:hAnsi="Times New Roman"/>
          <w:sz w:val="17"/>
          <w:szCs w:val="17"/>
          <w:color w:val="auto"/>
        </w:rPr>
        <w:t>” means (i) the Coronavirus Aid, Relief, and Economic Security Act (Pub. L. 116-136) and any administrative or other guidance published with respect thereto by any Governmental Entity (including IRS Notices 2020-22 and 2020-65), and (ii) any extension of, amendment, supplement, correction, revision or similar treatment to any provision of the CARES Act contained in the Consolidated Appropriations Act, 2021, H.R. 133.</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3.02(b)(i)</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Recommendation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Equity Value</w:t>
      </w:r>
      <w:r>
        <w:rPr>
          <w:rFonts w:ascii="Times New Roman" w:cs="Times New Roman" w:eastAsia="Times New Roman" w:hAnsi="Times New Roman"/>
          <w:sz w:val="18"/>
          <w:szCs w:val="18"/>
          <w:color w:val="auto"/>
        </w:rPr>
        <w:t>” means $220,000,000.</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specified in the Recitals 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preamble hereto.</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6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Amended and Restated Certificate of Incorporation of the Company, filed with the Secretary of State of the State of Delaware on September 29, 2022, as amended and in effect on the date hereof.</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Shares</w:t>
      </w:r>
      <w:r>
        <w:rPr>
          <w:rFonts w:ascii="Times New Roman" w:cs="Times New Roman" w:eastAsia="Times New Roman" w:hAnsi="Times New Roman"/>
          <w:sz w:val="18"/>
          <w:szCs w:val="18"/>
          <w:color w:val="auto"/>
        </w:rPr>
        <w:t>” means shares of common stock, par value $0.001 per share, of the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Cure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340"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Dissenting Shares</w:t>
      </w:r>
      <w:r>
        <w:rPr>
          <w:rFonts w:ascii="Times New Roman" w:cs="Times New Roman" w:eastAsia="Times New Roman" w:hAnsi="Times New Roman"/>
          <w:sz w:val="18"/>
          <w:szCs w:val="18"/>
          <w:color w:val="auto"/>
        </w:rPr>
        <w:t>” means any Company Common Shares or Company Preferred Shares that are issued and outstanding immediately prior to the Effective Time and in respect of which appraisal rights have been properly demanded in accordance with the DGCL in connection with the Merger.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the Surefire Medical, Inc. (also known as TriSalus Life Sciences, Inc.) 2009 Amended and Restated Equity Incentive Plan, as amended from time to time.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the Owned Intellectual Property, Jointly-Owned Intellectual Property and Licensed Intellectual Property.</w:t>
      </w:r>
    </w:p>
    <w:p>
      <w:pPr>
        <w:spacing w:after="0" w:line="220" w:lineRule="exact"/>
        <w:rPr>
          <w:sz w:val="20"/>
          <w:szCs w:val="20"/>
          <w:color w:val="auto"/>
        </w:rPr>
      </w:pPr>
    </w:p>
    <w:p>
      <w:pPr>
        <w:ind w:right="54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means options to purchase Company Common Shares granted by the Company pursuant to the Company Equity Plan or otherwise.</w:t>
      </w:r>
    </w:p>
    <w:p>
      <w:pPr>
        <w:spacing w:after="0" w:line="163" w:lineRule="exact"/>
        <w:rPr>
          <w:sz w:val="20"/>
          <w:szCs w:val="20"/>
          <w:color w:val="auto"/>
        </w:rPr>
      </w:pPr>
    </w:p>
    <w:p>
      <w:pPr>
        <w:ind w:right="480"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Shares</w:t>
      </w:r>
      <w:r>
        <w:rPr>
          <w:rFonts w:ascii="Times New Roman" w:cs="Times New Roman" w:eastAsia="Times New Roman" w:hAnsi="Times New Roman"/>
          <w:sz w:val="18"/>
          <w:szCs w:val="18"/>
          <w:color w:val="auto"/>
        </w:rPr>
        <w:t>” means, collectively, the Company Series A-1 Preferred Shares, Company Series A-2 Preferred Shares, Company Series A-3 Preferred Shares, Company Series A-4 Preferred Shares, Company Series A-5 Preferred Shares, Company Series A-6 Preferred Shares, the Company Series B Preferred Shares, the Company Series B-1 Preferred Shares, the Company Series B-2 Preferred Shares and the Company Series B-3 Preferred Shares.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5.28(b)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50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Representations</w:t>
      </w:r>
      <w:r>
        <w:rPr>
          <w:rFonts w:ascii="Times New Roman" w:cs="Times New Roman" w:eastAsia="Times New Roman" w:hAnsi="Times New Roman"/>
          <w:sz w:val="18"/>
          <w:szCs w:val="18"/>
          <w:color w:val="auto"/>
        </w:rPr>
        <w:t xml:space="preserve">” means the representations and warranties of the Company expressly and specifically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as qualified by the Schedules. For the avoidance of doubt, the Company Representations are solely made by the Company.</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Requisite Stockholders</w:t>
      </w:r>
      <w:r>
        <w:rPr>
          <w:rFonts w:ascii="Times New Roman" w:cs="Times New Roman" w:eastAsia="Times New Roman" w:hAnsi="Times New Roman"/>
          <w:sz w:val="18"/>
          <w:szCs w:val="18"/>
          <w:color w:val="auto"/>
        </w:rPr>
        <w:t xml:space="preserve">” means those holders of Company Shares identified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which holders shall represent at least</w:t>
      </w:r>
    </w:p>
    <w:p>
      <w:pPr>
        <w:spacing w:after="0" w:line="25" w:lineRule="exact"/>
        <w:rPr>
          <w:sz w:val="20"/>
          <w:szCs w:val="20"/>
          <w:color w:val="auto"/>
        </w:rPr>
      </w:pPr>
    </w:p>
    <w:p>
      <w:pPr>
        <w:ind w:left="220" w:hanging="213"/>
        <w:spacing w:after="0"/>
        <w:tabs>
          <w:tab w:leader="none" w:pos="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holders of the Company Preferred Shares voting as a single class and (ii) a majority of the holders of (a) Company Common Shares and</w:t>
      </w:r>
    </w:p>
    <w:p>
      <w:pPr>
        <w:spacing w:after="0" w:line="17" w:lineRule="exact"/>
        <w:rPr>
          <w:rFonts w:ascii="Times New Roman" w:cs="Times New Roman" w:eastAsia="Times New Roman" w:hAnsi="Times New Roman"/>
          <w:sz w:val="17"/>
          <w:szCs w:val="17"/>
          <w:color w:val="auto"/>
        </w:rPr>
      </w:pPr>
    </w:p>
    <w:p>
      <w:pPr>
        <w:ind w:right="340" w:firstLine="7"/>
        <w:spacing w:after="0" w:line="255" w:lineRule="auto"/>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Preferred Shares (on an as-converted to Company Common Shares basis based on the conversion rate on the date for such determination of such vote), voting together as a single class.</w:t>
      </w:r>
    </w:p>
    <w:p>
      <w:pPr>
        <w:spacing w:after="0" w:line="182" w:lineRule="exact"/>
        <w:rPr>
          <w:sz w:val="20"/>
          <w:szCs w:val="20"/>
          <w:color w:val="auto"/>
        </w:rPr>
      </w:pPr>
    </w:p>
    <w:p>
      <w:pPr>
        <w:ind w:right="36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A-1 Preferred Shares</w:t>
      </w:r>
      <w:r>
        <w:rPr>
          <w:rFonts w:ascii="Times New Roman" w:cs="Times New Roman" w:eastAsia="Times New Roman" w:hAnsi="Times New Roman"/>
          <w:sz w:val="18"/>
          <w:szCs w:val="18"/>
          <w:color w:val="auto"/>
        </w:rPr>
        <w:t>” means shares of preferred stock, par value $0.001 per share, of the Company designated as “Series A-1 Preferred Stock” pursuant to the Company Certificate of Incorporation.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A-2 Preferred Shares</w:t>
      </w:r>
      <w:r>
        <w:rPr>
          <w:rFonts w:ascii="Times New Roman" w:cs="Times New Roman" w:eastAsia="Times New Roman" w:hAnsi="Times New Roman"/>
          <w:sz w:val="18"/>
          <w:szCs w:val="18"/>
          <w:color w:val="auto"/>
        </w:rPr>
        <w:t>” means shares of preferred stock, par value $0.001 per share, of the Company designated as “Series A-2 Preferred Stock” pursuant to the Company Certificate of Incorporation.</w:t>
      </w:r>
    </w:p>
    <w:p>
      <w:pPr>
        <w:spacing w:after="0" w:line="163"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A-3 Preferred Shares</w:t>
      </w:r>
      <w:r>
        <w:rPr>
          <w:rFonts w:ascii="Times New Roman" w:cs="Times New Roman" w:eastAsia="Times New Roman" w:hAnsi="Times New Roman"/>
          <w:sz w:val="18"/>
          <w:szCs w:val="18"/>
          <w:color w:val="auto"/>
        </w:rPr>
        <w:t>” means shares of preferred stock, par value $0.001 per share, of the Company designated as “Series A-3 Preferred Stock” pursuant to the Company Certificate of Incorporation.</w:t>
      </w:r>
    </w:p>
    <w:p>
      <w:pPr>
        <w:spacing w:after="0" w:line="163"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A-4 Preferred Shares</w:t>
      </w:r>
      <w:r>
        <w:rPr>
          <w:rFonts w:ascii="Times New Roman" w:cs="Times New Roman" w:eastAsia="Times New Roman" w:hAnsi="Times New Roman"/>
          <w:sz w:val="18"/>
          <w:szCs w:val="18"/>
          <w:color w:val="auto"/>
        </w:rPr>
        <w:t>” means shares of preferred stock, par value $0.001 per share, of the Company designated as “Series A-4 Preferred Stock” pursuant to the Company Certificate of Incorporation.</w:t>
      </w:r>
    </w:p>
    <w:p>
      <w:pPr>
        <w:spacing w:after="0" w:line="163"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A-5 Preferred Shares</w:t>
      </w:r>
      <w:r>
        <w:rPr>
          <w:rFonts w:ascii="Times New Roman" w:cs="Times New Roman" w:eastAsia="Times New Roman" w:hAnsi="Times New Roman"/>
          <w:sz w:val="18"/>
          <w:szCs w:val="18"/>
          <w:color w:val="auto"/>
        </w:rPr>
        <w:t>” means shares of preferred stock, par value $0.001 per share, of the Company designated as “Series A-5 Preferred Stock” pursuant to the Company Certificate of Incorporation.</w:t>
      </w:r>
    </w:p>
    <w:p>
      <w:pPr>
        <w:spacing w:after="0" w:line="163"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A-6 Preferred Shares</w:t>
      </w:r>
      <w:r>
        <w:rPr>
          <w:rFonts w:ascii="Times New Roman" w:cs="Times New Roman" w:eastAsia="Times New Roman" w:hAnsi="Times New Roman"/>
          <w:sz w:val="18"/>
          <w:szCs w:val="18"/>
          <w:color w:val="auto"/>
        </w:rPr>
        <w:t>” means shares of preferred stock, par value $0.001 per share, of the Company designated as “Series A-6 Preferred Stock” pursuant to the Company Certificate of Incorporation.</w:t>
      </w:r>
    </w:p>
    <w:p>
      <w:pPr>
        <w:spacing w:after="0" w:line="163" w:lineRule="exact"/>
        <w:rPr>
          <w:sz w:val="20"/>
          <w:szCs w:val="20"/>
          <w:color w:val="auto"/>
        </w:rPr>
      </w:pPr>
    </w:p>
    <w:p>
      <w:pPr>
        <w:ind w:right="6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 Preferred Shares</w:t>
      </w:r>
      <w:r>
        <w:rPr>
          <w:rFonts w:ascii="Times New Roman" w:cs="Times New Roman" w:eastAsia="Times New Roman" w:hAnsi="Times New Roman"/>
          <w:sz w:val="18"/>
          <w:szCs w:val="18"/>
          <w:color w:val="auto"/>
        </w:rPr>
        <w:t>” means shares of preferred stock, par value $0.001 per share, of the Company designated as “Series B Preferred Stock” pursuant to the Company Certificate of Incorporation.</w:t>
      </w:r>
    </w:p>
    <w:p>
      <w:pPr>
        <w:spacing w:after="0" w:line="163"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B-1 Preferred Shares</w:t>
      </w:r>
      <w:r>
        <w:rPr>
          <w:rFonts w:ascii="Times New Roman" w:cs="Times New Roman" w:eastAsia="Times New Roman" w:hAnsi="Times New Roman"/>
          <w:sz w:val="18"/>
          <w:szCs w:val="18"/>
          <w:color w:val="auto"/>
        </w:rPr>
        <w:t>” means shares of preferred stock, par value $0.001 per share, of the Company designated as “Series B-1 Preferred Stock” pursuant to the Company Certificate of Incorporation.</w:t>
      </w:r>
    </w:p>
    <w:p>
      <w:pPr>
        <w:spacing w:after="0" w:line="163"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B-2 Preferred Shares</w:t>
      </w:r>
      <w:r>
        <w:rPr>
          <w:rFonts w:ascii="Times New Roman" w:cs="Times New Roman" w:eastAsia="Times New Roman" w:hAnsi="Times New Roman"/>
          <w:sz w:val="18"/>
          <w:szCs w:val="18"/>
          <w:color w:val="auto"/>
        </w:rPr>
        <w:t>” means shares of preferred stock, par value $0.001 per share, of the Company designated as “Series B-2 Preferred Stock” pursuant to the Company Certificate of Incorporation.</w:t>
      </w:r>
    </w:p>
    <w:p>
      <w:pPr>
        <w:spacing w:after="0" w:line="163"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B-3 Preferred Shares</w:t>
      </w:r>
      <w:r>
        <w:rPr>
          <w:rFonts w:ascii="Times New Roman" w:cs="Times New Roman" w:eastAsia="Times New Roman" w:hAnsi="Times New Roman"/>
          <w:sz w:val="18"/>
          <w:szCs w:val="18"/>
          <w:color w:val="auto"/>
        </w:rPr>
        <w:t>” means shares of preferred stock, par value $0.001 per share, of the Company designated as “Series B-3 Preferred Stock” pursuant to the Company Certificate of Incorporation.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Service Provider</w:t>
      </w:r>
      <w:r>
        <w:rPr>
          <w:rFonts w:ascii="Times New Roman" w:cs="Times New Roman" w:eastAsia="Times New Roman" w:hAnsi="Times New Roman"/>
          <w:sz w:val="18"/>
          <w:szCs w:val="18"/>
          <w:color w:val="auto"/>
        </w:rPr>
        <w:t>” means any employee, officer, director or individual independent contractor of the Company.</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collectively, the Company Series A-1 Preferred Shares, the Company Series A-2 Preferred Shares, the Company</w:t>
      </w:r>
    </w:p>
    <w:p>
      <w:pPr>
        <w:spacing w:after="0" w:line="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Series A-3 Preferred Shares, the Company Series A-4 Preferred Shares, the Company Series A-5 Preferred Shares, the Company Series A-6 Preferred Shares, the Company Series B Preferred Shares, the Company Series B-1 Preferred Shares, the Company Series B-2 Preferred Shares, the Company Series B-3 Preferred Shares and the Company Common Shares.</w:t>
      </w:r>
    </w:p>
    <w:p>
      <w:pPr>
        <w:spacing w:after="0" w:line="186" w:lineRule="exact"/>
        <w:rPr>
          <w:sz w:val="20"/>
          <w:szCs w:val="20"/>
          <w:color w:val="auto"/>
        </w:rPr>
      </w:pPr>
    </w:p>
    <w:p>
      <w:pPr>
        <w:ind w:right="66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an executed written consent pursuant to Section 251 of the DGCL approving the adoption of this Agreement and the consummation of the Transactions, including the Merger, by the Company Requisite Stockholders.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the holders of Company Shares.</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2" w:name="page23"/>
    <w:bookmarkEnd w:id="22"/>
    <w:p>
      <w:pPr>
        <w:ind w:firstLine="6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xml:space="preserve">” means all fees, costs and expenses payable by the Company incurred prior to and through the Closing Date in connection with the negotiation, preparation and execution of this Agreement, the other Transaction Agreements, the performance and compliance with all Transaction Agreements and conditions contained herein to be performed or complied with at or before Closing, and the consummation of the Transactions, including (relating thereto) (i) the fees, costs, expenses and disbursements of counsel, accountants, advisors and consultants of the Company, (ii) fifty percent (50%) of the Antitrust Expenses in accordance with </w:t>
      </w:r>
      <w:r>
        <w:rPr>
          <w:rFonts w:ascii="Times New Roman" w:cs="Times New Roman" w:eastAsia="Times New Roman" w:hAnsi="Times New Roman"/>
          <w:sz w:val="18"/>
          <w:szCs w:val="18"/>
          <w:u w:val="single" w:color="auto"/>
          <w:color w:val="auto"/>
        </w:rPr>
        <w:t>Section 12.05(c)(i)</w:t>
      </w:r>
      <w:r>
        <w:rPr>
          <w:rFonts w:ascii="Times New Roman" w:cs="Times New Roman" w:eastAsia="Times New Roman" w:hAnsi="Times New Roman"/>
          <w:sz w:val="18"/>
          <w:szCs w:val="18"/>
          <w:color w:val="auto"/>
        </w:rPr>
        <w:t xml:space="preserve"> that have not been paid prior to Closing, (iii) all fees, costs and expenses related to the Company D&amp;O Tail, (iv) all severance, transaction-related bonuses, stay and pay bonuses, retention awards, change in control payments or other similar payments or benefits triggered, in whole or in part, by the Transactions and payable by the Company in connection with the consummation of the Transactions, (v) the employer’s share of payroll, social security, Medicare and unemployment Taxes and other similar assessments arising out of the provision of the items under clause (iv) (which shall include all such Taxes and other similar assessments that have been deferred under any COVID-19 Measure), in each case, whether paid or unpaid prior to the Closing, (vi) to the extent not duplicative with the amounts describes in clauses (iv) and (v), “single trigger” sale, success, stay, transaction, change in control, severance, termination or other compensatory payments or benefits payable to current or former Company Service Providers, and all obligations of the Company that would become due and owing under employment, severance or similar agreements or arrangements, in each case, in whole or in part in connection with the consummation of the transactions contemplated hereunder, together with the employer portion of any payroll or similar Taxes related thereto, and determined assuming such amounts are payable as of the Closing, (vii) fifty percent (50%) of the Extension Costs arising in connection with soliciting stockholder approval of the Extension, (viii) fifty percent (50%) of the Extension Expenses in accordance with </w:t>
      </w:r>
      <w:r>
        <w:rPr>
          <w:rFonts w:ascii="Times New Roman" w:cs="Times New Roman" w:eastAsia="Times New Roman" w:hAnsi="Times New Roman"/>
          <w:sz w:val="18"/>
          <w:szCs w:val="18"/>
          <w:u w:val="single" w:color="auto"/>
          <w:color w:val="auto"/>
        </w:rPr>
        <w:t>Section 12.05(c)(iii)</w:t>
      </w:r>
      <w:r>
        <w:rPr>
          <w:rFonts w:ascii="Times New Roman" w:cs="Times New Roman" w:eastAsia="Times New Roman" w:hAnsi="Times New Roman"/>
          <w:sz w:val="18"/>
          <w:szCs w:val="18"/>
          <w:color w:val="auto"/>
        </w:rPr>
        <w:t>, and (ix) all fees, costs and expenses related to the Acquiror D&amp;O Tail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clarity, that all fees, costs and expenses related to the Acquiror D&amp;O Tail shall be paid on the Closing Date).</w:t>
      </w:r>
    </w:p>
    <w:p>
      <w:pPr>
        <w:spacing w:after="0" w:line="192" w:lineRule="exact"/>
        <w:rPr>
          <w:sz w:val="20"/>
          <w:szCs w:val="20"/>
          <w:color w:val="auto"/>
        </w:rPr>
      </w:pPr>
    </w:p>
    <w:p>
      <w:pPr>
        <w:ind w:right="26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 Amount</w:t>
      </w:r>
      <w:r>
        <w:rPr>
          <w:rFonts w:ascii="Times New Roman" w:cs="Times New Roman" w:eastAsia="Times New Roman" w:hAnsi="Times New Roman"/>
          <w:sz w:val="18"/>
          <w:szCs w:val="18"/>
          <w:color w:val="auto"/>
        </w:rPr>
        <w:t>” means an amount equal to all Company Transaction Expenses incurred by the Company that have not been paid prior to the Effective Time.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any warrant to purchase any Company Common Shares or Company Preferred Shares, as applicable.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12.09</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160"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Contemplated Interim Financing</w:t>
      </w:r>
      <w:r>
        <w:rPr>
          <w:rFonts w:ascii="Times New Roman" w:cs="Times New Roman" w:eastAsia="Times New Roman" w:hAnsi="Times New Roman"/>
          <w:sz w:val="18"/>
          <w:szCs w:val="18"/>
          <w:color w:val="auto"/>
        </w:rPr>
        <w:t xml:space="preserve">” means any issuances by the Company of promissory notes convertible into Company Common Shares no later than immediately prior the Effective Time, in an aggregate amount of up to $15,000,000 and subject in all respects to the covenants and provisions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6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agreement, contract, license, lease, sublease, obligation, undertaking or other commitment or arrangement that is legally binding upon a Person or any of his, her or its properties or assets.</w:t>
      </w:r>
    </w:p>
    <w:p>
      <w:pPr>
        <w:spacing w:after="0" w:line="163" w:lineRule="exact"/>
        <w:rPr>
          <w:sz w:val="20"/>
          <w:szCs w:val="20"/>
          <w:color w:val="auto"/>
        </w:rPr>
      </w:pPr>
    </w:p>
    <w:p>
      <w:pPr>
        <w:ind w:right="40" w:firstLine="640"/>
        <w:spacing w:after="0" w:line="30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and policies of a Person, whether through the ownership of voting securities, by contract or otherwise, and the terms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have meanings correlative thereto.</w:t>
      </w:r>
    </w:p>
    <w:p>
      <w:pPr>
        <w:spacing w:after="0" w:line="140" w:lineRule="exact"/>
        <w:rPr>
          <w:sz w:val="20"/>
          <w:szCs w:val="20"/>
          <w:color w:val="auto"/>
        </w:rPr>
      </w:pPr>
    </w:p>
    <w:p>
      <w:pPr>
        <w:ind w:right="1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Sponsor Note</w:t>
      </w:r>
      <w:r>
        <w:rPr>
          <w:rFonts w:ascii="Times New Roman" w:cs="Times New Roman" w:eastAsia="Times New Roman" w:hAnsi="Times New Roman"/>
          <w:sz w:val="18"/>
          <w:szCs w:val="18"/>
          <w:color w:val="auto"/>
        </w:rPr>
        <w:t>” means that certain promissory note, dated as of May 24, 2022, issued by Acquiror in favor of Sponsor, in the principal amount of up to $1,500,000, the principal balance of which may be converted into additional Acquiror Warrants at the election of Sponsor.</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thereof or related or associated epidemics, pandemics or disease outbreaks.</w:t>
      </w:r>
    </w:p>
    <w:p>
      <w:pPr>
        <w:spacing w:after="0" w:line="220" w:lineRule="exact"/>
        <w:rPr>
          <w:sz w:val="20"/>
          <w:szCs w:val="20"/>
          <w:color w:val="auto"/>
        </w:rPr>
      </w:pPr>
    </w:p>
    <w:p>
      <w:pPr>
        <w:ind w:right="80"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 Measures</w:t>
      </w:r>
      <w:r>
        <w:rPr>
          <w:rFonts w:ascii="Times New Roman" w:cs="Times New Roman" w:eastAsia="Times New Roman" w:hAnsi="Times New Roman"/>
          <w:sz w:val="18"/>
          <w:szCs w:val="18"/>
          <w:color w:val="auto"/>
        </w:rPr>
        <w:t>” means any quarantine, “shelter in place,” “stay at home,” workforce reduction, social distancing, shut down, closure, sequester or any other Law, Governmental Order, Action, directive, guidelines or recommendations by any Governmental Authority in connection with or in response to COVID-19, including, but not limited to, the CARES Act.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specified in the Recitals 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6.11(c)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Laws or Contracts relating to pollution or protection of the environment (including natural resources), human or worker health and safety, or the design, production, sale, distribution, labeling, marketing, handling, treatment, manufacture, use, storage, emission, disposal or release of, or exposure of any Person to, Hazardous Materials or products containing Hazardous Materials.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5.12(g)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0" w:lineRule="exact"/>
        <w:rPr>
          <w:sz w:val="20"/>
          <w:szCs w:val="20"/>
          <w:color w:val="auto"/>
        </w:rPr>
      </w:pPr>
    </w:p>
    <w:p>
      <w:pPr>
        <w:ind w:right="240"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means Continental Stock Transfer &amp; Trust Company or another exchange agent appointed by Acquiror prior to Closing that is reasonably acceptable to the Company to act as the agent for the purpose of paying the Closing Merger Consideration to the Company Stockholders in accordance with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means the quotient obtained by dividing (i) the Per Share Merger Consideration Amount by (ii) the Acquiror Share Value.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Share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3.02(b)(v)</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Costs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12.05(c)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Note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12.05(c)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5.28(a)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5.28(a)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Outside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4" w:name="page25"/>
    <w:bookmarkEnd w:id="24"/>
    <w:p>
      <w:pPr>
        <w:ind w:right="26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 Shares</w:t>
      </w:r>
      <w:r>
        <w:rPr>
          <w:rFonts w:ascii="Times New Roman" w:cs="Times New Roman" w:eastAsia="Times New Roman" w:hAnsi="Times New Roman"/>
          <w:sz w:val="18"/>
          <w:szCs w:val="18"/>
          <w:color w:val="auto"/>
        </w:rPr>
        <w:t>” means the 6,250,000 shares of Acquiror Class B Common Stock that were issued to the Sponsor prior to the Acquiror’s initial public offering and which are described as “founder shares” in the Acquiror Final Prospectus.</w:t>
      </w:r>
    </w:p>
    <w:p>
      <w:pPr>
        <w:spacing w:after="0" w:line="163" w:lineRule="exact"/>
        <w:rPr>
          <w:sz w:val="20"/>
          <w:szCs w:val="20"/>
          <w:color w:val="auto"/>
        </w:rPr>
      </w:pPr>
    </w:p>
    <w:p>
      <w:pPr>
        <w:ind w:right="100"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Future PIPE Investment</w:t>
      </w:r>
      <w:r>
        <w:rPr>
          <w:rFonts w:ascii="Times New Roman" w:cs="Times New Roman" w:eastAsia="Times New Roman" w:hAnsi="Times New Roman"/>
          <w:sz w:val="18"/>
          <w:szCs w:val="18"/>
          <w:color w:val="auto"/>
        </w:rPr>
        <w:t xml:space="preserve">” shall mean any subscription or investment agreement with respect to the securities of Acquiror entered into by Acquiror following the date hereof and prior to the Closing for the purpose of raising funds in connection with the Transactions, in accordance with the terms of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0" w:lineRule="exact"/>
        <w:rPr>
          <w:sz w:val="20"/>
          <w:szCs w:val="20"/>
          <w:color w:val="auto"/>
        </w:rPr>
      </w:pPr>
    </w:p>
    <w:p>
      <w:pPr>
        <w:ind w:firstLine="6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federal, state, provincial, municipal, local or foreign government, governmental authority, arbiter or arbitral body (public or private), regulatory or administrative agency, governmental commission, department, board, bureau, agency or instrumentality, court or tribunal, or any non-governmental regulatory authority or entity or quasi-governmental authority or entity of competent jurisdiction or any similar body exercising executive, legislative, judicial, regulatory or administrative functions of or pertaining to government, including any contractors of a Governmental Authority, department or agency as authorized by Law (including any Healthcare Law), and acting pursuant to the terms and conditions of any such contract.</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Bid</w:t>
      </w:r>
      <w:r>
        <w:rPr>
          <w:rFonts w:ascii="Times New Roman" w:cs="Times New Roman" w:eastAsia="Times New Roman" w:hAnsi="Times New Roman"/>
          <w:sz w:val="18"/>
          <w:szCs w:val="18"/>
          <w:color w:val="auto"/>
        </w:rPr>
        <w:t>” means any quotation, bid or proposal by the Company that, if accepted or awarded, would result in a Government Contract.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Contract for the delivery of supplies or provision of services between the Company on one hand and any</w:t>
      </w:r>
    </w:p>
    <w:p>
      <w:pPr>
        <w:spacing w:after="0" w:line="25" w:lineRule="exact"/>
        <w:rPr>
          <w:sz w:val="20"/>
          <w:szCs w:val="20"/>
          <w:color w:val="auto"/>
        </w:rPr>
      </w:pPr>
    </w:p>
    <w:p>
      <w:pPr>
        <w:ind w:right="540" w:firstLine="7"/>
        <w:spacing w:after="0" w:line="255" w:lineRule="auto"/>
        <w:tabs>
          <w:tab w:leader="none" w:pos="2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Authority on the other hand or (ii) between the Company as a subcontractor at any tier on one hand and any other Person, including resellers and distributors on the other hand, in connection with any contract with a Governmental Authority.</w:t>
      </w:r>
    </w:p>
    <w:p>
      <w:pPr>
        <w:spacing w:after="0" w:line="182" w:lineRule="exact"/>
        <w:rPr>
          <w:sz w:val="20"/>
          <w:szCs w:val="20"/>
          <w:color w:val="auto"/>
        </w:rPr>
      </w:pPr>
    </w:p>
    <w:p>
      <w:pPr>
        <w:ind w:right="20"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(i) employee or official of (A) a Governmental Authority, (B) instrumentality of a Governmental Authority, including any state-owned enterprise, government agency or government advisor or (C) public international organization, (ii) political party or party official, (iii) candidate for political office or (iv) any other Person acting in an official capacity on behalf of any of the foregoing.</w:t>
      </w:r>
    </w:p>
    <w:p>
      <w:pPr>
        <w:spacing w:after="0" w:line="176" w:lineRule="exact"/>
        <w:rPr>
          <w:sz w:val="20"/>
          <w:szCs w:val="20"/>
          <w:color w:val="auto"/>
        </w:rPr>
      </w:pPr>
    </w:p>
    <w:p>
      <w:pPr>
        <w:ind w:right="100"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Program</w:t>
      </w:r>
      <w:r>
        <w:rPr>
          <w:rFonts w:ascii="Times New Roman" w:cs="Times New Roman" w:eastAsia="Times New Roman" w:hAnsi="Times New Roman"/>
          <w:sz w:val="18"/>
          <w:szCs w:val="18"/>
          <w:color w:val="auto"/>
        </w:rPr>
        <w:t>” means any “federal healthcare program” as defined in 42 U.S.C. §1320a-7b(f), including Medicare, Medicaid, TRICARE, the Medicare Advantage Program, Medicare Prescription Drug Benefit Programs, Maternal and Child Health Service Block Grant, Social Services Block Grant and any other similar or successor federal, state or local healthcare payment programs with or sponsored, in whole or in part, by any Governmental Authority.</w:t>
      </w:r>
    </w:p>
    <w:p>
      <w:pPr>
        <w:spacing w:after="0" w:line="181" w:lineRule="exact"/>
        <w:rPr>
          <w:sz w:val="20"/>
          <w:szCs w:val="20"/>
          <w:color w:val="auto"/>
        </w:rPr>
      </w:pPr>
    </w:p>
    <w:p>
      <w:pPr>
        <w:ind w:right="1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Order</w:t>
      </w:r>
      <w:r>
        <w:rPr>
          <w:rFonts w:ascii="Times New Roman" w:cs="Times New Roman" w:eastAsia="Times New Roman" w:hAnsi="Times New Roman"/>
          <w:sz w:val="18"/>
          <w:szCs w:val="18"/>
          <w:color w:val="auto"/>
        </w:rPr>
        <w:t>” means any order, judgment, injunction, decree, writ, stipulation, ruling, determination or award, in each case, entered by or with any Governmental Authority.</w:t>
      </w:r>
    </w:p>
    <w:p>
      <w:pPr>
        <w:spacing w:after="0" w:line="163" w:lineRule="exact"/>
        <w:rPr>
          <w:sz w:val="20"/>
          <w:szCs w:val="20"/>
          <w:color w:val="auto"/>
        </w:rPr>
      </w:pPr>
    </w:p>
    <w:p>
      <w:pPr>
        <w:ind w:right="320"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material, substance or waste that is listed, regulated, or otherwise defined as “hazardous,” “toxic,” “infectious,” or “radioactive,” or as a “pollutant” or “contaminant” (or words of similar intent or meaning) under, or for which liability or standards of conduct may be imposed pursuant to, Environmental Laws, including but not limited to petroleum, petroleum by-products, asbestos or asbestos-containing material, polychlorinated biphenyls, per and polyfluoroalkyl substances, silica, lead, mold, radiation, noise, odor, radon, medical waste, flammable or explosive substances, or pesticides.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Healthcare Laws</w:t>
      </w:r>
      <w:r>
        <w:rPr>
          <w:rFonts w:ascii="Times New Roman" w:cs="Times New Roman" w:eastAsia="Times New Roman" w:hAnsi="Times New Roman"/>
          <w:sz w:val="17"/>
          <w:szCs w:val="17"/>
          <w:color w:val="auto"/>
        </w:rPr>
        <w:t>” means (a) all Laws to the extent applicable to the business of the Company relating to healthcare, including, without limitation:</w:t>
      </w:r>
    </w:p>
    <w:p>
      <w:pPr>
        <w:spacing w:after="0" w:line="37" w:lineRule="exact"/>
        <w:rPr>
          <w:sz w:val="20"/>
          <w:szCs w:val="20"/>
          <w:color w:val="auto"/>
        </w:rPr>
      </w:pPr>
    </w:p>
    <w:p>
      <w:pPr>
        <w:ind w:right="60" w:firstLine="7"/>
        <w:spacing w:after="0" w:line="263" w:lineRule="auto"/>
        <w:tabs>
          <w:tab w:leader="none" w:pos="21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relating to the licensure, certification, qualification or authority to transact business in connection with the payment for, or arrangement of, healthcare benefits, including Laws that regulate managed care, third-party payors and persons bearing the financial risk for the provision or arrangement of healthcare services; (ii) Title XVIII of the Social Security Act, 42 U.S.C. §§ 1395-1395lll (the Medicare statute); Title XIX of the Social Security Act, 42 U.S.C. §§ 1396-1396w-5 (the Medicaid statute); (iii) healthcare or insurance fraud or abuse Laws, including, but not limited to, the following Laws: the Federal Anti-Kickback Statute (42 U.S.C. § 1320a-7b), the Federal False Claims Act (31 U.S.C. §§ 3729-3733), the Federal Civil Monetary Penalties Law (42 U.S.C. § 1320a-7a and 1320a-7b), the Federal Program Fraud Civil Remedies Act (31 U.S.C. § 3801 et seq.) and the Federal Health Care Fraud Law (18 U.S.C. § 1347), and the Exclusion Laws, 42 U.S.C. § 1320a-7; (iv) Laws relating to billings to insurance companies, health maintenance organizations and other managed care plans; (v) any state Law concerning the splitting of healthcare professional fees; (vi) Laws relating to informed consent, Healthcare Permits, the hiring of employees or acquisition of services or supplies from Persons excluded from participation in Government Programs, mandated reporting of incidents, occurrences, diseases and events and advertising or marketing of healthcare services; (vii) the United States Federal Food, Drug and Cosmetic Act (21 U.S.C. §§ 301 et seq.); (viii) the Deficit Reduction Act of 2005; (ix) HIPAA (as defined below); (x) the Patient Protection and Affordable Care Act (Pub. L. 111-148) as amended by the Health Care and Education Reconciliation Act of 2010 (Pub. L. 111-152); (xi) the Travel Act, 18 U.S.C. § 1952; (xii) the Physician Payments Sunshine Act (42 U.S.C. § 1320(7h); and (xiii) any similar state and local Laws that address the subject matter of the foregoing and (b) any and all amendments or modifications made from time to time to the items referenced in subsection (a) above.</w:t>
      </w:r>
    </w:p>
    <w:p>
      <w:pPr>
        <w:spacing w:after="0" w:line="184" w:lineRule="exact"/>
        <w:rPr>
          <w:sz w:val="20"/>
          <w:szCs w:val="20"/>
          <w:color w:val="auto"/>
        </w:rPr>
      </w:pPr>
    </w:p>
    <w:p>
      <w:pPr>
        <w:ind w:right="160"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Permits</w:t>
      </w:r>
      <w:r>
        <w:rPr>
          <w:rFonts w:ascii="Times New Roman" w:cs="Times New Roman" w:eastAsia="Times New Roman" w:hAnsi="Times New Roman"/>
          <w:sz w:val="18"/>
          <w:szCs w:val="18"/>
          <w:color w:val="auto"/>
        </w:rPr>
        <w:t>” means any and all licenses, permits, certifications, authorizations, approvals, registrations, accreditations, consents, qualifications, and/or any other permit or permission which are material to or legally required for the operation of the business of the Company as currently conducted or in connection with the Company’s ability to own, lease, operate or manage any of its property or the business, in each case that are issued or enforced by a Governmental Authority with jurisdiction over any Healthcare Law.</w:t>
      </w:r>
    </w:p>
    <w:p>
      <w:pPr>
        <w:spacing w:after="0" w:line="181"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following, as the same may be amended, modified or supplemented from time to time, any successor statute thereto, and together with any and all Laws promulgated from time to time thereunder: (i) the Health Insurance Portability and Accountability Act of 1996; (ii) the Health Information Technology for Economic and Clinical Health Act (Title XIII of the American Recovery and Reinvestment Act of 2009); and (iii) applicable state Laws regarding patient privacy and the security, use or disclosure of healthcare records.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pacing w:after="0" w:line="220" w:lineRule="exact"/>
        <w:rPr>
          <w:sz w:val="20"/>
          <w:szCs w:val="20"/>
          <w:color w:val="auto"/>
        </w:rPr>
      </w:pPr>
    </w:p>
    <w:p>
      <w:pPr>
        <w:ind w:right="200" w:firstLine="64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with respect to any Person as of any time, without duplication, all obligations (including all obligations in respect of principal, interest, penalties, breakage costs, fees and premiums) of such Person for or in respect of: (i) indebtedness for borrowed money or indebtedness issued in substitution or exchange for borrowed money; (ii) indebtedness evidenced by any note, bond, debenture or other debt security; (iii) the deferred purchase price of property or other services (other than trade payables incurred in the ordinary course of business); (iv) any lease obligations that are capitalized or are required to be capitalized in accordance with GAAP; (v) the reimbursement of any obligor on any line or letter of credit, banker’s acceptance, guarantee or similar credit transaction, in each case, that has been drawn or claimed against; (vi) interest rate and currency swaps, caps, collars and similar agreements or hedging devices under which payments are obligated to be made, whether periodically or upon the happening of a contingency;</w:t>
      </w:r>
    </w:p>
    <w:p>
      <w:pPr>
        <w:spacing w:after="0" w:line="2" w:lineRule="exact"/>
        <w:rPr>
          <w:sz w:val="20"/>
          <w:szCs w:val="20"/>
          <w:color w:val="auto"/>
        </w:rPr>
      </w:pPr>
    </w:p>
    <w:p>
      <w:pPr>
        <w:ind w:right="20" w:firstLine="7"/>
        <w:spacing w:after="0" w:line="262" w:lineRule="auto"/>
        <w:tabs>
          <w:tab w:leader="none" w:pos="351"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secured by a Lien (other than a Permitted Lien) on any property of such Person; (viii) unfunded pension or retirement agreements, programs, policies, or other similar arrangements, including any employer portion of Taxes due in respect thereof; (ix) all unpaid obligations of the Company for any accrued bonuses or other incentive compensation or accrued or not accrued deferred compensation, in each case, together with the employer portion of any payroll or similar Taxes related thereto and determined assuming such amounts are payable as of the Closing, (x) all “applicable employment taxes” (as defined in Section 2302(d)(1) of the CARES Act) that the Company has elected to defer pursuant to Section 2302 of the CARES Act, (xi) all Taxes (including withholding Taxes) deferred pursuant to Internal Revenue Service Notice 2020-65 or any related or similar order or declaration from any Governmental Authority (including, without limitation, the Presidential Memorandum, dated August 8, 2020, issued by the President of the United States),</w:t>
      </w:r>
    </w:p>
    <w:p>
      <w:pPr>
        <w:ind w:firstLine="7"/>
        <w:spacing w:after="0" w:line="251" w:lineRule="auto"/>
        <w:tabs>
          <w:tab w:leader="none" w:pos="3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declared but not yet paid or other distributions payable; (xiii) any obligation of the type referred to in clauses (i) - (xii) of this definition of any other Person, for the payment of which such Person is responsible or liable, directly or indirectly, as obligor, guarantor, surety or otherwise, including any guarantee of such obligations.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64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or extensions of any of the foregoing (collectively, “</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(b) trademarks, service marks, trade names, service names, brand names, trade dress rights, logos, corporate names and other source or business identifiers, together with the goodwill associated with any of the foregoing, and all applications, registrations, extensions and renewals of any of the foregoing (collectively, “</w:t>
      </w:r>
      <w:r>
        <w:rPr>
          <w:rFonts w:ascii="Times New Roman" w:cs="Times New Roman" w:eastAsia="Times New Roman" w:hAnsi="Times New Roman"/>
          <w:sz w:val="17"/>
          <w:szCs w:val="17"/>
          <w:u w:val="single" w:color="auto"/>
          <w:color w:val="auto"/>
        </w:rPr>
        <w:t>Marks</w:t>
      </w:r>
      <w:r>
        <w:rPr>
          <w:rFonts w:ascii="Times New Roman" w:cs="Times New Roman" w:eastAsia="Times New Roman" w:hAnsi="Times New Roman"/>
          <w:sz w:val="17"/>
          <w:szCs w:val="17"/>
          <w:color w:val="auto"/>
        </w:rPr>
        <w:t>”); (c) copyrights and works of authorship, database and design rights, mask work rights and moral rights, whether or not registered or published, and all registrations, applications, renewals, extensions and reversions of any of any of the foregoing (collectively, “</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w:t>
      </w:r>
    </w:p>
    <w:p>
      <w:pPr>
        <w:ind w:firstLine="7"/>
        <w:spacing w:after="0" w:line="249" w:lineRule="auto"/>
        <w:tabs>
          <w:tab w:leader="none" w:pos="2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know-how and confidential and proprietary information, whether or not patentable, including invention disclosures, inventions, formulae, designs, discoveries, processes, research and development information, technical information, methods, techniques, procedures, specifications, operating and maintenance manuals, methods, and engineering drawings; (e) rights in or to Software or other technology; (f) Internet domain names, social media accounts, social media handles or social media identifiers; and (g) any other intellectual or proprietary rights protectable, arising under or associated with any of the foregoing, including those protected by any Law anywhere in the world.</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has the meaning specified in the recitals.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320" w:firstLine="640"/>
        <w:spacing w:after="0" w:line="28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means any and all of the following owned, leased, licensed or used by or for, or otherwise relied on by, the Company: information technology and computers systems, networks and infrastructure (including Software, databases, facilities and equipment) relating to the transmission, storage, maintenance, organization, presentation, generation, processing or analysis of data and information, whether or not in electronic format.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7" w:name="page28"/>
    <w:bookmarkEnd w:id="27"/>
    <w:p>
      <w:pPr>
        <w:ind w:right="38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Jointly-Owned Intellectual Property</w:t>
      </w:r>
      <w:r>
        <w:rPr>
          <w:rFonts w:ascii="Times New Roman" w:cs="Times New Roman" w:eastAsia="Times New Roman" w:hAnsi="Times New Roman"/>
          <w:sz w:val="18"/>
          <w:szCs w:val="18"/>
          <w:color w:val="auto"/>
        </w:rPr>
        <w:t>” means all Intellectual Property that is jointly owned or purported to be jointly owned by and between the Company and a third party.</w:t>
      </w:r>
    </w:p>
    <w:p>
      <w:pPr>
        <w:spacing w:after="0" w:line="163" w:lineRule="exact"/>
        <w:rPr>
          <w:sz w:val="20"/>
          <w:szCs w:val="20"/>
          <w:color w:val="auto"/>
        </w:rPr>
      </w:pPr>
    </w:p>
    <w:p>
      <w:pPr>
        <w:ind w:right="78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(including common law), code, act, ordinance, rule, regulation or Governmental Order, in each case, of any Governmental Authority.</w:t>
      </w:r>
    </w:p>
    <w:p>
      <w:pPr>
        <w:spacing w:after="0" w:line="163" w:lineRule="exact"/>
        <w:rPr>
          <w:sz w:val="20"/>
          <w:szCs w:val="20"/>
          <w:color w:val="auto"/>
        </w:rPr>
      </w:pPr>
    </w:p>
    <w:p>
      <w:pPr>
        <w:ind w:right="54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all Contracts related to leasehold or subleasehold estates and other rights to use or occupy any land, buildings, structures or other interest in real property held by the Company.</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5.18(b)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Intellectual Property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5.19(b)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8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Personnel</w:t>
      </w:r>
      <w:r>
        <w:rPr>
          <w:rFonts w:ascii="Times New Roman" w:cs="Times New Roman" w:eastAsia="Times New Roman" w:hAnsi="Times New Roman"/>
          <w:sz w:val="18"/>
          <w:szCs w:val="18"/>
          <w:color w:val="auto"/>
        </w:rPr>
        <w:t>” means any Person employed as an employee, agent, independent contractor or otherwise engaged by or otherwise providing licensed services for or on behalf of the Company that is required to hold a Healthcare Permit.</w:t>
      </w:r>
    </w:p>
    <w:p>
      <w:pPr>
        <w:spacing w:after="0" w:line="163" w:lineRule="exact"/>
        <w:rPr>
          <w:sz w:val="20"/>
          <w:szCs w:val="20"/>
          <w:color w:val="auto"/>
        </w:rPr>
      </w:pPr>
    </w:p>
    <w:p>
      <w:pPr>
        <w:ind w:right="16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deed of trust, pledge, hypothecation, encumbrance, easement, license, option, right of first refusal, security interest or other lien of any kind.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Application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20"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Event</w:t>
      </w:r>
      <w:r>
        <w:rPr>
          <w:rFonts w:ascii="Times New Roman" w:cs="Times New Roman" w:eastAsia="Times New Roman" w:hAnsi="Times New Roman"/>
          <w:sz w:val="18"/>
          <w:szCs w:val="18"/>
          <w:color w:val="auto"/>
        </w:rPr>
        <w:t xml:space="preserve">” means any of (a) the Acquiror Common Stock being delisted from Nasdaq, (b) Acquiror receiving a notice from Nasdaq to the effect that the Acquiror Common Stock no longer meets the Nasdaq listing requirements, without regard to any cure period that may be available under Nasdaq’s listing rules; or (c) any event whereby Acquiror no longer meets the requirements of Nasdaq Rule 5550 for continued listing on Nasdaq;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subclauses (a), (b) and (c), such events shall not be deemed Listing Events in the event Acquiror relists the Acquiror Common Stock on the NYSE.</w:t>
      </w:r>
    </w:p>
    <w:p>
      <w:pPr>
        <w:spacing w:after="0" w:line="186" w:lineRule="exact"/>
        <w:rPr>
          <w:sz w:val="20"/>
          <w:szCs w:val="20"/>
          <w:color w:val="auto"/>
        </w:rPr>
      </w:pPr>
    </w:p>
    <w:p>
      <w:pPr>
        <w:ind w:firstLine="64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xml:space="preserve">” means, with respect to the Company, any state of facts, change, event, effect or occurrence that, individually or in the aggregate with any other state of facts, change, event, effect or occurrence, has had or would reasonably be expected to have (a) a material adverse effect on the operations or financial condition of the Company or (b) a material adverse effect on the ability of the Company to consummate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clause (a) of this definition, in no event shall any of the following, alone or in combination, be deemed to constitute, or be taken into account in determining whether there has been or will be, a “Material Adverse Effect” on the business, results of operations or financial condition of the Company: (i) any change in applicable Laws or GAAP or any interpretation thereof, (ii) any change in interest rates or economic, political, business, financial, commodity, currency or market conditions generally, (iii) the announcement or the execution of this Agreement, the pendency or consummation of the Merger or the performance of this Agreement (provided that the exceptions in this clause (iii) shall not apply to any representation or warranty to the extent such representation or warranty relates to the consequences resulting from the announcement, execution, performance or existence of this Agreement, and, to the extent related thereto, the condition in </w:t>
      </w:r>
      <w:r>
        <w:rPr>
          <w:rFonts w:ascii="Times New Roman" w:cs="Times New Roman" w:eastAsia="Times New Roman" w:hAnsi="Times New Roman"/>
          <w:sz w:val="17"/>
          <w:szCs w:val="17"/>
          <w:u w:val="single" w:color="auto"/>
          <w:color w:val="auto"/>
        </w:rPr>
        <w:t>Section 10.02(a)</w:t>
      </w:r>
      <w:r>
        <w:rPr>
          <w:rFonts w:ascii="Times New Roman" w:cs="Times New Roman" w:eastAsia="Times New Roman" w:hAnsi="Times New Roman"/>
          <w:sz w:val="17"/>
          <w:szCs w:val="17"/>
          <w:color w:val="auto"/>
        </w:rPr>
        <w:t>), (iv) any change generally affecting any of the industries or markets in which the Company operates (including increases in the costs of products, supplies, materials or other goods purchased from third party suppliers) or the economy as a whole, (v) the taking of any action by the Company expressly required by this Agreement, with the prior written consent of Acquiror or at the direction of Acquiror, (vi) any earthquake, hurricane, tsunami, tornado, flood, mudslide, wild fire or other natural disaster, act of God or other force majeure event,</w:t>
      </w:r>
    </w:p>
    <w:p>
      <w:pPr>
        <w:spacing w:after="0" w:line="9" w:lineRule="exact"/>
        <w:rPr>
          <w:sz w:val="20"/>
          <w:szCs w:val="20"/>
          <w:color w:val="auto"/>
        </w:rPr>
      </w:pPr>
    </w:p>
    <w:p>
      <w:pPr>
        <w:ind w:firstLine="7"/>
        <w:spacing w:after="0" w:line="248" w:lineRule="auto"/>
        <w:tabs>
          <w:tab w:leader="none" w:pos="3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national or international political or social conditions in countries in which, or in the proximate geographic region of which, the Company operates, including the engagement by the United States or such other countries in hostilities or the escalation thereof, whether or not pursuant to the declaration of a national emergency or war, or the occurrence or the escalation of any military or terrorist attack upon the United States or such other country, or any territories, possessions, or diplomatic or consular offices of the United States or such other countries or upon any United States or such other country military installation, equipment or personnel, (viii) any failure of the Company to meet any projections, forecasts or budgets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clause (viii) shall not prevent or otherwise affect a determination that any change or effect underlying such failure to meet projections or forecasts has resulted in or would reasonably be expected to result in a Material Adverse Effect (to the extent such change or effect is not otherwise excluded from this definition of Material Adverse Effect)) and (ix) COVID-19 or any Law, directive, pronouncement or guideline issued by a Governmental Authority, the Centers for Disease Control and Prevention, the World Health Organization or industry group providing for business closures, changes to business operations, “sheltering-in-place” or other restrictions that relate to, or arise out of, an epidemic, pandemic or disease outbreak (including the COVID-19 pandemic) or any change in such Law, directive, pronouncement or guideline or interpretation thereof following the date of this Agreement or the Company’s compliance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clauses (i), (ii), (iv), (vi), (vii) and (ix) such changes may be taken into account to the extent that such changes have had or would reasonably be expected to have a disproportionate impact on the Company as compared to other industry participants.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Medicaid</w:t>
      </w:r>
      <w:r>
        <w:rPr>
          <w:rFonts w:ascii="Times New Roman" w:cs="Times New Roman" w:eastAsia="Times New Roman" w:hAnsi="Times New Roman"/>
          <w:sz w:val="18"/>
          <w:szCs w:val="18"/>
          <w:color w:val="auto"/>
        </w:rPr>
        <w:t>” means, collectively, the healthcare assistance program established by Title XIX of the Social Security Act (42 U.S.C. § 1396 et seq.) and any statutes succeeding thereto, and all Laws, rules, regulations, manuals, orders or requirements pertaining to such program, including (a) all federal and state statutes affecting such program; (b) all state statutes and plans for medical assistance enacted in connection with such program and federal rules and regulations promulgated in connection with such program; and (c) all applicable provisions of all regulations of all Governmental Authorities promulgated in connection with such program, in each case as the same may be amended, supplemented, or otherwise modified from time to time.</w:t>
      </w:r>
    </w:p>
    <w:p>
      <w:pPr>
        <w:spacing w:after="0" w:line="186" w:lineRule="exact"/>
        <w:rPr>
          <w:sz w:val="20"/>
          <w:szCs w:val="20"/>
          <w:color w:val="auto"/>
        </w:rPr>
      </w:pPr>
    </w:p>
    <w:p>
      <w:pPr>
        <w:ind w:right="120" w:firstLine="6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Medicare</w:t>
      </w:r>
      <w:r>
        <w:rPr>
          <w:rFonts w:ascii="Times New Roman" w:cs="Times New Roman" w:eastAsia="Times New Roman" w:hAnsi="Times New Roman"/>
          <w:sz w:val="17"/>
          <w:szCs w:val="17"/>
          <w:color w:val="auto"/>
        </w:rPr>
        <w:t>” means, collectively, the health insurance program for the aged and disabled established by Title XVIII of the Social Security Act (42 U.S.C. § 1395 et seq.) and any statutes succeeding thereto, and all Laws, rules, regulations, manuals, orders or requirements pertaining to such program, including (a) all federal statutes (whether set forth in Title XVIII of the Social Security Act (42 U.S.C. § 1395 et seq.) or elsewhere) affecting such program;</w:t>
      </w:r>
    </w:p>
    <w:p>
      <w:pPr>
        <w:spacing w:after="0" w:line="2" w:lineRule="exact"/>
        <w:rPr>
          <w:sz w:val="20"/>
          <w:szCs w:val="20"/>
          <w:color w:val="auto"/>
        </w:rPr>
      </w:pPr>
    </w:p>
    <w:p>
      <w:pPr>
        <w:ind w:right="180" w:firstLine="7"/>
        <w:spacing w:after="0" w:line="255" w:lineRule="auto"/>
        <w:tabs>
          <w:tab w:leader="none" w:pos="2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provisions of all regulations of all Governmental Authorities promulgated in connection with such program, in each case as the same may be amended, supplemented, or otherwise modified from time to time.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specified in the Recitals 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specified in the preamble hereto.</w:t>
      </w:r>
    </w:p>
    <w:p>
      <w:pPr>
        <w:spacing w:after="0" w:line="220" w:lineRule="exact"/>
        <w:rPr>
          <w:sz w:val="20"/>
          <w:szCs w:val="20"/>
          <w:color w:val="auto"/>
        </w:rPr>
      </w:pPr>
    </w:p>
    <w:p>
      <w:pPr>
        <w:ind w:right="280" w:firstLine="6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Monthly Extension Amount</w:t>
      </w:r>
      <w:r>
        <w:rPr>
          <w:rFonts w:ascii="Times New Roman" w:cs="Times New Roman" w:eastAsia="Times New Roman" w:hAnsi="Times New Roman"/>
          <w:sz w:val="17"/>
          <w:szCs w:val="17"/>
          <w:color w:val="auto"/>
        </w:rPr>
        <w:t xml:space="preserve">” means, if the Extension is approved in accordance with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 xml:space="preserve">, the aggregate amount of dollars equal to the product of (a) 0.04 </w:t>
      </w:r>
      <w:r>
        <w:rPr>
          <w:rFonts w:ascii="Times New Roman" w:cs="Times New Roman" w:eastAsia="Times New Roman" w:hAnsi="Times New Roman"/>
          <w:sz w:val="17"/>
          <w:szCs w:val="17"/>
          <w:u w:val="single" w:color="auto"/>
          <w:color w:val="auto"/>
        </w:rPr>
        <w:t>multiplied</w:t>
      </w:r>
      <w:r>
        <w:rPr>
          <w:rFonts w:ascii="Times New Roman" w:cs="Times New Roman" w:eastAsia="Times New Roman" w:hAnsi="Times New Roman"/>
          <w:sz w:val="17"/>
          <w:szCs w:val="17"/>
          <w:color w:val="auto"/>
        </w:rPr>
        <w:t xml:space="preserve"> by (b) the aggregate number of shares of Acquiror Class A Common Stock that were not redeemed by the record holders of Acquiror Class A Common Stock in connection with the Extension, as adjusted for any stock dividend, subdivision, reclassification, reorganization, recapitalization, split, combination or exchange of shares, or any similar event;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for clarity, that any shares of Acquiror Common Stock held by Sponsor shall in no event be included in the calculation of the aggregate number of shares of Acquiror Class A Common Stock pursuant to this clause (b).</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Most Recent Balance Sheet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5.12(g)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 LLC.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Conversion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means all Intellectual Property that is owned or purported to be owned by the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Parachute Payment Waiver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has the meaning specified in the preamble hereto.</w:t>
      </w:r>
    </w:p>
    <w:p>
      <w:pPr>
        <w:spacing w:after="0" w:line="220" w:lineRule="exact"/>
        <w:rPr>
          <w:sz w:val="20"/>
          <w:szCs w:val="20"/>
          <w:color w:val="auto"/>
        </w:rPr>
      </w:pPr>
    </w:p>
    <w:p>
      <w:pPr>
        <w:ind w:right="14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Payor</w:t>
      </w:r>
      <w:r>
        <w:rPr>
          <w:rFonts w:ascii="Times New Roman" w:cs="Times New Roman" w:eastAsia="Times New Roman" w:hAnsi="Times New Roman"/>
          <w:sz w:val="18"/>
          <w:szCs w:val="18"/>
          <w:color w:val="auto"/>
        </w:rPr>
        <w:t>” means any and all Government Programs and all other healthcare service plans, health maintenance organizations, health insurers and/or other private, commercial, or governmental third-party payors.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Oversight Board.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 Audited Financials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4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 Amount</w:t>
      </w:r>
      <w:r>
        <w:rPr>
          <w:rFonts w:ascii="Times New Roman" w:cs="Times New Roman" w:eastAsia="Times New Roman" w:hAnsi="Times New Roman"/>
          <w:sz w:val="18"/>
          <w:szCs w:val="18"/>
          <w:color w:val="auto"/>
        </w:rPr>
        <w:t>” means the amount determined by dividing (i) the Closing Equity Value by (ii) the Aggregate Company Common Stock.</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(i) mechanic’s, materialmen’s, carriers’, repairers’ and other similar statutory Liens for labor, materials or supplies arising or incurred in the ordinary course of business for amounts that are not yet delinquent or are being contested in good faith by appropriate proceedings and for which sufficient accruals or reserves have been established in accordance with GAAP, consistently applied, (ii) Liens arising under original purchase price conditional sales contracts and equipment leases with third parties entered into in the ordinary course of business, (iii) Liens for Taxes not yet due and payable or which are being contested in good faith through appropriate Actions for which adequate accruals or reserves have been established in accordance with GAAP, consistently applied, (iv) restrictions, easements, covenants, conditions, rights of way and other similar matters of record affecting title to any Leased Real Property that that do not prohibit, materially interfere with or impair any of the Company’s present use or occupancy of any such Leased Real Property in the operation of the business conducted thereon, (v) non-exclusive licenses of Owned Intellectual Property granted by the Company to vendors, distributors and customers in the ordinary course of business, (vi) with respect to Leased Real Property, the interests and rights of the respective lessors thereto, including any statutory landlord liens and any Lien on the lessor’s interest therein, (vii) zoning, building, entitlement and other land use and environmental regulations promulgated by any Governmental Authority that do not, in the aggregate, materially interfere with the current use of the Leased Real Property, (viii) ordinary course purchase money Liens and Liens securing rental payments under operating or capital lease arrangements not yet due or payable, (ix) other Liens arising in the ordinary course of business and not incurred in connection with the borrowing of money in connection with workers’ compensation, unemployment insurance or other types of social security and otherwise not material to the Company, and (x) prior to Closing, the Liens described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20"/>
          </w:cols>
          <w:pgMar w:left="320" w:top="895" w:right="459" w:bottom="1440" w:gutter="0" w:footer="0" w:header="0"/>
        </w:sectPr>
      </w:pPr>
    </w:p>
    <w:bookmarkStart w:id="30" w:name="page31"/>
    <w:bookmarkEnd w:id="30"/>
    <w:p>
      <w:pPr>
        <w:ind w:right="10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joint venture, joint stock company, governmental agency or instrumentality or other entity of any kind.</w:t>
      </w:r>
    </w:p>
    <w:p>
      <w:pPr>
        <w:spacing w:after="0" w:line="161" w:lineRule="exact"/>
        <w:rPr>
          <w:sz w:val="20"/>
          <w:szCs w:val="20"/>
          <w:color w:val="auto"/>
        </w:rPr>
      </w:pPr>
    </w:p>
    <w:p>
      <w:pPr>
        <w:ind w:right="100" w:firstLine="6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 addition to any definition for “personal information” or any similar term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“personal data” or “personally identifiable information”) provided by applicable Law, all information in Company’s possession or control that directly or indirectly can be used to identify, is related to, describes, is reasonably capable of being associated with, or could reasonably be linked with, a particular individual.</w:t>
      </w:r>
    </w:p>
    <w:p>
      <w:pPr>
        <w:spacing w:after="0" w:line="175"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Investor Reimbursable Expenses</w:t>
      </w:r>
      <w:r>
        <w:rPr>
          <w:rFonts w:ascii="Times New Roman" w:cs="Times New Roman" w:eastAsia="Times New Roman" w:hAnsi="Times New Roman"/>
          <w:sz w:val="18"/>
          <w:szCs w:val="18"/>
          <w:color w:val="auto"/>
        </w:rPr>
        <w:t>” means those out-of-pocket expenses of investors participating in the Future PIPE Investment to the extent Acquiror is required to reimburse such amounts pursuant to the terms of any instrument entered into in connection with such Future PIPE Investment and the terms of such instrument are reasonably acceptable to the Company.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Conversion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Raymond James</w:t>
      </w:r>
      <w:r>
        <w:rPr>
          <w:rFonts w:ascii="Times New Roman" w:cs="Times New Roman" w:eastAsia="Times New Roman" w:hAnsi="Times New Roman"/>
          <w:sz w:val="18"/>
          <w:szCs w:val="18"/>
          <w:color w:val="auto"/>
        </w:rPr>
        <w:t>” means Raymond James &amp; Associates, Inc.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Raymond James Amendment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44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Raymond James Underwriting Agreement</w:t>
      </w:r>
      <w:r>
        <w:rPr>
          <w:rFonts w:ascii="Times New Roman" w:cs="Times New Roman" w:eastAsia="Times New Roman" w:hAnsi="Times New Roman"/>
          <w:sz w:val="18"/>
          <w:szCs w:val="18"/>
          <w:color w:val="auto"/>
        </w:rPr>
        <w:t>” means that certain Underwriting Agreement, dated as of December 17, 2020, by and between the Company and Raymond James.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specified in the Recitals 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62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as to any Person, any of the officers, directors, managers, employees, counsel, accountants, financial advisors, and consultants of such Person.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Reviewed Financials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that is, or has been in the last five years, the subject or target of a comprehensive embargo under Trade Controls (as of the Agreement Date, this includes the Crimea region, Cuba, Iran, North Korea and Syria).</w:t>
      </w:r>
    </w:p>
    <w:p>
      <w:pPr>
        <w:spacing w:after="0" w:line="163" w:lineRule="exact"/>
        <w:rPr>
          <w:sz w:val="20"/>
          <w:szCs w:val="20"/>
          <w:color w:val="auto"/>
        </w:rPr>
      </w:pPr>
    </w:p>
    <w:p>
      <w:pPr>
        <w:ind w:right="60"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subject or target of sanctions or restrictions under Trade Controls, including: (i) any Person listed on any applicable U.S. or non-U.S. sanctions- or export-related restricted party list, including the U.S. Department of the Treasury Office of Foreign Assets Control’s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Specially Designated Nationals and Blocked Persons List and the EU Consolidated List; (ii) any entity that is, in the aggregate, 50 percent or greater owned, directly or indirectly, or otherwise controlled by a Person or Persons described in clause (i); or (iii) any national of a Sanctioned Country.</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the disclosure schedules of the Company or Acquiror, as applicable.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SPAC Accounting Changes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9.05(d)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means the securities laws of any state, federal or foreign entity and the rules and regulations promulgated thereunder.</w:t>
      </w:r>
    </w:p>
    <w:p>
      <w:pPr>
        <w:spacing w:after="0" w:line="22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B-3 Warrants</w:t>
      </w:r>
      <w:r>
        <w:rPr>
          <w:rFonts w:ascii="Times New Roman" w:cs="Times New Roman" w:eastAsia="Times New Roman" w:hAnsi="Times New Roman"/>
          <w:sz w:val="18"/>
          <w:szCs w:val="18"/>
          <w:color w:val="auto"/>
        </w:rPr>
        <w:t>” means those warrants for Company Series B-3 Preferred Shares issued pursuant to that certain Series B-2/B-3 Preferred Stock and Warrant Purchase Agreement, dated October 5, 2022, by and among the Company and the investors named therein.</w:t>
      </w:r>
    </w:p>
    <w:p>
      <w:pPr>
        <w:spacing w:after="0" w:line="163" w:lineRule="exact"/>
        <w:rPr>
          <w:sz w:val="20"/>
          <w:szCs w:val="20"/>
          <w:color w:val="auto"/>
        </w:rPr>
      </w:pPr>
    </w:p>
    <w:p>
      <w:pPr>
        <w:ind w:right="60"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and all (i) computer programs, including any and all software implementation of algorithms, models and methodologies, whether in source code, object code, human readable form or other form, (ii) descriptions, flow charts and other work products used to design, plan, organize and develop any of the foregoing, screens, user interfaces, report formats, firmware, development tools, templates, menus, buttons and icons, and (iii) all documentation including user manuals and other training documentation relating to any of the foregoing.</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MedTech Acquisition Sponsor LLC, a Delaware limited liability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has the meaning specified in the Recitals hereto.</w:t>
      </w:r>
    </w:p>
    <w:p>
      <w:pPr>
        <w:spacing w:after="0" w:line="220" w:lineRule="exact"/>
        <w:rPr>
          <w:sz w:val="20"/>
          <w:szCs w:val="20"/>
          <w:color w:val="auto"/>
        </w:rPr>
      </w:pPr>
    </w:p>
    <w:p>
      <w:pPr>
        <w:ind w:right="60"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 means (i) “shrink wrap” or other licenses for generally commercially available Software (including open source Software) or hosted services, (ii) non-exclusive licenses or licenses to intellectual property granted to customers, vendors, distributors, or suppliers of the Company entered into in the ordinary course of business or to Company service providers, employees, consultants, and independent contractors for the purposes of the performance of services for the Company by such Persons, (iii) nondisclosure agreements entered into (a) in the ordinary course of business or (b) in connection with discussions, negotiations and transactions related to this Agreement or other potential strategic transactions, (iv) incidental trademark licenses and (v) any Contract that is terminable without penalty by any other party thereto on ninety (90) days’ or less notice; provided that penalty shall not include requirements to pay costs and expenses in connection with the termination of such agreements consisting of reimbursement of expenses incurred and reasonable wind-down costs.</w:t>
      </w:r>
    </w:p>
    <w:p>
      <w:pPr>
        <w:spacing w:after="0" w:line="190"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any corporation or other organization (including a limited liability company or a partnership), whether incorporated or unincorporated, of which such Person directly or indirectly owns or controls a majority of the securities or other interests having by their terms ordinary voting power to elect a majority of the board of directors or others performing similar functions with respect to such corporation or other organization or any organization of which such Person or any of its Subsidiaries is, directly or indirectly, a general partner or managing member.</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 Agreements</w:t>
      </w:r>
      <w:r>
        <w:rPr>
          <w:rFonts w:ascii="Times New Roman" w:cs="Times New Roman" w:eastAsia="Times New Roman" w:hAnsi="Times New Roman"/>
          <w:sz w:val="18"/>
          <w:szCs w:val="18"/>
          <w:color w:val="auto"/>
        </w:rPr>
        <w:t>” has the meaning specified in the Recitals 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specified in the Recitals hereto.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Provisions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60" w:firstLine="6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means (a) any federal, state, provincial, territorial, local, foreign and other taxes, charges, fees duties, levies, tariffs, imposts, tolls, customs or other assessments, including all net income, alternative or add-on minimum, franchise, gross income, adjusted gross income or gross receipts, employment related (including employee withholding or employer payroll tax) ad valorem, transfer, franchise, registration, license, excise, severance, environmental, stamp, occupation, premium, personal property, real property, windfall profits, wealth, net wealth, net worth, capital stock, profits, profits share, lease, service, service use, disability, registration, value added, estimated, customs duties, production, and sales or use taxes, or other tax or like assessment or charge of any kind whatsoever imposed by a Governmental Authority, together with any interest, penalty, addition to tax or additional amount imposed with respect thereto; (b) any liability for an amount described in clause (a) as a result of being a member of an affiliated, consolidated, combined or unitary or other group for Tax purposes, including under Treasury Regulations Section 1.1502-6 (or any similar or corresponding provision of state, local or non-U.S. Law), and (c) any liability for, or in respect of, any item described in clauses (a) or (b) as a result of any tax sharing, allocation, indemnification or other agreement, arrangement or understanding or as a result of being a successor or transferee, pursuant to any contract, or otherwise under applicable Law.</w:t>
      </w:r>
    </w:p>
    <w:p>
      <w:pPr>
        <w:spacing w:after="0" w:line="174"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statement, refund, claim, declaration, information report (including FinCEN Form 114 and any analogous or similar report under applicable Law), information return, statement, estimate or other document filed or required to be filed with a Governmental Authority in respect of Taxes, including any schedule, exhibit, supplement or attachment thereto or any related or supporting information, and including any amendments thereof.</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Acquiror Breach</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11.01(d)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Company Breach</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80"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Controls</w:t>
      </w:r>
      <w:r>
        <w:rPr>
          <w:rFonts w:ascii="Times New Roman" w:cs="Times New Roman" w:eastAsia="Times New Roman" w:hAnsi="Times New Roman"/>
          <w:sz w:val="18"/>
          <w:szCs w:val="18"/>
          <w:color w:val="auto"/>
        </w:rPr>
        <w:t>” means all U.S. and applicable non-U.S. Laws relating to (i) economic, trade, and financial sanctions, including those administered and enforced by OFAC, the U.S. Department of State and the United Nations; (ii) export, import, reexport, transfer, and retransfer controls, including those administered and enforced by the U.S. Department of Commerce Bureau of Industry and Security, U.S. Customs and Border Protection and the United Nations; (iii) anti-boycott requirements; and (iv) the prevention of money laundering.</w:t>
      </w:r>
    </w:p>
    <w:p>
      <w:pPr>
        <w:spacing w:after="0" w:line="181" w:lineRule="exact"/>
        <w:rPr>
          <w:sz w:val="20"/>
          <w:szCs w:val="20"/>
          <w:color w:val="auto"/>
        </w:rPr>
      </w:pPr>
    </w:p>
    <w:p>
      <w:pPr>
        <w:ind w:right="180"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Agreements</w:t>
      </w:r>
      <w:r>
        <w:rPr>
          <w:rFonts w:ascii="Times New Roman" w:cs="Times New Roman" w:eastAsia="Times New Roman" w:hAnsi="Times New Roman"/>
          <w:sz w:val="18"/>
          <w:szCs w:val="18"/>
          <w:color w:val="auto"/>
        </w:rPr>
        <w:t>” shall mean this Agreement, the Registration Rights Agreement, the Lock-Up Agreements, any instrument or agreement entered into in connection with the Future PIPE Investment, the Sponsor Support Agreement, the Support Agreements, the Letters of Transmittal, the Acquiror Charter, the Acquiror Bylaws, the Certificate of Merger, the Acquiror LTIP and the Acquiror ESPP, and all other agreements, and certificates entered into in connection herewith or therewith and any and all exhibits and schedules thereto.</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Acquiror Transaction Expenses plus Company Transaction Expenses.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and the other Transaction Agreements, including the Merger.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promulgated under the Code.</w:t>
      </w:r>
    </w:p>
    <w:p>
      <w:pPr>
        <w:spacing w:after="0" w:line="220" w:lineRule="exact"/>
        <w:rPr>
          <w:sz w:val="20"/>
          <w:szCs w:val="20"/>
          <w:color w:val="auto"/>
        </w:rPr>
      </w:pPr>
    </w:p>
    <w:p>
      <w:pPr>
        <w:ind w:right="80"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TRICARE</w:t>
      </w:r>
      <w:r>
        <w:rPr>
          <w:rFonts w:ascii="Times New Roman" w:cs="Times New Roman" w:eastAsia="Times New Roman" w:hAnsi="Times New Roman"/>
          <w:sz w:val="18"/>
          <w:szCs w:val="18"/>
          <w:color w:val="auto"/>
        </w:rPr>
        <w:t>” means, collectively, a program of medical benefits covering former and active members of the uniformed services and certain of their dependents, financed and administered by the United States Departments of Defense, Health and Human Services and Transportation, which program was formerly known as CHAMPUS (Civilian Health and Medical Program of the Uniformed Services), and all Laws, rules, regulations, manuals, orders and administrative, reimbursement or other guidelines of all Governmental Entities promulgated in connection with such program, in each case as the same may be amended, supplemented or otherwise modified from time to time.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 Separation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Waived 280G Benefits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00" w:firstLine="64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means that certain Warrant Agreement, dated as of December 17, 2020, between Acquiror and Continental Stock Transfer &amp; Trust Company, a New York corporation.</w:t>
      </w:r>
    </w:p>
    <w:p>
      <w:pPr>
        <w:spacing w:after="0" w:line="163"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with respect to any agreement, a party’s knowing and intentional material breach of any of its representations or warranties as set forth in such agreement, or such party’s material breach of any of its covenants or other agreements set forth in such agreement, which material breach constitutes, or is a consequence of, a purposeful act or failure to act by such party with the knowledge that the taking of such act or failure to take such act would cause a material breach of such agreement.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40" w:firstLine="1281"/>
        <w:spacing w:after="0" w:line="253" w:lineRule="auto"/>
        <w:rPr>
          <w:sz w:val="20"/>
          <w:szCs w:val="20"/>
          <w:color w:val="auto"/>
        </w:rPr>
      </w:pPr>
      <w:r>
        <w:rPr>
          <w:rFonts w:ascii="Times New Roman" w:cs="Times New Roman" w:eastAsia="Times New Roman" w:hAnsi="Times New Roman"/>
          <w:sz w:val="18"/>
          <w:szCs w:val="18"/>
          <w:color w:val="auto"/>
        </w:rPr>
        <w:t>(a)             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“Section”, “Schedule”, “Exhibit” and “Annex” refer to the specified Article, Section, Schedule, Exhibit or Annex of or to this Agreement unless otherwise specified, (v) the word “including” shall mean “including without limitation,” (vi) the word “or” shall be disjunctive but not exclusive (i.e., shall mean “and/or”), and (vii) the phrase “to the extent” means the degree to which a thing extends (rather than if).</w:t>
      </w:r>
    </w:p>
    <w:p>
      <w:pPr>
        <w:spacing w:after="0" w:line="185" w:lineRule="exact"/>
        <w:rPr>
          <w:sz w:val="20"/>
          <w:szCs w:val="20"/>
          <w:color w:val="auto"/>
        </w:rPr>
      </w:pPr>
    </w:p>
    <w:p>
      <w:pPr>
        <w:ind w:right="120" w:firstLine="1281"/>
        <w:spacing w:after="0" w:line="277" w:lineRule="auto"/>
        <w:rPr>
          <w:sz w:val="20"/>
          <w:szCs w:val="20"/>
          <w:color w:val="auto"/>
        </w:rPr>
      </w:pPr>
      <w:r>
        <w:rPr>
          <w:rFonts w:ascii="Times New Roman" w:cs="Times New Roman" w:eastAsia="Times New Roman" w:hAnsi="Times New Roman"/>
          <w:sz w:val="18"/>
          <w:szCs w:val="18"/>
          <w:color w:val="auto"/>
        </w:rPr>
        <w:t>(b)            When used herein, “ordinary course of business” means an action taken, or omitted to be taken, in the ordinary and usual course of the Company’s business, consistent with past custom and practice.</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4" w:name="page35"/>
    <w:bookmarkEnd w:id="34"/>
    <w:p>
      <w:pPr>
        <w:ind w:right="140" w:firstLine="1281"/>
        <w:spacing w:after="0" w:line="277" w:lineRule="auto"/>
        <w:rPr>
          <w:sz w:val="20"/>
          <w:szCs w:val="20"/>
          <w:color w:val="auto"/>
        </w:rPr>
      </w:pPr>
      <w:r>
        <w:rPr>
          <w:rFonts w:ascii="Times New Roman" w:cs="Times New Roman" w:eastAsia="Times New Roman" w:hAnsi="Times New Roman"/>
          <w:sz w:val="18"/>
          <w:szCs w:val="18"/>
          <w:color w:val="auto"/>
        </w:rPr>
        <w:t>(c)             Unless the context of this Agreement otherwise requires, references to agreements and other documents shall be deemed to include all subsequent amendments and other modifications thereto.</w:t>
      </w:r>
    </w:p>
    <w:p>
      <w:pPr>
        <w:spacing w:after="0" w:line="163" w:lineRule="exact"/>
        <w:rPr>
          <w:sz w:val="20"/>
          <w:szCs w:val="20"/>
          <w:color w:val="auto"/>
        </w:rPr>
      </w:pPr>
    </w:p>
    <w:p>
      <w:pPr>
        <w:ind w:right="140" w:firstLine="1281"/>
        <w:spacing w:after="0" w:line="262" w:lineRule="auto"/>
        <w:rPr>
          <w:sz w:val="20"/>
          <w:szCs w:val="20"/>
          <w:color w:val="auto"/>
        </w:rPr>
      </w:pPr>
      <w:r>
        <w:rPr>
          <w:rFonts w:ascii="Times New Roman" w:cs="Times New Roman" w:eastAsia="Times New Roman" w:hAnsi="Times New Roman"/>
          <w:sz w:val="18"/>
          <w:szCs w:val="18"/>
          <w:color w:val="auto"/>
        </w:rPr>
        <w:t>(d)            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76" w:lineRule="exact"/>
        <w:rPr>
          <w:sz w:val="20"/>
          <w:szCs w:val="20"/>
          <w:color w:val="auto"/>
        </w:rPr>
      </w:pPr>
    </w:p>
    <w:p>
      <w:pPr>
        <w:ind w:right="80" w:firstLine="1281"/>
        <w:spacing w:after="0" w:line="277" w:lineRule="auto"/>
        <w:rPr>
          <w:sz w:val="20"/>
          <w:szCs w:val="20"/>
          <w:color w:val="auto"/>
        </w:rPr>
      </w:pPr>
      <w:r>
        <w:rPr>
          <w:rFonts w:ascii="Times New Roman" w:cs="Times New Roman" w:eastAsia="Times New Roman" w:hAnsi="Times New Roman"/>
          <w:sz w:val="18"/>
          <w:szCs w:val="18"/>
          <w:color w:val="auto"/>
        </w:rPr>
        <w:t>(e)             The language used in this Agreement shall be deemed to be the language chosen by the Parties to express their mutual intent and no rule of strict construction shall be applied against any Party.</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(f)             Whenever this Agreement refers to a number of days, such number shall refer to calendar days unless Business Days are specified.</w:t>
      </w:r>
    </w:p>
    <w:p>
      <w:pPr>
        <w:spacing w:after="0" w:line="2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            All accounting terms used herein and not expressly defined herein shall have the meanings given to them under GAAP.</w:t>
      </w:r>
    </w:p>
    <w:p>
      <w:pPr>
        <w:spacing w:after="0" w:line="220" w:lineRule="exact"/>
        <w:rPr>
          <w:sz w:val="20"/>
          <w:szCs w:val="20"/>
          <w:color w:val="auto"/>
        </w:rPr>
      </w:pPr>
    </w:p>
    <w:p>
      <w:pPr>
        <w:ind w:right="100" w:firstLine="1281"/>
        <w:spacing w:after="0" w:line="254" w:lineRule="auto"/>
        <w:rPr>
          <w:sz w:val="20"/>
          <w:szCs w:val="20"/>
          <w:color w:val="auto"/>
        </w:rPr>
      </w:pPr>
      <w:r>
        <w:rPr>
          <w:rFonts w:ascii="Times New Roman" w:cs="Times New Roman" w:eastAsia="Times New Roman" w:hAnsi="Times New Roman"/>
          <w:sz w:val="18"/>
          <w:szCs w:val="18"/>
          <w:color w:val="auto"/>
        </w:rPr>
        <w:t>(h)            The phrases “provided to,” “furnished to,” “made available” and phrases of similar import when used herein, unless the context otherwise requires, means that a copy of the information or material referred to has been provided no later than one (1) Business Day prior to the date of this Agreement to the Party to which such information or material is to be provided or furnished (i) in the virtual “data room” set up by the Company in connection with this Agreement or (ii) by delivery to such Party or its legal counsel via electronic mail or hard copy form, in each case with delivery confirmation.</w:t>
      </w:r>
    </w:p>
    <w:p>
      <w:pPr>
        <w:spacing w:after="0" w:line="186"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Knowledge</w:t>
      </w:r>
      <w:r>
        <w:rPr>
          <w:rFonts w:ascii="Times New Roman" w:cs="Times New Roman" w:eastAsia="Times New Roman" w:hAnsi="Times New Roman"/>
          <w:sz w:val="18"/>
          <w:szCs w:val="18"/>
          <w:color w:val="auto"/>
        </w:rPr>
        <w:t xml:space="preserve">. As used herein, the phrase “to the knowledge” shall mean the actual knowledge, assuming reasonable inquiry of, in the case of the Company, Mary Szela, Steven Katz, MD and Sean Murphy, and, in the case of the Acquiror Parties, Christopher Dewey, David Matlin and Robert Weiss;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matters involving Intellectual Property, “knowledge” does not require that such individuals have conducted, obtain or have obtained any freedom-to-operate opinions or similar opinions of counsel or any Intellectual Property clearance searches.</w:t>
      </w:r>
    </w:p>
    <w:p>
      <w:pPr>
        <w:spacing w:after="0" w:line="181"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Equitable Adjustments</w:t>
      </w:r>
      <w:r>
        <w:rPr>
          <w:rFonts w:ascii="Times New Roman" w:cs="Times New Roman" w:eastAsia="Times New Roman" w:hAnsi="Times New Roman"/>
          <w:sz w:val="18"/>
          <w:szCs w:val="18"/>
          <w:color w:val="auto"/>
        </w:rPr>
        <w:t xml:space="preserve">. If, between the date of this Agreement and the Closing, the outstanding Company Shares or Common Stock shall have been changed into a different number of shares or a different class, by reason of any stock dividend, subdivision, reclassification, reorganization, recapitalization, split, combination or exchange of shares, or any similar event shall have occurred, or if there shall have been any breach by Acquiror with respect to its shares of Common Stock or rights to acquire Common Stock, then any number, value (including dollar value) or amount contained herein which is based upon the number of shares of Company Shares or shares of Common Stock, as applicable, will be appropriately adjusted to provide to the Company Stockholders or the holders of Common Stock, as applicable, the same economic effect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shall not be construed to permit Acquiror, the Company, or Merger Sub to take any action with respect to their respective securities that is prohibited by the terms and conditions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ind w:left="51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1"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The Merger</w:t>
      </w:r>
      <w:r>
        <w:rPr>
          <w:rFonts w:ascii="Times New Roman" w:cs="Times New Roman" w:eastAsia="Times New Roman" w:hAnsi="Times New Roman"/>
          <w:sz w:val="18"/>
          <w:szCs w:val="18"/>
          <w:color w:val="auto"/>
        </w:rPr>
        <w:t>. At the Effective Time, on the terms and subject to the conditions set forth herein and in accordance with the applicable provisions of the DGCL, Merger Sub and the Company shall consummate the Merger, pursuant to which Merger Sub shall be merged with and into the Company, following which the separate corporate existence of Merger Sub shall cease and the Company shall continue as the Surviving Corporation after the Merger and as a direct, wholly owned subsidiary of Acquiror.</w:t>
      </w:r>
    </w:p>
    <w:p>
      <w:pPr>
        <w:spacing w:after="0" w:line="181"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Effective Time</w:t>
      </w:r>
      <w:r>
        <w:rPr>
          <w:rFonts w:ascii="Times New Roman" w:cs="Times New Roman" w:eastAsia="Times New Roman" w:hAnsi="Times New Roman"/>
          <w:sz w:val="18"/>
          <w:szCs w:val="18"/>
          <w:color w:val="auto"/>
        </w:rPr>
        <w:t xml:space="preserve">. On the terms and subject to the conditions set forth herein, on the Closing Date, the Company and Merger Sub shall cause the Merger to be consummated by filing a certificate of merger in substantially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with the Secretary of State of the State of Delaware in accordance with the applicable provisions of the DGCL (the time of such filing, or such later time as may be agreed in writing by the Company and Acquiror and specified in the Certificate of Merger, being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140" w:firstLine="640"/>
        <w:spacing w:after="0" w:line="253" w:lineRule="auto"/>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property, rights, privileges, agreements, powers and franchises, debts, liabilities, duties and obligations of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Merger Sub and the Company set forth in this Agreement to be performed after the Effective Time.</w:t>
      </w:r>
    </w:p>
    <w:p>
      <w:pPr>
        <w:spacing w:after="0" w:line="185" w:lineRule="exact"/>
        <w:rPr>
          <w:sz w:val="20"/>
          <w:szCs w:val="20"/>
          <w:color w:val="auto"/>
        </w:rPr>
      </w:pPr>
    </w:p>
    <w:p>
      <w:pPr>
        <w:ind w:firstLine="640"/>
        <w:spacing w:after="0" w:line="273" w:lineRule="auto"/>
        <w:rPr>
          <w:sz w:val="20"/>
          <w:szCs w:val="20"/>
          <w:color w:val="auto"/>
        </w:rPr>
      </w:pPr>
      <w:r>
        <w:rPr>
          <w:rFonts w:ascii="Times New Roman" w:cs="Times New Roman" w:eastAsia="Times New Roman" w:hAnsi="Times New Roman"/>
          <w:sz w:val="17"/>
          <w:szCs w:val="17"/>
          <w:color w:val="auto"/>
        </w:rPr>
        <w:t>Section 2.04          </w:t>
      </w:r>
      <w:r>
        <w:rPr>
          <w:rFonts w:ascii="Times New Roman" w:cs="Times New Roman" w:eastAsia="Times New Roman" w:hAnsi="Times New Roman"/>
          <w:sz w:val="17"/>
          <w:szCs w:val="17"/>
          <w:u w:val="single" w:color="auto"/>
          <w:color w:val="auto"/>
        </w:rPr>
        <w:t>  Governing Documents</w:t>
      </w:r>
      <w:r>
        <w:rPr>
          <w:rFonts w:ascii="Times New Roman" w:cs="Times New Roman" w:eastAsia="Times New Roman" w:hAnsi="Times New Roman"/>
          <w:sz w:val="17"/>
          <w:szCs w:val="17"/>
          <w:color w:val="auto"/>
        </w:rPr>
        <w:t xml:space="preserve">. Immediately prior to the Effective Time and subject to obtaining approval of the Acquiror Stockholder Matters, (a) the Acquiror Certificate of Incorporation shall be amended and restated to read the same as the Acquiror Charter attached hereto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and</w:t>
      </w:r>
    </w:p>
    <w:p>
      <w:pPr>
        <w:spacing w:after="0" w:line="1" w:lineRule="exact"/>
        <w:rPr>
          <w:sz w:val="20"/>
          <w:szCs w:val="20"/>
          <w:color w:val="auto"/>
        </w:rPr>
      </w:pPr>
    </w:p>
    <w:p>
      <w:pPr>
        <w:ind w:right="220" w:firstLine="7"/>
        <w:spacing w:after="0" w:line="249" w:lineRule="auto"/>
        <w:tabs>
          <w:tab w:leader="none" w:pos="2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bylaws of Acquiror shall be amended and restated to read the same as the Acquiror Bylaws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At the Effective Time, the certificate of incorporation and bylaws of the Surviving Corporation shall be amended to read the same as the certificate of incorporation and bylaws of Merger Sub as in effect immediately prior to the Effective Time, except that the name of the Surviving Corporation shall be “TriSalus Operating Life Sciences, Inc.” simultaneously upon the Acquiror’s filing of an amendment to its amended and restated certificate of incorporation to change its name to “TriSalus Life Sciences, Inc.”.</w:t>
      </w:r>
    </w:p>
    <w:p>
      <w:pPr>
        <w:spacing w:after="0" w:line="188" w:lineRule="exact"/>
        <w:rPr>
          <w:sz w:val="20"/>
          <w:szCs w:val="20"/>
          <w:color w:val="auto"/>
        </w:rPr>
      </w:pPr>
    </w:p>
    <w:p>
      <w:pPr>
        <w:ind w:right="180" w:firstLine="640"/>
        <w:spacing w:after="0" w:line="262" w:lineRule="auto"/>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  Directors and Officers</w:t>
      </w:r>
      <w:r>
        <w:rPr>
          <w:rFonts w:ascii="Times New Roman" w:cs="Times New Roman" w:eastAsia="Times New Roman" w:hAnsi="Times New Roman"/>
          <w:sz w:val="18"/>
          <w:szCs w:val="18"/>
          <w:color w:val="auto"/>
        </w:rPr>
        <w:t xml:space="preserve">. The Parties shall take all actions necessary to ensure that immediately after the Effective Time: (a) the directors and executive officers of Acquiror shall be comprised of the Persons whose names are set forth in the Registration Statement and (b) the directors and executive officers of the Surviving Company shall be the directors and executive officers set forth on </w:t>
      </w:r>
      <w:r>
        <w:rPr>
          <w:rFonts w:ascii="Times New Roman" w:cs="Times New Roman" w:eastAsia="Times New Roman" w:hAnsi="Times New Roman"/>
          <w:sz w:val="18"/>
          <w:szCs w:val="18"/>
          <w:u w:val="single" w:color="auto"/>
          <w:color w:val="auto"/>
        </w:rPr>
        <w:t>Schedule 2.05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640"/>
        <w:spacing w:after="0" w:line="254" w:lineRule="auto"/>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and Merger Sub, the applicable directors and officers of the Company and Merger Sub (or their designees) are fully authorized for, on behalf and in the name of their respective corporations or otherwise to take, and will take, all such lawful and necessary action, so long as such action is not inconsistent with this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MERGER CONSIDERATION; CONVERSION OF SECURITIES</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Merger Consideration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60" w:firstLine="1281"/>
        <w:spacing w:after="0" w:line="262" w:lineRule="auto"/>
        <w:rPr>
          <w:sz w:val="20"/>
          <w:szCs w:val="20"/>
          <w:color w:val="auto"/>
        </w:rPr>
      </w:pPr>
      <w:r>
        <w:rPr>
          <w:rFonts w:ascii="Times New Roman" w:cs="Times New Roman" w:eastAsia="Times New Roman" w:hAnsi="Times New Roman"/>
          <w:sz w:val="18"/>
          <w:szCs w:val="18"/>
          <w:color w:val="auto"/>
        </w:rPr>
        <w:t>(a)             The total consideration to be deposited with the Exchange Agent, in trust and for the benefit of the Company Stockholders, in respect of the Merger shall consist of the number of shares (rounded to the nearest whole share) of Common Stock determined by dividing (a) the Closing Equity Value by (b) $10.00 (such aggregate consideration to be paid to the Company Stockholders, the “</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1281"/>
        <w:spacing w:after="0" w:line="249" w:lineRule="auto"/>
        <w:rPr>
          <w:sz w:val="20"/>
          <w:szCs w:val="20"/>
          <w:color w:val="auto"/>
        </w:rPr>
      </w:pPr>
      <w:r>
        <w:rPr>
          <w:rFonts w:ascii="Times New Roman" w:cs="Times New Roman" w:eastAsia="Times New Roman" w:hAnsi="Times New Roman"/>
          <w:sz w:val="18"/>
          <w:szCs w:val="18"/>
          <w:color w:val="auto"/>
        </w:rPr>
        <w:t>(b)            At or immediately prior to the Effective Time, Acquiror shall deposit with the Exchange Agent, or shall cause to be deposited with the Exchange Agent, to be held in trust for the benefit of the Company Stockholders and for the purpose of exchanging certificates for Company Shares (collectively,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if any, representing such Company Share or, if held in book-entry form on the stock transfer books of the Company immediately prior to the Effective Time, by evidence of book-entry shares, an aggregate number of shares of Common Stock equal to the Closing Merger Consideration. All shares of Common Stock in book-entry form deposited with the Exchange Agent shall hereinafter be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Acquiror shall cause the Exchange Agent, pursuant to irrevocable instructions, to issue the Closing Merger Consideration to Company Stockholders that hold Company Common Shares immediately prior to the Effective Time (including holders of shares of Company Common Shares resulting from (i) the exercise of any Company Warrants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xml:space="preserve"> and (ii) the Preferred Conversion, but excluding, for the avoidance of doubt, holders of (A) Excluded Shares or (B) Company Dissenting Shares) who has delivered to the Exchange Agent, a completed and duly executed Letter of Transmittal, along with all Certificates (if any) representing the applicable portion of the Closing Merger Consideration in respect of such Company Common Shares held by such Company Stockholder. Notwithstanding anything to the contrary in this Agreement, the Closing Merger Consideration paid or payable in respect of the Company Shares in accordance with the terms and conditions of this Agreement shall be deemed to have been paid or payable in full satisfaction of all rights pertaining to such Company Shares, and from and after the Effective Time, no holder of Company Shares shall have any ownership right in the Company, other than such holder’s right to receive such holder’s applicable portion of the Closing Merger Consideration, and there shall be no further restriction of transfers of Company Shares on the register of stockholders of the Surviving Corporation. In furtherance of the foregoing, the Parties hereby affirm, agree and acknowledge that under no circumstances shall the aggregate consideration payable in connection with the Transactions in respect of all outstanding Company Shares exceed a number of shares of Common Stock equal to the Closing Merger Consideration.</w:t>
      </w:r>
    </w:p>
    <w:p>
      <w:pPr>
        <w:spacing w:after="0" w:line="191" w:lineRule="exact"/>
        <w:rPr>
          <w:sz w:val="20"/>
          <w:szCs w:val="20"/>
          <w:color w:val="auto"/>
        </w:rPr>
      </w:pPr>
    </w:p>
    <w:p>
      <w:pPr>
        <w:ind w:right="60" w:firstLine="1281"/>
        <w:spacing w:after="0" w:line="257"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contained herein, no fractional shares of Common Stock shall be issued (whether in book-entry form or otherwise) in exchange for Company Common Shares. The aggregate Per Share Closing Merger Consideration Amount in respect of such Company Common Shares held by such Company Stockholder shall be determined by rounding down any fractional amount of shares of Common Stock to be issued to such Company Stockholder in accordance with </w:t>
      </w:r>
      <w:r>
        <w:rPr>
          <w:rFonts w:ascii="Times New Roman" w:cs="Times New Roman" w:eastAsia="Times New Roman" w:hAnsi="Times New Roman"/>
          <w:sz w:val="18"/>
          <w:szCs w:val="18"/>
          <w:u w:val="single" w:color="auto"/>
          <w:color w:val="auto"/>
        </w:rPr>
        <w:t>Section 3.02(b)(iii)</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Effect on Capital Stock</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51" w:lineRule="auto"/>
        <w:rPr>
          <w:sz w:val="20"/>
          <w:szCs w:val="20"/>
          <w:color w:val="auto"/>
        </w:rPr>
      </w:pPr>
      <w:r>
        <w:rPr>
          <w:rFonts w:ascii="Times New Roman" w:cs="Times New Roman" w:eastAsia="Times New Roman" w:hAnsi="Times New Roman"/>
          <w:sz w:val="18"/>
          <w:szCs w:val="18"/>
          <w:color w:val="auto"/>
        </w:rPr>
        <w:t>(a)             Immediately prior to the Effective Time, each share of Company Preferred Share that is issued and outstanding immediately prior to the Effective Time shall automatically convert into a number of Company Common Shares in accordance with the Company Certificate of Incorporation (the “</w:t>
      </w:r>
      <w:r>
        <w:rPr>
          <w:rFonts w:ascii="Times New Roman" w:cs="Times New Roman" w:eastAsia="Times New Roman" w:hAnsi="Times New Roman"/>
          <w:sz w:val="18"/>
          <w:szCs w:val="18"/>
          <w:u w:val="single" w:color="auto"/>
          <w:color w:val="auto"/>
        </w:rPr>
        <w:t>Preferred Conversion</w:t>
      </w:r>
      <w:r>
        <w:rPr>
          <w:rFonts w:ascii="Times New Roman" w:cs="Times New Roman" w:eastAsia="Times New Roman" w:hAnsi="Times New Roman"/>
          <w:sz w:val="18"/>
          <w:szCs w:val="18"/>
          <w:color w:val="auto"/>
        </w:rPr>
        <w:t xml:space="preserve">”). All of the shares of Company Preferred Shares converted into Company Common Shares shall no longer be outstanding and shall cease to exist, and each former holder of a Company Preferred Share shall thereafter cease to have any rights with respect to such Company Preferred Share, except for such holder’s right to receive their applicable portion of the Closing Merger Consideration in accordance with </w:t>
      </w:r>
      <w:r>
        <w:rPr>
          <w:rFonts w:ascii="Times New Roman" w:cs="Times New Roman" w:eastAsia="Times New Roman" w:hAnsi="Times New Roman"/>
          <w:sz w:val="18"/>
          <w:szCs w:val="18"/>
          <w:u w:val="single" w:color="auto"/>
          <w:color w:val="auto"/>
        </w:rPr>
        <w:t>Section 3.02(b)(i)</w:t>
      </w:r>
      <w:r>
        <w:rPr>
          <w:rFonts w:ascii="Times New Roman" w:cs="Times New Roman" w:eastAsia="Times New Roman" w:hAnsi="Times New Roman"/>
          <w:sz w:val="18"/>
          <w:szCs w:val="18"/>
          <w:color w:val="auto"/>
        </w:rPr>
        <w:t>. Immediately prior to the Effective Time, each convertible note of the Company issued in the Contemplated Interim Financing that is issued and outstanding immediately prior to the Effective Time shall automatically convert into a number of Company Common Shares in accordance with the terms of the applicable convertible note (the “</w:t>
      </w:r>
      <w:r>
        <w:rPr>
          <w:rFonts w:ascii="Times New Roman" w:cs="Times New Roman" w:eastAsia="Times New Roman" w:hAnsi="Times New Roman"/>
          <w:sz w:val="18"/>
          <w:szCs w:val="18"/>
          <w:u w:val="single" w:color="auto"/>
          <w:color w:val="auto"/>
        </w:rPr>
        <w:t>Note Conversion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7" w:name="page38"/>
    <w:bookmarkEnd w:id="37"/>
    <w:p>
      <w:pPr>
        <w:ind w:right="280" w:firstLine="1281"/>
        <w:spacing w:after="0" w:line="27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2"/>
          <w:szCs w:val="12"/>
          <w:color w:val="auto"/>
        </w:rPr>
        <w:t> </w:t>
      </w:r>
      <w:r>
        <w:rPr>
          <w:rFonts w:ascii="Times New Roman" w:cs="Times New Roman" w:eastAsia="Times New Roman" w:hAnsi="Times New Roman"/>
          <w:sz w:val="18"/>
          <w:szCs w:val="18"/>
          <w:color w:val="auto"/>
        </w:rPr>
        <w:t>      On the terms and subject to the conditions set forth herein, at the Effective Time, by virtue of the Merger and without any further action on the part of any Party or the holders of any securities of Acquiror, the following shall occur:</w:t>
      </w:r>
    </w:p>
    <w:p>
      <w:pPr>
        <w:spacing w:after="0" w:line="163" w:lineRule="exact"/>
        <w:rPr>
          <w:sz w:val="20"/>
          <w:szCs w:val="20"/>
          <w:color w:val="auto"/>
        </w:rPr>
      </w:pPr>
    </w:p>
    <w:p>
      <w:pPr>
        <w:ind w:left="640" w:right="200" w:firstLine="1281"/>
        <w:spacing w:after="0" w:line="253" w:lineRule="auto"/>
        <w:rPr>
          <w:sz w:val="20"/>
          <w:szCs w:val="20"/>
          <w:color w:val="auto"/>
        </w:rPr>
      </w:pPr>
      <w:r>
        <w:rPr>
          <w:rFonts w:ascii="Times New Roman" w:cs="Times New Roman" w:eastAsia="Times New Roman" w:hAnsi="Times New Roman"/>
          <w:sz w:val="18"/>
          <w:szCs w:val="18"/>
          <w:color w:val="auto"/>
        </w:rPr>
        <w:t xml:space="preserve">(i)              Each Company Common Share issued and outstanding immediately following (i) the Preferred Conversion and (ii) the exercise of any Company Warrants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xml:space="preserve"> (other than Excluded Shares and Company Dissenting Shares) will be, at the Effective Time, cancelled and automatically deemed for all purposes to represent the right to receive a number of shares of Common Stock equal to the Exchange Ratio; provided, however, any shares of Common Stock issued in exchange for Company Common Shares which were subject to vesting restrictions prior to the Effective Time shall continue to be subject to the same vesting restrictions following the Effective Time.</w:t>
      </w:r>
    </w:p>
    <w:p>
      <w:pPr>
        <w:spacing w:after="0" w:line="185" w:lineRule="exact"/>
        <w:rPr>
          <w:sz w:val="20"/>
          <w:szCs w:val="20"/>
          <w:color w:val="auto"/>
        </w:rPr>
      </w:pPr>
    </w:p>
    <w:p>
      <w:pPr>
        <w:ind w:left="640" w:firstLine="1281"/>
        <w:spacing w:after="0" w:line="254" w:lineRule="auto"/>
        <w:rPr>
          <w:sz w:val="20"/>
          <w:szCs w:val="20"/>
          <w:color w:val="auto"/>
        </w:rPr>
      </w:pPr>
      <w:r>
        <w:rPr>
          <w:rFonts w:ascii="Times New Roman" w:cs="Times New Roman" w:eastAsia="Times New Roman" w:hAnsi="Times New Roman"/>
          <w:sz w:val="18"/>
          <w:szCs w:val="18"/>
          <w:color w:val="auto"/>
        </w:rPr>
        <w:t xml:space="preserve">(ii)             From and after the Effective Time, the Company Stockholders shall cease to have any other rights in and to the Company or the Surviving Corporation and each Certificate relating to the ownership of shares of Company Shares (other than Excluded Shares and Company Dissenting Shares) shall thereafter represent only the right to receive the applicable portion of the Closing Merger Consideration as calculated pursuant to </w:t>
      </w:r>
      <w:r>
        <w:rPr>
          <w:rFonts w:ascii="Times New Roman" w:cs="Times New Roman" w:eastAsia="Times New Roman" w:hAnsi="Times New Roman"/>
          <w:sz w:val="18"/>
          <w:szCs w:val="18"/>
          <w:u w:val="single" w:color="auto"/>
          <w:color w:val="auto"/>
        </w:rPr>
        <w:t>Section 3.02(b)(i)</w:t>
      </w:r>
      <w:r>
        <w:rPr>
          <w:rFonts w:ascii="Times New Roman" w:cs="Times New Roman" w:eastAsia="Times New Roman" w:hAnsi="Times New Roman"/>
          <w:sz w:val="18"/>
          <w:szCs w:val="18"/>
          <w:color w:val="auto"/>
        </w:rPr>
        <w:t>. At the Effective Time, the stock transfer books of the Company shall be closed, and no transfer of the Company Shares shall be made thereafter.</w:t>
      </w:r>
    </w:p>
    <w:p>
      <w:pPr>
        <w:spacing w:after="0" w:line="186" w:lineRule="exact"/>
        <w:rPr>
          <w:sz w:val="20"/>
          <w:szCs w:val="20"/>
          <w:color w:val="auto"/>
        </w:rPr>
      </w:pPr>
    </w:p>
    <w:p>
      <w:pPr>
        <w:ind w:left="640" w:right="20" w:firstLine="1281"/>
        <w:spacing w:after="0" w:line="262" w:lineRule="auto"/>
        <w:rPr>
          <w:sz w:val="20"/>
          <w:szCs w:val="20"/>
          <w:color w:val="auto"/>
        </w:rPr>
      </w:pPr>
      <w:r>
        <w:rPr>
          <w:rFonts w:ascii="Times New Roman" w:cs="Times New Roman" w:eastAsia="Times New Roman" w:hAnsi="Times New Roman"/>
          <w:sz w:val="18"/>
          <w:szCs w:val="18"/>
          <w:color w:val="auto"/>
        </w:rPr>
        <w:t>(iii)            Notwithstanding anything to the contrary contained herein, no fractional shares of Common Stock shall be issued (whether in book-entry form or otherwise) by virtue of the Merger, and any such fractional share (after aggregating all shares of Common Stock to be issued to such Company Stockholder) shall be rounded down to the nearest whole share.</w:t>
      </w:r>
    </w:p>
    <w:p>
      <w:pPr>
        <w:spacing w:after="0" w:line="176" w:lineRule="exact"/>
        <w:rPr>
          <w:sz w:val="20"/>
          <w:szCs w:val="20"/>
          <w:color w:val="auto"/>
        </w:rPr>
      </w:pPr>
    </w:p>
    <w:p>
      <w:pPr>
        <w:ind w:left="640" w:right="40" w:firstLine="1281"/>
        <w:spacing w:after="0" w:line="254" w:lineRule="auto"/>
        <w:rPr>
          <w:sz w:val="20"/>
          <w:szCs w:val="20"/>
          <w:color w:val="auto"/>
        </w:rPr>
      </w:pPr>
      <w:r>
        <w:rPr>
          <w:rFonts w:ascii="Times New Roman" w:cs="Times New Roman" w:eastAsia="Times New Roman" w:hAnsi="Times New Roman"/>
          <w:sz w:val="18"/>
          <w:szCs w:val="18"/>
          <w:color w:val="auto"/>
        </w:rPr>
        <w:t>(iv)            Each issued and outstanding share of common stock of Merger Sub shall be converted into and become one validly issued, fully paid and nonassessable share of common stock, par value $0.0001 per share, of the Surviving Corporation,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186" w:lineRule="exact"/>
        <w:rPr>
          <w:sz w:val="20"/>
          <w:szCs w:val="20"/>
          <w:color w:val="auto"/>
        </w:rPr>
      </w:pPr>
    </w:p>
    <w:p>
      <w:pPr>
        <w:ind w:left="640" w:right="520" w:firstLine="1281"/>
        <w:spacing w:after="0" w:line="277" w:lineRule="auto"/>
        <w:rPr>
          <w:sz w:val="20"/>
          <w:szCs w:val="20"/>
          <w:color w:val="auto"/>
        </w:rPr>
      </w:pPr>
      <w:r>
        <w:rPr>
          <w:rFonts w:ascii="Times New Roman" w:cs="Times New Roman" w:eastAsia="Times New Roman" w:hAnsi="Times New Roman"/>
          <w:sz w:val="18"/>
          <w:szCs w:val="18"/>
          <w:color w:val="auto"/>
        </w:rPr>
        <w:t>(v)             Each Company Share held in the Company’s treasury or owned by Acquiror or Merger Sub immediately prior to the Effective Time (each, an “</w:t>
      </w:r>
      <w:r>
        <w:rPr>
          <w:rFonts w:ascii="Times New Roman" w:cs="Times New Roman" w:eastAsia="Times New Roman" w:hAnsi="Times New Roman"/>
          <w:sz w:val="18"/>
          <w:szCs w:val="18"/>
          <w:u w:val="single" w:color="auto"/>
          <w:color w:val="auto"/>
        </w:rPr>
        <w:t>Excluded Share</w:t>
      </w:r>
      <w:r>
        <w:rPr>
          <w:rFonts w:ascii="Times New Roman" w:cs="Times New Roman" w:eastAsia="Times New Roman" w:hAnsi="Times New Roman"/>
          <w:sz w:val="18"/>
          <w:szCs w:val="18"/>
          <w:color w:val="auto"/>
        </w:rPr>
        <w:t>”) shall be cancelled and no consideration shall be paid or payable with respect thereto.</w:t>
      </w:r>
    </w:p>
    <w:p>
      <w:pPr>
        <w:spacing w:after="0" w:line="16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xml:space="preserve">(vi)            The effect of the Merger on Company Dissenting Shares, if any, is addressed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Exchange Procedures; Stockholder Deliverables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63" w:lineRule="auto"/>
        <w:rPr>
          <w:sz w:val="20"/>
          <w:szCs w:val="20"/>
          <w:color w:val="auto"/>
        </w:rPr>
      </w:pPr>
      <w:r>
        <w:rPr>
          <w:rFonts w:ascii="Times New Roman" w:cs="Times New Roman" w:eastAsia="Times New Roman" w:hAnsi="Times New Roman"/>
          <w:sz w:val="17"/>
          <w:szCs w:val="17"/>
          <w:color w:val="auto"/>
        </w:rPr>
        <w:t xml:space="preserve">(a)             As promptly as practicable after the Effective Time, Acquiror shall mail or otherwise deliver, or shall cause the Exchange Agent to mail or otherwise deliver, to each Company Stockholder entitled to receive a portion of the Closing Merger Consideration pursuant to </w:t>
      </w:r>
      <w:r>
        <w:rPr>
          <w:rFonts w:ascii="Times New Roman" w:cs="Times New Roman" w:eastAsia="Times New Roman" w:hAnsi="Times New Roman"/>
          <w:sz w:val="17"/>
          <w:szCs w:val="17"/>
          <w:u w:val="single" w:color="auto"/>
          <w:color w:val="auto"/>
        </w:rPr>
        <w:t>Section 3.02(b)</w:t>
      </w:r>
      <w:r>
        <w:rPr>
          <w:rFonts w:ascii="Times New Roman" w:cs="Times New Roman" w:eastAsia="Times New Roman" w:hAnsi="Times New Roman"/>
          <w:sz w:val="17"/>
          <w:szCs w:val="17"/>
          <w:color w:val="auto"/>
        </w:rPr>
        <w:t>, a letter of transmittal and instructions for use in exchanging such Company Stockholder’s Company Shares for such Company Stockholder’s applicable portion of the Closing Merger Consideration from the Exchange Fund, and which shall be in customary form and contain provisions which Acquiror may specify and which are reasonably acceptable to the Company (a “</w:t>
      </w:r>
      <w:r>
        <w:rPr>
          <w:rFonts w:ascii="Times New Roman" w:cs="Times New Roman" w:eastAsia="Times New Roman" w:hAnsi="Times New Roman"/>
          <w:sz w:val="17"/>
          <w:szCs w:val="17"/>
          <w:u w:val="single" w:color="auto"/>
          <w:color w:val="auto"/>
        </w:rPr>
        <w:t>Letter of Transmittal</w:t>
      </w:r>
      <w:r>
        <w:rPr>
          <w:rFonts w:ascii="Times New Roman" w:cs="Times New Roman" w:eastAsia="Times New Roman" w:hAnsi="Times New Roman"/>
          <w:sz w:val="17"/>
          <w:szCs w:val="17"/>
          <w:color w:val="auto"/>
        </w:rPr>
        <w:t xml:space="preserve">”), together with any notice required pursuant to Section 262 of the DGCL. In the event that a Company Stockholder does not deliver to the Exchange Agent a duly executed and completed Letter of Transmittal (along with all Certificates representing Company Shares, to the extent such Company Shares are certificated, and such other documents as may reasonably be requested by the Exchange Agent), such Company Stockholder shall not be entitled to receive its portion of the Closing Merger Consideration until such Person delivers a duly executed and completed Letter of Transmittal and its Certificates to the Exchange Agent. Upon delivery of such duly executed Letter of Transmittal, such other documents as may be reasonably requested by the Exchange Agent and its Certificates (if such shares are certificated) to the Exchange Agent, such Company Stockholder shall be entitled to receive, subject to the terms and conditions of this Agreement, the applicable portion of the Closing Merger Consideration in respect of his, her or its Company Shares referenced in such Letter of Transmittal. Until surrendered as contemplated by this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each Company Share (including (i) Company Common Shares issued pursuant to the exercise of any Company Warrants in accordance with</w:t>
      </w:r>
    </w:p>
    <w:p>
      <w:pPr>
        <w:spacing w:after="0" w:line="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xml:space="preserve"> and (ii) Company Preferred Stock converted into Company Common Shares pursuant to the Preferred Conversion, but excluding any Excluded Shares and Company Dissenting Shares) shall be deemed at all times after the Effective Time to represent only the right to receive upon surrender the applicable portion of the Closing Merger Consideration in respect of such Company Common Shares held by such Company Stockholder to which such Company Stockholder is entitled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No dividends or other distributions declared with respect to shares of Common Stock, the record date for which is at or after the Effective Time, shall be paid to any Company Stockholder that has not delivered a properly completed, duly executed Letter of Transmittal and its Certificates to the Exchange Agent. After the delivery of such materials, a Company Stockholder shall be entitled to receive such Company Stockholder’s share of any such dividend(s) or other distribution(s), without any interest thereon, which had become payable in respect of shares of Common Stock issuable to such Company Stockholder.</w:t>
      </w:r>
    </w:p>
    <w:p>
      <w:pPr>
        <w:spacing w:after="0" w:line="191" w:lineRule="exact"/>
        <w:rPr>
          <w:sz w:val="20"/>
          <w:szCs w:val="20"/>
          <w:color w:val="auto"/>
        </w:rPr>
      </w:pPr>
    </w:p>
    <w:p>
      <w:pPr>
        <w:ind w:right="40" w:firstLine="1281"/>
        <w:spacing w:after="0" w:line="257" w:lineRule="auto"/>
        <w:rPr>
          <w:sz w:val="20"/>
          <w:szCs w:val="20"/>
          <w:color w:val="auto"/>
        </w:rPr>
      </w:pPr>
      <w:r>
        <w:rPr>
          <w:rFonts w:ascii="Times New Roman" w:cs="Times New Roman" w:eastAsia="Times New Roman" w:hAnsi="Times New Roman"/>
          <w:sz w:val="18"/>
          <w:szCs w:val="18"/>
          <w:color w:val="auto"/>
        </w:rPr>
        <w:t xml:space="preserve">(b)            No interest will be paid or accrued on the Closing Merger Consideration (or any portion thereof). From and after the Effective Time, until surrendered or transferred, as applicable,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each Company Share (excluding any Excluded Shares or Company Dissenting Shares) shall solely represent the right to receive a portion of the Closing Merger Consideration to which each such Company Share is entitled to receive pursuant to </w:t>
      </w:r>
      <w:r>
        <w:rPr>
          <w:rFonts w:ascii="Times New Roman" w:cs="Times New Roman" w:eastAsia="Times New Roman" w:hAnsi="Times New Roman"/>
          <w:sz w:val="18"/>
          <w:szCs w:val="18"/>
          <w:u w:val="single" w:color="auto"/>
          <w:color w:val="auto"/>
        </w:rPr>
        <w:t>Section 3.03(a).</w:t>
      </w:r>
    </w:p>
    <w:p>
      <w:pPr>
        <w:spacing w:after="0" w:line="181" w:lineRule="exact"/>
        <w:rPr>
          <w:sz w:val="20"/>
          <w:szCs w:val="20"/>
          <w:color w:val="auto"/>
        </w:rPr>
      </w:pPr>
    </w:p>
    <w:p>
      <w:pPr>
        <w:ind w:right="80" w:firstLine="1281"/>
        <w:spacing w:after="0" w:line="251" w:lineRule="auto"/>
        <w:rPr>
          <w:sz w:val="20"/>
          <w:szCs w:val="20"/>
          <w:color w:val="auto"/>
        </w:rPr>
      </w:pPr>
      <w:r>
        <w:rPr>
          <w:rFonts w:ascii="Times New Roman" w:cs="Times New Roman" w:eastAsia="Times New Roman" w:hAnsi="Times New Roman"/>
          <w:sz w:val="18"/>
          <w:szCs w:val="18"/>
          <w:color w:val="auto"/>
        </w:rPr>
        <w:t xml:space="preserve">(c)             Any portion of the Exchange Fund that remains unclaimed by the Company Stockholders twelve (12) months following the Closing Date shall be delivered to Acquiror or as otherwise instructed by Acquiror, and any Company Stockholder who has not exchanged his, her or its Company Shares for the applicable portion of the Closing Merger Consideration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prior to that time shall thereafter look only to Acquiror for the issuance of the applicable portion of the Closing Merger Consideration, without any interest thereon. None of Acquiror, the Surviving Corporation or any of their respective Affiliates shall be liable to any Person in respect of any consideration delivered to a public official pursuant to any applicable abandoned property, unclaimed property, escheat, or similar Law. Any portion of the Closing Merger Consideration remaining unclaimed by the Company Stockholders immediately prior to such time when the amounts would otherwise escheat to or become property of any Governmental Authority shall become, to the extent permitted by applicable Law, the property of the Acquiror free and clear of any claims or interest of any Person previously entitled thereto.</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right="120" w:firstLine="640"/>
        <w:spacing w:after="0" w:line="251"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Lost Certificate</w:t>
      </w:r>
      <w:r>
        <w:rPr>
          <w:rFonts w:ascii="Times New Roman" w:cs="Times New Roman" w:eastAsia="Times New Roman" w:hAnsi="Times New Roman"/>
          <w:sz w:val="18"/>
          <w:szCs w:val="18"/>
          <w:color w:val="auto"/>
        </w:rPr>
        <w:t xml:space="preserve">. In the event any Certificate has been lost, stolen or destroyed, upon the making of an affidavit of that fact by the Person claiming such Certificate to be lost, stolen or destroyed and the provision by such Person of a customary indemnity against any claim that may be made against the Company or Acquiror with respect to such Certificate, the Exchange Agent shall issue in exchange for such lost, stolen or destroyed certificate the applicable portion of the Closing Merger Consideration in respect of such Company Common Shares held by such Company Stockholder deliverable in respect of any Company Shares outstanding immediately prior to the Effective Time evidenced thereby (including Company Common Shares resulting from the exercise of Company Warrants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xml:space="preserve"> and the Preferred Conversion, but excluding any Company Dissenting Shares) as determined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subject to the other deliveries required by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firstLine="640"/>
        <w:spacing w:after="0" w:line="265" w:lineRule="auto"/>
        <w:rPr>
          <w:sz w:val="20"/>
          <w:szCs w:val="20"/>
          <w:color w:val="auto"/>
        </w:rPr>
      </w:pPr>
      <w:r>
        <w:rPr>
          <w:rFonts w:ascii="Times New Roman" w:cs="Times New Roman" w:eastAsia="Times New Roman" w:hAnsi="Times New Roman"/>
          <w:sz w:val="17"/>
          <w:szCs w:val="17"/>
          <w:color w:val="auto"/>
        </w:rPr>
        <w:t>Section 3.05          </w:t>
      </w:r>
      <w:r>
        <w:rPr>
          <w:rFonts w:ascii="Times New Roman" w:cs="Times New Roman" w:eastAsia="Times New Roman" w:hAnsi="Times New Roman"/>
          <w:sz w:val="17"/>
          <w:szCs w:val="17"/>
          <w:u w:val="single" w:color="auto"/>
          <w:color w:val="auto"/>
        </w:rPr>
        <w:t>  Company Dissenting Shares</w:t>
      </w:r>
      <w:r>
        <w:rPr>
          <w:rFonts w:ascii="Times New Roman" w:cs="Times New Roman" w:eastAsia="Times New Roman" w:hAnsi="Times New Roman"/>
          <w:sz w:val="17"/>
          <w:szCs w:val="17"/>
          <w:color w:val="auto"/>
        </w:rPr>
        <w:t xml:space="preserve">. Notwithstanding any provision of this Agreement to the contrary, any Company Dissenting Share shall not be converted into the right to receive its applicable portion of the Closing Merger Consideration but shall instead be converted into the right to receive such consideration as may be determined to be due with respect to any such Company Dissenting Share pursuant to the DGCL. Each holder of Company Dissenting Shares who, pursuant to the DGCL, becomes entitled to payment thereunder for such shares shall receive payment therefor in accordance with the DGCL (but only after the value therefor shall have been agreed upon or finally determined pursuant to the DGCL). If, after the Effective Time, any Company Dissenting Share shall lose its status as a Company Dissenting Share, then any such share shall immediately be converted into the right to receive its applicable portion of the Closing Merger Consideration as if such share never had been a Company Dissenting Share, and the Exchange Agent shall deliver, or cause to be delivered in accordance with the terms of this Agreement, to the holder thereof, following the satisfaction of the applicable conditions set forth in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 its applicable portion of the Closing Merger Consideration as if such share had never been a Company Dissenting Share. The Company shall give Acquiror as promptly as practicable, (a) prompt notice of any demands for appraisal received by the Company, withdrawals of such demands, and any other instruments served pursuant to the DGCL and received by the Company, and (b) the right to direct all negotiations and proceedings with respect to demands for appraisal under the DGCL. The Company shall not, except with the prior written consent of Acquiror, which shall not be unreasonably withheld, conditioned or delayed, voluntarily make any payment or offer to make any payment with respect to, or settle or offer to settle, any claim or demand with respect to any Company Dissenting Share. The Company shall, or shall cause its Affiliates to, enforce any contractual waivers that the Company Stockholders have granted regarding appraisal rights that would apply to the Merger.</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u w:val="single" w:color="auto"/>
          <w:color w:val="auto"/>
        </w:rPr>
        <w:t>  Treatment of Company Warrants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60" w:firstLine="1281"/>
        <w:spacing w:after="0" w:line="269" w:lineRule="auto"/>
        <w:rPr>
          <w:sz w:val="20"/>
          <w:szCs w:val="20"/>
          <w:color w:val="auto"/>
        </w:rPr>
      </w:pPr>
      <w:r>
        <w:rPr>
          <w:rFonts w:ascii="Times New Roman" w:cs="Times New Roman" w:eastAsia="Times New Roman" w:hAnsi="Times New Roman"/>
          <w:sz w:val="17"/>
          <w:szCs w:val="17"/>
          <w:color w:val="auto"/>
        </w:rPr>
        <w:t xml:space="preserve">(a)             Each Company Warrant that is outstanding and unexercised immediately prior to the Effective Time and that would either automatically expire worthless or be exercised or otherwise exchanged in full in accordance with its terms by virtue of the occurrence of the Merger, without any election or action by the Company or the holder thereof, shall automatically expire worthless or be exercised or exchanged in full for the applicable Company Shares, as applicable, each in accordance with its terms immediately prior to the Effective Time, without any action on the part of the Company or the holder thereof, and to the extent applicable, any Company Share issued or issuable upon exercise of such Company Warrant shall be treated as being issued and outstanding immediately prior to the Effective Time and, pursuant to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(and without duplication) shall be canceled and converted into the right to receive the applicable portion of the Closing Merger Consideration in respect of such Company Shares held by such Company Stockholder.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0" w:name="page41"/>
    <w:bookmarkEnd w:id="40"/>
    <w:p>
      <w:pPr>
        <w:ind w:right="60" w:firstLine="1281"/>
        <w:spacing w:after="0" w:line="254" w:lineRule="auto"/>
        <w:rPr>
          <w:sz w:val="20"/>
          <w:szCs w:val="20"/>
          <w:color w:val="auto"/>
        </w:rPr>
      </w:pPr>
      <w:r>
        <w:rPr>
          <w:rFonts w:ascii="Times New Roman" w:cs="Times New Roman" w:eastAsia="Times New Roman" w:hAnsi="Times New Roman"/>
          <w:sz w:val="18"/>
          <w:szCs w:val="18"/>
          <w:color w:val="auto"/>
        </w:rPr>
        <w:t xml:space="preserve">(b)             Each Series B-3 Warrant that is outstanding and unexercised immediately prior to the Effective Time, without any election or action by the Company or the holder thereof, shall automatically be exercised in full for the applicable Company Shares immediately prior to the Effective Time, and to the extent applicable, any Company Share issued or issuable upon exercise of such Company Warrant shall be treated as being issued and outstanding immediately prior to the Effective Time and,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without duplication) shall be canceled and converted into the right to receive the applicable portion of the Closing Merger Consideration in respect of such Company Shares held by such Company Stockholder.</w:t>
      </w:r>
    </w:p>
    <w:p>
      <w:pPr>
        <w:spacing w:after="0" w:line="186" w:lineRule="exact"/>
        <w:rPr>
          <w:sz w:val="20"/>
          <w:szCs w:val="20"/>
          <w:color w:val="auto"/>
        </w:rPr>
      </w:pPr>
    </w:p>
    <w:p>
      <w:pPr>
        <w:ind w:firstLine="1281"/>
        <w:spacing w:after="0" w:line="251" w:lineRule="auto"/>
        <w:rPr>
          <w:sz w:val="20"/>
          <w:szCs w:val="20"/>
          <w:color w:val="auto"/>
        </w:rPr>
      </w:pPr>
      <w:r>
        <w:rPr>
          <w:rFonts w:ascii="Times New Roman" w:cs="Times New Roman" w:eastAsia="Times New Roman" w:hAnsi="Times New Roman"/>
          <w:sz w:val="18"/>
          <w:szCs w:val="18"/>
          <w:color w:val="auto"/>
        </w:rPr>
        <w:t xml:space="preserve">(c)             Each Company Warrant (other than Series B-3 Warrants) that is outstanding and unexercised immediately prior to the Effective Time and did not expire worthless or automatically exercised in full prior to the Effective Terms in accordance with its terms (pursuant to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shall be converted into a warrant to purchase shares of Common Stock on the same terms and conditions (including as to vesting and exercisability) as are in effect with respect to such Company Warrant immediately prior to the Effective Time (each, an “</w:t>
      </w:r>
      <w:r>
        <w:rPr>
          <w:rFonts w:ascii="Times New Roman" w:cs="Times New Roman" w:eastAsia="Times New Roman" w:hAnsi="Times New Roman"/>
          <w:sz w:val="18"/>
          <w:szCs w:val="18"/>
          <w:u w:val="single" w:color="auto"/>
          <w:color w:val="auto"/>
        </w:rPr>
        <w:t>Assumed Warrant</w:t>
      </w:r>
      <w:r>
        <w:rPr>
          <w:rFonts w:ascii="Times New Roman" w:cs="Times New Roman" w:eastAsia="Times New Roman" w:hAnsi="Times New Roman"/>
          <w:sz w:val="18"/>
          <w:szCs w:val="18"/>
          <w:color w:val="auto"/>
        </w:rPr>
        <w:t xml:space="preserve">”), except that (i), such Assumed Warrant shall entitle the holder thereof to purchase such whole number of shares of Common Stock (rounded down to the nearest whole share) equal to the </w:t>
      </w:r>
      <w:r>
        <w:rPr>
          <w:rFonts w:ascii="Times New Roman" w:cs="Times New Roman" w:eastAsia="Times New Roman" w:hAnsi="Times New Roman"/>
          <w:sz w:val="18"/>
          <w:szCs w:val="18"/>
          <w:u w:val="single" w:color="auto"/>
          <w:color w:val="auto"/>
        </w:rPr>
        <w:t>product of</w:t>
      </w:r>
      <w:r>
        <w:rPr>
          <w:rFonts w:ascii="Times New Roman" w:cs="Times New Roman" w:eastAsia="Times New Roman" w:hAnsi="Times New Roman"/>
          <w:sz w:val="18"/>
          <w:szCs w:val="18"/>
          <w:color w:val="auto"/>
        </w:rPr>
        <w:t xml:space="preserve"> (A) the number of shares of Company Common Shares (as calculated on as converted to Company Common Share basis) subject to such Company Warrant immediately prior to the Effective Time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Exchange Ratio, and (ii) such Assumed Warrant shall have an exercise price per share (which shall be rounded up to the nearest whole cent) equal to </w:t>
      </w:r>
      <w:r>
        <w:rPr>
          <w:rFonts w:ascii="Times New Roman" w:cs="Times New Roman" w:eastAsia="Times New Roman" w:hAnsi="Times New Roman"/>
          <w:sz w:val="18"/>
          <w:szCs w:val="18"/>
          <w:u w:val="single" w:color="auto"/>
          <w:color w:val="auto"/>
        </w:rPr>
        <w:t>the quotient of</w:t>
      </w:r>
      <w:r>
        <w:rPr>
          <w:rFonts w:ascii="Times New Roman" w:cs="Times New Roman" w:eastAsia="Times New Roman" w:hAnsi="Times New Roman"/>
          <w:sz w:val="18"/>
          <w:szCs w:val="18"/>
          <w:color w:val="auto"/>
        </w:rPr>
        <w:t xml:space="preserve"> (1) the exercise price per share of such Company Warrant immediately prior to the Effective Time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(2) the Exchange Ratio.</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u w:val="single" w:color="auto"/>
          <w:color w:val="auto"/>
        </w:rPr>
        <w:t>  Treatment of Company Options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66" w:lineRule="auto"/>
        <w:rPr>
          <w:sz w:val="20"/>
          <w:szCs w:val="20"/>
          <w:color w:val="auto"/>
        </w:rPr>
      </w:pPr>
      <w:r>
        <w:rPr>
          <w:rFonts w:ascii="Times New Roman" w:cs="Times New Roman" w:eastAsia="Times New Roman" w:hAnsi="Times New Roman"/>
          <w:sz w:val="17"/>
          <w:szCs w:val="17"/>
          <w:color w:val="auto"/>
        </w:rPr>
        <w:t xml:space="preserve">(a)             As of the Effective Time, each Company Option that is then outstanding shall be assumed and converted into an option to purchase a number of shares of Common Stock on the terms and conditions in this </w:t>
      </w:r>
      <w:r>
        <w:rPr>
          <w:rFonts w:ascii="Times New Roman" w:cs="Times New Roman" w:eastAsia="Times New Roman" w:hAnsi="Times New Roman"/>
          <w:sz w:val="17"/>
          <w:szCs w:val="17"/>
          <w:u w:val="single" w:color="auto"/>
          <w:color w:val="auto"/>
        </w:rPr>
        <w:t>Section 3.07(a)</w:t>
      </w:r>
      <w:r>
        <w:rPr>
          <w:rFonts w:ascii="Times New Roman" w:cs="Times New Roman" w:eastAsia="Times New Roman" w:hAnsi="Times New Roman"/>
          <w:sz w:val="17"/>
          <w:szCs w:val="17"/>
          <w:color w:val="auto"/>
        </w:rPr>
        <w:t xml:space="preserve"> (each, an “</w:t>
      </w:r>
      <w:r>
        <w:rPr>
          <w:rFonts w:ascii="Times New Roman" w:cs="Times New Roman" w:eastAsia="Times New Roman" w:hAnsi="Times New Roman"/>
          <w:sz w:val="17"/>
          <w:szCs w:val="17"/>
          <w:u w:val="single" w:color="auto"/>
          <w:color w:val="auto"/>
        </w:rPr>
        <w:t>Acquiror Option</w:t>
      </w:r>
      <w:r>
        <w:rPr>
          <w:rFonts w:ascii="Times New Roman" w:cs="Times New Roman" w:eastAsia="Times New Roman" w:hAnsi="Times New Roman"/>
          <w:sz w:val="17"/>
          <w:szCs w:val="17"/>
          <w:color w:val="auto"/>
        </w:rPr>
        <w:t xml:space="preserve">”). Each such Acquiror Option as so assumed and converted shall continue to have, and shall be subject to, the same terms and conditions as applied to the Company Option immediately prior to the Effective Time (but taking into account any changes thereto by reason of this </w:t>
      </w:r>
      <w:r>
        <w:rPr>
          <w:rFonts w:ascii="Times New Roman" w:cs="Times New Roman" w:eastAsia="Times New Roman" w:hAnsi="Times New Roman"/>
          <w:sz w:val="17"/>
          <w:szCs w:val="17"/>
          <w:u w:val="single" w:color="auto"/>
          <w:color w:val="auto"/>
        </w:rPr>
        <w:t>Section 3.07(a))</w:t>
      </w:r>
      <w:r>
        <w:rPr>
          <w:rFonts w:ascii="Times New Roman" w:cs="Times New Roman" w:eastAsia="Times New Roman" w:hAnsi="Times New Roman"/>
          <w:sz w:val="17"/>
          <w:szCs w:val="17"/>
          <w:color w:val="auto"/>
        </w:rPr>
        <w:t xml:space="preserve">. As of the Effective Time, each such Acquiror Option as so assumed and converted shall be an option to acquire that number of whole shares of Common Stock (rounded down to the nearest whole share) equal to the product of (i) the number of shares of Company Common Shares subject to such Company Option multiplied by (ii) the Exchange Ratio, at an exercise price per share of Common Stock (rounded up to the nearest whole cent) equal to the quotient of (x) the exercise price per share of such Company Option in effect immediately prior to the Effective Time, divided by (y) the Exchange Ratio. Notwithstanding anything in this </w:t>
      </w:r>
      <w:r>
        <w:rPr>
          <w:rFonts w:ascii="Times New Roman" w:cs="Times New Roman" w:eastAsia="Times New Roman" w:hAnsi="Times New Roman"/>
          <w:sz w:val="17"/>
          <w:szCs w:val="17"/>
          <w:u w:val="single" w:color="auto"/>
          <w:color w:val="auto"/>
        </w:rPr>
        <w:t>Section 3.07(a)</w:t>
      </w:r>
      <w:r>
        <w:rPr>
          <w:rFonts w:ascii="Times New Roman" w:cs="Times New Roman" w:eastAsia="Times New Roman" w:hAnsi="Times New Roman"/>
          <w:sz w:val="17"/>
          <w:szCs w:val="17"/>
          <w:color w:val="auto"/>
        </w:rPr>
        <w:t xml:space="preserve"> to the contrary, the exercise price and the number of shares of Common Stock subject to the Acquiror Options shall be determined in a manner consistent with the requirements of Section 409A of the Code, and, in the case of Company Options that are intended to qualify as incentive stock options within the meaning of Section 422 of the Code and Treasury Regulation Section 1.424-1, consistent with the requirements of Section 424 of the Code, including that such conversion will not constitute a “modification” of such Company Options for purposes of Sections 409A or Section 424 of the Code.</w:t>
      </w:r>
    </w:p>
    <w:p>
      <w:pPr>
        <w:spacing w:after="0" w:line="175" w:lineRule="exact"/>
        <w:rPr>
          <w:sz w:val="20"/>
          <w:szCs w:val="20"/>
          <w:color w:val="auto"/>
        </w:rPr>
      </w:pPr>
    </w:p>
    <w:p>
      <w:pPr>
        <w:ind w:right="20" w:firstLine="1281"/>
        <w:spacing w:after="0" w:line="268" w:lineRule="auto"/>
        <w:rPr>
          <w:sz w:val="20"/>
          <w:szCs w:val="20"/>
          <w:color w:val="auto"/>
        </w:rPr>
      </w:pPr>
      <w:r>
        <w:rPr>
          <w:rFonts w:ascii="Times New Roman" w:cs="Times New Roman" w:eastAsia="Times New Roman" w:hAnsi="Times New Roman"/>
          <w:sz w:val="17"/>
          <w:szCs w:val="17"/>
          <w:color w:val="auto"/>
        </w:rPr>
        <w:t xml:space="preserve">(b)             The Company shall take all necessary actions to effect the treatment of the Company Options pursuant to </w:t>
      </w:r>
      <w:r>
        <w:rPr>
          <w:rFonts w:ascii="Times New Roman" w:cs="Times New Roman" w:eastAsia="Times New Roman" w:hAnsi="Times New Roman"/>
          <w:sz w:val="17"/>
          <w:szCs w:val="17"/>
          <w:u w:val="single" w:color="auto"/>
          <w:color w:val="auto"/>
        </w:rPr>
        <w:t>Section 3.07(a)</w:t>
      </w:r>
      <w:r>
        <w:rPr>
          <w:rFonts w:ascii="Times New Roman" w:cs="Times New Roman" w:eastAsia="Times New Roman" w:hAnsi="Times New Roman"/>
          <w:sz w:val="17"/>
          <w:szCs w:val="17"/>
          <w:color w:val="auto"/>
        </w:rPr>
        <w:t xml:space="preserve"> in accordance with the Company Equity Plan and the applicable award agreements and to ensure that no Acquiror Option may be exercised prior to the effective date of an applicable Form S-8 (or other applicable form, including Form S-1 or Form S-3) of Acquiror, unless such exercise satisfies an exemption from the registration requirements of the Securities Act. The Company board of directors shall amend, to the extent it deems necessary, the Company Equity Plan and take all other necessary actions, effective as of immediately prior to the Closing, in order to provide that no new Company equity awards (including, but not limited to, any Company Options) will be granted under the Company Equity Plan. Notwithstanding the foregoing, from and after the Effective Time, each Acquiror Option that is issued in exchange for a Company Option that immediately prior to the Effective Time was subject to vesting or forfeiture terms and conditions shall continue to be governed by such terms and conditions as were applicable immediately prior to the Effective Time.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ind w:right="80" w:firstLine="640"/>
        <w:spacing w:after="0" w:line="254" w:lineRule="auto"/>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u w:val="single" w:color="auto"/>
          <w:color w:val="auto"/>
        </w:rPr>
        <w:t>  Withholding Rights</w:t>
      </w:r>
      <w:r>
        <w:rPr>
          <w:rFonts w:ascii="Times New Roman" w:cs="Times New Roman" w:eastAsia="Times New Roman" w:hAnsi="Times New Roman"/>
          <w:sz w:val="18"/>
          <w:szCs w:val="18"/>
          <w:color w:val="auto"/>
        </w:rPr>
        <w:t>. Notwithstanding anything in this Agreement to the contrary, Acquiror, Merger Sub, the Company, the Surviving Corporation, the Exchange Agent and their respective Affiliates shall be entitled to deduct and withhold from amounts otherwise payable pursuant to this Agreement, any amount required to be deducted and withheld with respect to the making of such payment under applicable Law. To the extent that amounts are so deducted, withheld and remitted to the applicable Governmental Authority, such withheld amounts shall be treated for all purposes of this Agreement as having been paid to the Person in respect of which such deduction and withholding was made.</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CLOSING TRANSACTIONS</w:t>
      </w:r>
    </w:p>
    <w:p>
      <w:pPr>
        <w:spacing w:after="0" w:line="201" w:lineRule="exact"/>
        <w:rPr>
          <w:sz w:val="20"/>
          <w:szCs w:val="20"/>
          <w:color w:val="auto"/>
        </w:rPr>
      </w:pPr>
    </w:p>
    <w:p>
      <w:pPr>
        <w:ind w:right="60" w:firstLine="640"/>
        <w:spacing w:after="0" w:line="258" w:lineRule="auto"/>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On the terms and subject to the conditions set forth in this Agreement, the closing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 electronically by the mutual exchange of electronic signatures (including portable document format (.pdf)) commencing as promptly as</w:t>
      </w:r>
    </w:p>
    <w:p>
      <w:pPr>
        <w:spacing w:after="0" w:line="1" w:lineRule="exact"/>
        <w:rPr>
          <w:sz w:val="20"/>
          <w:szCs w:val="20"/>
          <w:color w:val="auto"/>
        </w:rPr>
      </w:pPr>
    </w:p>
    <w:p>
      <w:pPr>
        <w:jc w:val="both"/>
        <w:ind w:right="140"/>
        <w:spacing w:after="0" w:line="236" w:lineRule="auto"/>
        <w:rPr>
          <w:sz w:val="20"/>
          <w:szCs w:val="20"/>
          <w:color w:val="auto"/>
        </w:rPr>
      </w:pPr>
      <w:r>
        <w:rPr>
          <w:rFonts w:ascii="Times New Roman" w:cs="Times New Roman" w:eastAsia="Times New Roman" w:hAnsi="Times New Roman"/>
          <w:sz w:val="17"/>
          <w:szCs w:val="17"/>
          <w:color w:val="auto"/>
        </w:rPr>
        <w:t>practicable (and in any event no later than 10:00 a.m. Eastern Time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Business Day) following the satisfaction or (to the extent permitted by applicable Law) waiver of the conditions set forth in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(other than those conditions that by their terms or nature are to be satisfied at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conditions are actually satisfied or (to the extent permitted by applicable Law) waived at the Closing) or (b) at such other place, time or date as Acquiror and the Company may mutually agree in writing. The date on which the Closing shall occur is referred to herein as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Closing Statement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160" w:firstLine="1281"/>
        <w:spacing w:after="0" w:line="273" w:lineRule="auto"/>
        <w:rPr>
          <w:sz w:val="20"/>
          <w:szCs w:val="20"/>
          <w:color w:val="auto"/>
        </w:rPr>
      </w:pPr>
      <w:r>
        <w:rPr>
          <w:rFonts w:ascii="Times New Roman" w:cs="Times New Roman" w:eastAsia="Times New Roman" w:hAnsi="Times New Roman"/>
          <w:sz w:val="17"/>
          <w:szCs w:val="17"/>
          <w:color w:val="auto"/>
        </w:rPr>
        <w:t>(a)             No fewer than three (3) Business Days prior to the Closing Date, the Company shall deliver to Acquiror a statement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 Capitalization Statement</w:t>
      </w:r>
      <w:r>
        <w:rPr>
          <w:rFonts w:ascii="Times New Roman" w:cs="Times New Roman" w:eastAsia="Times New Roman" w:hAnsi="Times New Roman"/>
          <w:sz w:val="17"/>
          <w:szCs w:val="17"/>
          <w:color w:val="auto"/>
        </w:rPr>
        <w:t>”), signed by the Chief Executive Officer of the Company (in her capacity as such), which sets forth, as of the record date, the</w:t>
      </w:r>
    </w:p>
    <w:p>
      <w:pPr>
        <w:spacing w:after="0" w:line="1" w:lineRule="exact"/>
        <w:rPr>
          <w:sz w:val="20"/>
          <w:szCs w:val="20"/>
          <w:color w:val="auto"/>
        </w:rPr>
      </w:pPr>
    </w:p>
    <w:p>
      <w:pPr>
        <w:ind w:firstLine="7"/>
        <w:spacing w:after="0" w:line="248" w:lineRule="auto"/>
        <w:tabs>
          <w:tab w:leader="none" w:pos="2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name of each Company Stockholder of record on the books and records of the Company, (2) number of shares of Company Common Shares (after giving effect to (a) the exercise of any Company Warrants pursuant to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xml:space="preserve"> and (b) the Preferred Conversion) owned by each such Company Stockholder, and (3) the allocation of the Closing Merger Consideration payable to each Company Stockholder; (ii) on a holder-by-holder and warrant-by-warrant basis, each Assumed Warrant that will be outstanding as of the Closing, and, with respect to such Assumed Warrant, the number of shares of Common Stock issuable upon exercise of such Assumed Warrant and the exercise price of such Assumed Warrant and (iii) on a holder-by-holder and option-by-option basis, each Acquiror Option that will be outstanding as of the Closing, and, with respect to such Acquiror Option, the number of shares of Common Stock issuable upon exercise of such Acquiror Option and the exercise price of such Acquiror Option. The Company shall consider in good faith Acquiror’s comments to the Closing Date Capitalization Statement, which comments Acquiror shall deliver to the Company no fewer than two (2) Business Days prior to the Closing Date, and revise the Closing Date Capitalization Statement to incorporate any changes the Company, acting in good faith, determines are appropriate. In connection with preparation and delivery of the Closing Date Capitalization Statement, the Company shall provide all reasonable supporting detail to evidence the Company’s calculations, explanations and assumptions and any additional documentation or information as may reasonably be requested by Acquiror. The Company shall deliver to the Exchange Agent and Acquiror the Closing Date Capitalization Statement as finalized pursuant to this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at least one (1) Business Day prior to the Closing Date. Acquiror and the Exchange Agent shall be entitled to rely absolutely, and shall have no liability to any Company Stockholder or any other Person for relying on or paying the Closing Merger Consideration in accordance with, such Closing Date Capitalization Statement.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ind w:right="40" w:firstLine="1281"/>
        <w:spacing w:after="0" w:line="277" w:lineRule="auto"/>
        <w:rPr>
          <w:sz w:val="20"/>
          <w:szCs w:val="20"/>
          <w:color w:val="auto"/>
        </w:rPr>
      </w:pPr>
      <w:r>
        <w:rPr>
          <w:rFonts w:ascii="Times New Roman" w:cs="Times New Roman" w:eastAsia="Times New Roman" w:hAnsi="Times New Roman"/>
          <w:sz w:val="18"/>
          <w:szCs w:val="18"/>
          <w:color w:val="auto"/>
        </w:rPr>
        <w:t>(b)            No fewer than three (3) Business Days prior to the Closing Date, the Company shall provide to Acquiror, a written statement setting forth the Company’s good faith estimates of the Company Transaction Expenses Amount as of 12:01 a.m. (Eastern time) on the Closing Date.</w:t>
      </w:r>
    </w:p>
    <w:p>
      <w:pPr>
        <w:spacing w:after="0" w:line="163" w:lineRule="exact"/>
        <w:rPr>
          <w:sz w:val="20"/>
          <w:szCs w:val="20"/>
          <w:color w:val="auto"/>
        </w:rPr>
      </w:pPr>
    </w:p>
    <w:p>
      <w:pPr>
        <w:ind w:right="80" w:firstLine="1281"/>
        <w:spacing w:after="0" w:line="277" w:lineRule="auto"/>
        <w:rPr>
          <w:sz w:val="20"/>
          <w:szCs w:val="20"/>
          <w:color w:val="auto"/>
        </w:rPr>
      </w:pPr>
      <w:r>
        <w:rPr>
          <w:rFonts w:ascii="Times New Roman" w:cs="Times New Roman" w:eastAsia="Times New Roman" w:hAnsi="Times New Roman"/>
          <w:sz w:val="18"/>
          <w:szCs w:val="18"/>
          <w:color w:val="auto"/>
        </w:rPr>
        <w:t>(c)             No fewer than three (3) Business Days prior to the Closing Date, Acquiror shall provide to the Company a written statement setting forth the Acquiror’s good faith estimates of the Acquiror Transaction Expenses as of 12:01 a.m. on the Closing Date.</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Except as set forth in the Schedules to this Agreement dated as of the date of this Agreement (each of which, subject to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qualifies</w:t>
      </w:r>
    </w:p>
    <w:p>
      <w:pPr>
        <w:spacing w:after="0" w:line="25" w:lineRule="exact"/>
        <w:rPr>
          <w:sz w:val="20"/>
          <w:szCs w:val="20"/>
          <w:color w:val="auto"/>
        </w:rPr>
      </w:pPr>
    </w:p>
    <w:p>
      <w:pPr>
        <w:ind w:right="60" w:firstLine="7"/>
        <w:spacing w:after="0" w:line="251" w:lineRule="auto"/>
        <w:tabs>
          <w:tab w:leader="none" w:pos="24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correspondingly numbered representation, warranty or covenant if specified therein and (b) such other representations, warranties or covenants where its relevance as an exception to (or disclosure for purposes of) such other representation, warranty or covenant is reasonably apparent on its face), the Company represents and warrants to Acquiror as follows:</w:t>
      </w:r>
    </w:p>
    <w:p>
      <w:pPr>
        <w:spacing w:after="0" w:line="186" w:lineRule="exact"/>
        <w:rPr>
          <w:sz w:val="20"/>
          <w:szCs w:val="20"/>
          <w:color w:val="auto"/>
        </w:rPr>
      </w:pPr>
    </w:p>
    <w:p>
      <w:pPr>
        <w:ind w:right="20" w:firstLine="640"/>
        <w:spacing w:after="0" w:line="250" w:lineRule="auto"/>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Corporate Organization of the Company</w:t>
      </w:r>
      <w:r>
        <w:rPr>
          <w:rFonts w:ascii="Times New Roman" w:cs="Times New Roman" w:eastAsia="Times New Roman" w:hAnsi="Times New Roman"/>
          <w:sz w:val="18"/>
          <w:szCs w:val="18"/>
          <w:color w:val="auto"/>
        </w:rPr>
        <w:t>. The Company has been duly incorporated, is validly existing as a corporation and is in good standing under the Laws of the State of Delaware and has the corporate power and authority to own, operate and lease its properties, rights and assets and to conduct its business as it is now being conducted. The copies of the Company Certificate of Incorporation certified by the Secretary of the State of Delaware and the bylaws, as in effect on the date hereof, previously made available by the Company to Acquiror are (a) true, correct and complete, (b) in full force and effect, and (c) have not been amended in any respect from the copies made available to Acquiror. The Company has the requisite corporate power and authority to own, operate and lease all of its properties, rights and assets and to carry on its business as it is now being conducted and is duly licensed or qualified and in good standing as a foreign entity in each jurisdiction in which the ownership of its property or the character of its activities is such as to require it to be so licensed or qualified, except where failure to be so licensed or qualified would not reasonably be expected to have, individually or in the aggregate, a Material Adverse Effect. The Company is not in material violation of any of the provisions of its Company Certificate of Incorporation or bylaws.</w:t>
      </w:r>
    </w:p>
    <w:p>
      <w:pPr>
        <w:spacing w:after="0" w:line="192" w:lineRule="exact"/>
        <w:rPr>
          <w:sz w:val="20"/>
          <w:szCs w:val="20"/>
          <w:color w:val="auto"/>
        </w:rPr>
      </w:pPr>
    </w:p>
    <w:p>
      <w:pPr>
        <w:jc w:val="both"/>
        <w:ind w:firstLine="640"/>
        <w:spacing w:after="0" w:line="284" w:lineRule="auto"/>
        <w:rPr>
          <w:sz w:val="20"/>
          <w:szCs w:val="20"/>
          <w:color w:val="auto"/>
        </w:rPr>
      </w:pPr>
      <w:r>
        <w:rPr>
          <w:rFonts w:ascii="Times New Roman" w:cs="Times New Roman" w:eastAsia="Times New Roman" w:hAnsi="Times New Roman"/>
          <w:sz w:val="17"/>
          <w:szCs w:val="17"/>
          <w:color w:val="auto"/>
        </w:rPr>
        <w:t>Section 5.02          </w:t>
      </w:r>
      <w:r>
        <w:rPr>
          <w:rFonts w:ascii="Times New Roman" w:cs="Times New Roman" w:eastAsia="Times New Roman" w:hAnsi="Times New Roman"/>
          <w:sz w:val="17"/>
          <w:szCs w:val="17"/>
          <w:u w:val="single" w:color="auto"/>
          <w:color w:val="auto"/>
        </w:rPr>
        <w:t>  Subsidiaries</w:t>
      </w:r>
      <w:r>
        <w:rPr>
          <w:rFonts w:ascii="Times New Roman" w:cs="Times New Roman" w:eastAsia="Times New Roman" w:hAnsi="Times New Roman"/>
          <w:sz w:val="17"/>
          <w:szCs w:val="17"/>
          <w:color w:val="auto"/>
        </w:rPr>
        <w:t xml:space="preserve">. The Company’s Subsidiaries are set forth on </w:t>
      </w:r>
      <w:r>
        <w:rPr>
          <w:rFonts w:ascii="Times New Roman" w:cs="Times New Roman" w:eastAsia="Times New Roman" w:hAnsi="Times New Roman"/>
          <w:sz w:val="17"/>
          <w:szCs w:val="17"/>
          <w:u w:val="single" w:color="auto"/>
          <w:color w:val="auto"/>
        </w:rPr>
        <w:t>Schedule 5.02</w:t>
      </w:r>
      <w:r>
        <w:rPr>
          <w:rFonts w:ascii="Times New Roman" w:cs="Times New Roman" w:eastAsia="Times New Roman" w:hAnsi="Times New Roman"/>
          <w:sz w:val="17"/>
          <w:szCs w:val="17"/>
          <w:color w:val="auto"/>
        </w:rPr>
        <w:t>. All of the Company’s Subsidiaries are either dormant (and in the process of being dissolved) or have been dissolved. The Subsidiaries have no assets and no liabilities. Without limiting the generality of the foregoing, the Company does not control, own or possess, directly or indirectly, or have any equity interest in, any other Person (other than passive investments).</w:t>
      </w:r>
    </w:p>
    <w:p>
      <w:pPr>
        <w:spacing w:after="0" w:line="160" w:lineRule="exact"/>
        <w:rPr>
          <w:sz w:val="20"/>
          <w:szCs w:val="20"/>
          <w:color w:val="auto"/>
        </w:rPr>
      </w:pPr>
    </w:p>
    <w:p>
      <w:pPr>
        <w:ind w:right="100" w:firstLine="640"/>
        <w:spacing w:after="0" w:line="249"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Due Authorization</w:t>
      </w:r>
      <w:r>
        <w:rPr>
          <w:rFonts w:ascii="Times New Roman" w:cs="Times New Roman" w:eastAsia="Times New Roman" w:hAnsi="Times New Roman"/>
          <w:sz w:val="18"/>
          <w:szCs w:val="18"/>
          <w:color w:val="auto"/>
        </w:rPr>
        <w:t xml:space="preserve">. The Company has the requisite corporate power and authority to execute and deliver this Agreement and each Transaction Agreement to which it is a party and (subject to the approvals described in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to perform all obligations to be performed by it hereunder and thereunder and to consummate the Transactions. The execution, delivery and performance of this Agreement and such Transaction Agreements and the consummation of the Transactions have been duly authorized by the board of directors of the Company, and, other than the Company Stockholder Approval, no other corporate proceeding on the part of the Company is necessary to authorize this Agreement or such Transaction Agreements or the Company’s performance hereunder or thereunder. This Agreement has been, and each such Transaction Agreement (when executed and delivered by the Company) will be, duly and validly executed and delivered by the Company and, assuming due and valid authorization, execution and delivery by each other party hereto and thereto, this Agreement constitutes, and each such Transaction Agreement will constitute, a valid and binding obligation of the Company, enforceable against the Company in accordance with its terms, subject to applicable bankruptcy, insolvency, fraudulent conveyance, reorganization, moratorium and similar Laws affecting or relating to creditors’ rights generally and subject, as to enforceability, to general principles of equity, whether such enforceability is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At a meeting duly called and held, the board of directors of the Company has (i) determined that it is in the best interests of the Company and the stockholders of the Company, and declared it advisable, to enter into this Agreement providing for the Merger, (ii) approved this Agreement and the Transactions, including the Merger, on the terms and subject to the conditions of this Agreement, and (iii) adopted a resolution recommending that this Agreement and the Transactions, including the Merger, be adopted by the stockholders of the Company. The Company Stockholder Approval is the only vote or consent of holders of any class of equity securities of the Company or any of its Subsidiaries that is required to adopt this Agreement and approve the Transactions.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3" w:name="page44"/>
    <w:bookmarkEnd w:id="43"/>
    <w:p>
      <w:pPr>
        <w:ind w:firstLine="640"/>
        <w:spacing w:after="0" w:line="264" w:lineRule="auto"/>
        <w:rPr>
          <w:sz w:val="20"/>
          <w:szCs w:val="20"/>
          <w:color w:val="auto"/>
        </w:rPr>
      </w:pPr>
      <w:r>
        <w:rPr>
          <w:rFonts w:ascii="Times New Roman" w:cs="Times New Roman" w:eastAsia="Times New Roman" w:hAnsi="Times New Roman"/>
          <w:sz w:val="17"/>
          <w:szCs w:val="17"/>
          <w:color w:val="auto"/>
        </w:rPr>
        <w:t>Section 5.04          </w:t>
      </w:r>
      <w:r>
        <w:rPr>
          <w:rFonts w:ascii="Times New Roman" w:cs="Times New Roman" w:eastAsia="Times New Roman" w:hAnsi="Times New Roman"/>
          <w:sz w:val="17"/>
          <w:szCs w:val="17"/>
          <w:u w:val="single" w:color="auto"/>
          <w:color w:val="auto"/>
        </w:rPr>
        <w:t>  No Conflict</w:t>
      </w:r>
      <w:r>
        <w:rPr>
          <w:rFonts w:ascii="Times New Roman" w:cs="Times New Roman" w:eastAsia="Times New Roman" w:hAnsi="Times New Roman"/>
          <w:sz w:val="17"/>
          <w:szCs w:val="17"/>
          <w:color w:val="auto"/>
        </w:rPr>
        <w:t xml:space="preserve">. Subject to the receipt of the consents, approvals, authorizations and other requirements set forth in </w:t>
      </w:r>
      <w:r>
        <w:rPr>
          <w:rFonts w:ascii="Times New Roman" w:cs="Times New Roman" w:eastAsia="Times New Roman" w:hAnsi="Times New Roman"/>
          <w:sz w:val="17"/>
          <w:szCs w:val="17"/>
          <w:u w:val="single" w:color="auto"/>
          <w:color w:val="auto"/>
        </w:rPr>
        <w:t>Section 5.05</w:t>
      </w:r>
      <w:r>
        <w:rPr>
          <w:rFonts w:ascii="Times New Roman" w:cs="Times New Roman" w:eastAsia="Times New Roman" w:hAnsi="Times New Roman"/>
          <w:sz w:val="17"/>
          <w:szCs w:val="17"/>
          <w:color w:val="auto"/>
        </w:rPr>
        <w:t xml:space="preserve">, and except as set forth on </w:t>
      </w:r>
      <w:r>
        <w:rPr>
          <w:rFonts w:ascii="Times New Roman" w:cs="Times New Roman" w:eastAsia="Times New Roman" w:hAnsi="Times New Roman"/>
          <w:sz w:val="17"/>
          <w:szCs w:val="17"/>
          <w:u w:val="single" w:color="auto"/>
          <w:color w:val="auto"/>
        </w:rPr>
        <w:t>Schedule 5.04</w:t>
      </w:r>
      <w:r>
        <w:rPr>
          <w:rFonts w:ascii="Times New Roman" w:cs="Times New Roman" w:eastAsia="Times New Roman" w:hAnsi="Times New Roman"/>
          <w:sz w:val="17"/>
          <w:szCs w:val="17"/>
          <w:color w:val="auto"/>
        </w:rPr>
        <w:t>, the execution, delivery and performance of this Agreement and each Transaction Agreement to which it is party by the Company and the consummation of the transactions contemplated hereby and thereby do not and will not (a) conflict with or violate any provision of, or result in the breach of or default under, the Company Certificate of Incorporation, bylaws or other organizational documents of the Company, (b) violate any provision of, or result in the breach of or default by the Company under, or require any filing, registration or qualification under, any applicable Law or Data Security Requirement, (c) require any consent, waiver or other action by any Person under, violate, or result in a breach of, constitute a default under, result in the acceleration, cancellation, termination or modification of, or create in any party the right to accelerate, terminate, cancel or modify, the terms, conditions or provisions of any Material Contract or Lease, including but not limited to any payment, posting of collateral (or right to require the posting of collateral), time of payment, vesting or increase in the amount of any compensation or benefit payable pursuant to the terms, conditions or provisions of any Material Contract or Lease, (d) result in the creation of any Lien (other than a Permitted Lien) upon any of the properties, rights or assets of the Company,</w:t>
      </w:r>
    </w:p>
    <w:p>
      <w:pPr>
        <w:spacing w:after="0" w:line="4" w:lineRule="exact"/>
        <w:rPr>
          <w:sz w:val="20"/>
          <w:szCs w:val="20"/>
          <w:color w:val="auto"/>
        </w:rPr>
      </w:pPr>
    </w:p>
    <w:p>
      <w:pPr>
        <w:ind w:right="520" w:firstLine="7"/>
        <w:spacing w:after="0" w:line="251" w:lineRule="auto"/>
        <w:tabs>
          <w:tab w:leader="none" w:pos="2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an event which, after notice or lapse of time or both, would result in any such violation, breach, termination, acceleration, modification, cancellation or creation of a Lien (other than a Permitted Lien) or (f) result in a violation or revocation of any license, permit or approval from any Governmental Authority.</w:t>
      </w:r>
    </w:p>
    <w:p>
      <w:pPr>
        <w:spacing w:after="0" w:line="186" w:lineRule="exact"/>
        <w:rPr>
          <w:sz w:val="20"/>
          <w:szCs w:val="20"/>
          <w:color w:val="auto"/>
        </w:rPr>
      </w:pPr>
    </w:p>
    <w:p>
      <w:pPr>
        <w:ind w:firstLine="640"/>
        <w:spacing w:after="0" w:line="267" w:lineRule="auto"/>
        <w:rPr>
          <w:sz w:val="20"/>
          <w:szCs w:val="20"/>
          <w:color w:val="auto"/>
        </w:rPr>
      </w:pPr>
      <w:r>
        <w:rPr>
          <w:rFonts w:ascii="Times New Roman" w:cs="Times New Roman" w:eastAsia="Times New Roman" w:hAnsi="Times New Roman"/>
          <w:sz w:val="17"/>
          <w:szCs w:val="17"/>
          <w:color w:val="auto"/>
        </w:rPr>
        <w:t>Section 5.05          </w:t>
      </w:r>
      <w:r>
        <w:rPr>
          <w:rFonts w:ascii="Times New Roman" w:cs="Times New Roman" w:eastAsia="Times New Roman" w:hAnsi="Times New Roman"/>
          <w:sz w:val="17"/>
          <w:szCs w:val="17"/>
          <w:u w:val="single" w:color="auto"/>
          <w:color w:val="auto"/>
        </w:rPr>
        <w:t>  Governmental Authorities; Consents</w:t>
      </w:r>
      <w:r>
        <w:rPr>
          <w:rFonts w:ascii="Times New Roman" w:cs="Times New Roman" w:eastAsia="Times New Roman" w:hAnsi="Times New Roman"/>
          <w:sz w:val="17"/>
          <w:szCs w:val="17"/>
          <w:color w:val="auto"/>
        </w:rPr>
        <w:t>. Assuming the truth and completeness of the representations and warranties of the Acquiror Parties contained in this Agreement, no action by, consent, approval, permit or authorization of, or designation, declaration or filing with, any Governmental Authority or notice, approval, consent waiver or authorization from any Governmental Authority is required on the part of the Company with respect to the Company’s execution, delivery and performance of this Agreement and the Transaction Agreements and the consummation of the Transactions, except for</w:t>
      </w:r>
    </w:p>
    <w:p>
      <w:pPr>
        <w:spacing w:after="0" w:line="3" w:lineRule="exact"/>
        <w:rPr>
          <w:sz w:val="20"/>
          <w:szCs w:val="20"/>
          <w:color w:val="auto"/>
        </w:rPr>
      </w:pPr>
    </w:p>
    <w:p>
      <w:pPr>
        <w:ind w:right="240" w:firstLine="7"/>
        <w:spacing w:after="0" w:line="249" w:lineRule="auto"/>
        <w:tabs>
          <w:tab w:leader="none" w:pos="2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filing of the Certificate of Merger in accordance with the DGCL, (b) any actions, consents, approvals, permits or authorizations, designations, declarations or filings, the absence of which would not, individually or in the aggregate, reasonably be expected to have a Material Adverse Effect on the ability of the Company to perform or comply with on a timely basis any material obligation under this Agreement or to consummate the Transactions in accordance with the terms hereof, (c) applicable requirements of the HSR Act (and the expiration of the required waiting period thereunder) and (d) as otherwise disclosed on </w:t>
      </w:r>
      <w:r>
        <w:rPr>
          <w:rFonts w:ascii="Times New Roman" w:cs="Times New Roman" w:eastAsia="Times New Roman" w:hAnsi="Times New Roman"/>
          <w:sz w:val="18"/>
          <w:szCs w:val="18"/>
          <w:u w:val="single" w:color="auto"/>
          <w:color w:val="auto"/>
        </w:rPr>
        <w:t>Schedule 5.05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u w:val="single" w:color="auto"/>
          <w:color w:val="auto"/>
        </w:rPr>
        <w:t>  Current Capitalization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40" w:firstLine="1281"/>
        <w:spacing w:after="0" w:line="265" w:lineRule="auto"/>
        <w:rPr>
          <w:sz w:val="20"/>
          <w:szCs w:val="20"/>
          <w:color w:val="auto"/>
        </w:rPr>
      </w:pPr>
      <w:r>
        <w:rPr>
          <w:rFonts w:ascii="Times New Roman" w:cs="Times New Roman" w:eastAsia="Times New Roman" w:hAnsi="Times New Roman"/>
          <w:sz w:val="17"/>
          <w:szCs w:val="17"/>
          <w:color w:val="auto"/>
        </w:rPr>
        <w:t>(a)             The authorized capital stock of the Company consists of 2,136,411,964 shares of capital stock, including (i) 5,331,943 shares of Company Series A-1 Preferred Shares, 5,331,943 of which are issued and outstanding as of the date hereof, (ii) 23,307,464 shares of Company Series A-2 Preferred Shares, 23,307,464 of which are issued and outstanding as of the date hereof (iii) 24,792,020 shares of Company Series A-3 Preferred Shares, 24,792,020 of which are issued and outstanding as of the date hereof, (iv) 5,169,690 shares of Company Series A-4 Preferred Shares, 5,169,690 of which are issued and outstanding as of the date hereof, (v) 29,715,910 shares of Company Series A-5 Preferred Shares, 29,545,455 of which are issued and outstanding as of the date hereof, (vi) 32,601,000 shares of Company Series A-6 Preferred Shares, 32,391,000 of which are issued and outstanding as of the date hereof,</w:t>
      </w:r>
    </w:p>
    <w:p>
      <w:pPr>
        <w:spacing w:after="0" w:line="5" w:lineRule="exact"/>
        <w:rPr>
          <w:sz w:val="20"/>
          <w:szCs w:val="20"/>
          <w:color w:val="auto"/>
        </w:rPr>
      </w:pPr>
    </w:p>
    <w:p>
      <w:pPr>
        <w:ind w:right="120" w:firstLine="7"/>
        <w:spacing w:after="0" w:line="248" w:lineRule="auto"/>
        <w:tabs>
          <w:tab w:leader="none" w:pos="3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284,065,377 shares of Company Series B Preferred Shares, 282,580,377 of which are issued and outstanding as of the date hereof, (viii) 67,142,854 shares of Company Series B-1 Preferred Shares, 67,142,854 of which are issued and outstanding as of the date hereof, (ix) 71,428,570 shares of Company Series B-2 Preferred Shares, 28,571,428 of which are issued and outstanding as of the date hereof, (x) 342,857,136 shares of Company Series B-3 Preferred Shares, none of which are issued and outstanding as of the date hereof, and (xi) 1,250,000,000 shares of common stock (the “</w:t>
      </w:r>
      <w:r>
        <w:rPr>
          <w:rFonts w:ascii="Times New Roman" w:cs="Times New Roman" w:eastAsia="Times New Roman" w:hAnsi="Times New Roman"/>
          <w:sz w:val="18"/>
          <w:szCs w:val="18"/>
          <w:u w:val="single" w:color="auto"/>
          <w:color w:val="auto"/>
        </w:rPr>
        <w:t>Company Common Shares</w:t>
      </w:r>
      <w:r>
        <w:rPr>
          <w:rFonts w:ascii="Times New Roman" w:cs="Times New Roman" w:eastAsia="Times New Roman" w:hAnsi="Times New Roman"/>
          <w:sz w:val="18"/>
          <w:szCs w:val="18"/>
          <w:color w:val="auto"/>
        </w:rPr>
        <w:t>”), 13,743,505 of which are issued and outstanding as of the date hereof. The outstanding shares of capital stock or other equity interests of the Company have been duly authorized and validly issued and are fully paid and nonassessable. There are no other shares of common stock, preferred stock or other equity interests of the Company authorized, reserved, issued or outstanding.</w:t>
      </w:r>
    </w:p>
    <w:p>
      <w:pPr>
        <w:spacing w:after="0" w:line="192" w:lineRule="exact"/>
        <w:rPr>
          <w:sz w:val="20"/>
          <w:szCs w:val="20"/>
          <w:color w:val="auto"/>
        </w:rPr>
      </w:pPr>
    </w:p>
    <w:p>
      <w:pPr>
        <w:ind w:right="40" w:firstLine="1281"/>
        <w:spacing w:after="0" w:line="24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5.06(b)(i)</w:t>
      </w:r>
      <w:r>
        <w:rPr>
          <w:rFonts w:ascii="Times New Roman" w:cs="Times New Roman" w:eastAsia="Times New Roman" w:hAnsi="Times New Roman"/>
          <w:sz w:val="18"/>
          <w:szCs w:val="18"/>
          <w:color w:val="auto"/>
        </w:rPr>
        <w:t xml:space="preserve"> accurately sets forth, as of the date hereof, the following information with respect to each outstanding and unexercised Company Option: (i) the name of the holder of such Company Option; (ii) the number of Company Common Shares subject to such Company Option; (iii) the per share exercise price of such Company Option; (iv) the date on which such Company Option was granted and the expiration date of the Company Option, (v) the vesting commencement date and the vesting schedule or vesting requirements of such Company Option, (vi) the number of Company Options that are vested and exercisable, (vii) whether any such Company Option is intended to be an “incentive stock option” as defined in Section 422 of the Code or is subject to Section 409A of the Code and (viii) whether and under which equity plan such Company Option was granted. </w:t>
      </w:r>
      <w:r>
        <w:rPr>
          <w:rFonts w:ascii="Times New Roman" w:cs="Times New Roman" w:eastAsia="Times New Roman" w:hAnsi="Times New Roman"/>
          <w:sz w:val="18"/>
          <w:szCs w:val="18"/>
          <w:u w:val="single" w:color="auto"/>
          <w:color w:val="auto"/>
        </w:rPr>
        <w:t>Schedule 5.06(b)(ii)</w:t>
      </w:r>
      <w:r>
        <w:rPr>
          <w:rFonts w:ascii="Times New Roman" w:cs="Times New Roman" w:eastAsia="Times New Roman" w:hAnsi="Times New Roman"/>
          <w:sz w:val="18"/>
          <w:szCs w:val="18"/>
          <w:color w:val="auto"/>
        </w:rPr>
        <w:t xml:space="preserve"> accurately sets forth, as of the date hereof, the following information with respect to each outstanding and unexercised Company Warrant: (1) the name of the holder of such Company Warrant; (2) the number and type of Company Shares subject to such Company Warrant; (3) the per share exercise price of such Company Warrant; (4) the date on which such Company Warrant was granted, and (5) the vesting schedule of such Company Warrant. Assuming the Company satisfies its obligations under Section 7.12, all of the Company Warrants that are outstanding and unexercised immediately prior to the Effective Time shall either (i) automatically expire worthless, or (ii) be exercised or otherwise exchanged in full for the applicable Company Shares, as applicable, each in accordance with its terms immediately prior to the Effective Time, without any action on the part of the Company or the holder thereof, all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as applicable.</w:t>
      </w:r>
    </w:p>
    <w:p>
      <w:pPr>
        <w:spacing w:after="0" w:line="197" w:lineRule="exact"/>
        <w:rPr>
          <w:sz w:val="20"/>
          <w:szCs w:val="20"/>
          <w:color w:val="auto"/>
        </w:rPr>
      </w:pPr>
    </w:p>
    <w:p>
      <w:pPr>
        <w:ind w:firstLine="1281"/>
        <w:spacing w:after="0" w:line="250" w:lineRule="auto"/>
        <w:rPr>
          <w:sz w:val="20"/>
          <w:szCs w:val="20"/>
          <w:color w:val="auto"/>
        </w:rPr>
      </w:pPr>
      <w:r>
        <w:rPr>
          <w:rFonts w:ascii="Times New Roman" w:cs="Times New Roman" w:eastAsia="Times New Roman" w:hAnsi="Times New Roman"/>
          <w:sz w:val="18"/>
          <w:szCs w:val="18"/>
          <w:color w:val="auto"/>
        </w:rPr>
        <w:t>(c)             Except as provided in subsection (b), as of the date hereof there are (i) no subscriptions, calls, options, warrants, rights (including preemptive rights), puts or other securities convertible into or exchangeable or exercisable for either Company Shares or other equity interests of the Company, or any other Contracts to which the Company is a party or by which the Company is bound obligating the Company to issue or sell any shares of capital stock of, other equity interests in or debt securities of, the Company and (ii) no equity equivalents, stock or equity appreciation rights, profit participation rights, phantom stock or equity ownership interests or other equity, equity-based or similar rights in the Company. As of the date hereof, there are no outstanding contractual obligations of the Company to repurchase, redeem or otherwise acquire any securities or equity interests of the Company. There are no outstanding bonds, debentures, notes or other indebtedness of the Company having the right to vote (or convertible into, or exchangeable for, securities having the right to vote) on any matter for which the Company Stockholders may vote. Except as set forth on Schedule 5.06(c), the Company is not party to any shareholders agreement, voting agreement, proxies registration rights agreement or other agreements or understandings relating to its equity interests.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5" w:name="page46"/>
    <w:bookmarkEnd w:id="45"/>
    <w:p>
      <w:pPr>
        <w:ind w:right="40" w:firstLine="1281"/>
        <w:spacing w:after="0" w:line="257" w:lineRule="auto"/>
        <w:rPr>
          <w:sz w:val="20"/>
          <w:szCs w:val="20"/>
          <w:color w:val="auto"/>
        </w:rPr>
      </w:pPr>
      <w:r>
        <w:rPr>
          <w:rFonts w:ascii="Times New Roman" w:cs="Times New Roman" w:eastAsia="Times New Roman" w:hAnsi="Times New Roman"/>
          <w:sz w:val="18"/>
          <w:szCs w:val="18"/>
          <w:color w:val="auto"/>
        </w:rPr>
        <w:t>(d)            (i) Each Company Option has an exercise price that has been determined pursuant to a valuation consistent with applicable Laws to be at least equal to the fair market value of the underlying Company Common Share as of the date of grant of such Company Option; (ii) no Company Option has had its exercise date or grant date “back-dated” or materially delayed; and (iii) all Company Options have been issued in compliance with the Company Equity Plan (if granted thereunder) and all applicable Laws and properly accounted for in all respects in accordance with GAAP.</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53" w:lineRule="auto"/>
        <w:rPr>
          <w:sz w:val="20"/>
          <w:szCs w:val="20"/>
          <w:color w:val="auto"/>
        </w:rPr>
      </w:pPr>
      <w:r>
        <w:rPr>
          <w:rFonts w:ascii="Times New Roman" w:cs="Times New Roman" w:eastAsia="Times New Roman" w:hAnsi="Times New Roman"/>
          <w:sz w:val="18"/>
          <w:szCs w:val="18"/>
          <w:color w:val="auto"/>
        </w:rPr>
        <w:t xml:space="preserve">(a)             Attached as </w:t>
      </w:r>
      <w:r>
        <w:rPr>
          <w:rFonts w:ascii="Times New Roman" w:cs="Times New Roman" w:eastAsia="Times New Roman" w:hAnsi="Times New Roman"/>
          <w:sz w:val="18"/>
          <w:szCs w:val="18"/>
          <w:u w:val="single" w:color="auto"/>
          <w:color w:val="auto"/>
        </w:rPr>
        <w:t>Schedule 5.07</w:t>
      </w:r>
      <w:r>
        <w:rPr>
          <w:rFonts w:ascii="Times New Roman" w:cs="Times New Roman" w:eastAsia="Times New Roman" w:hAnsi="Times New Roman"/>
          <w:sz w:val="18"/>
          <w:szCs w:val="18"/>
          <w:color w:val="auto"/>
        </w:rPr>
        <w:t xml:space="preserve"> hereto are true, correct, accurate and complete copies of (i) the audited consolidated balance sheets of the Company as at December 31, 2021 and December 31, 2020, and the related audited consolidated statements of operations, shareholders’ equity (deficit) and cash flows for the years then ended, together with the auditor’s reports thereon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and (ii) the unaudited balance sheet of the Company as at June 30, 2022 and the related unaudited statement of income and comprehensive income, shareholders’ equity (deficit) and cash flows for the 6-month period then ended (such June 30, 2022 balance sheet, the “</w:t>
      </w:r>
      <w:r>
        <w:rPr>
          <w:rFonts w:ascii="Times New Roman" w:cs="Times New Roman" w:eastAsia="Times New Roman" w:hAnsi="Times New Roman"/>
          <w:sz w:val="18"/>
          <w:szCs w:val="18"/>
          <w:u w:val="single" w:color="auto"/>
          <w:color w:val="auto"/>
        </w:rPr>
        <w:t>Most Recent Balance Sheet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and, together with the Audited Financial Statements,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 w:firstLine="1281"/>
        <w:spacing w:after="0" w:line="254" w:lineRule="auto"/>
        <w:rPr>
          <w:sz w:val="20"/>
          <w:szCs w:val="20"/>
          <w:color w:val="auto"/>
        </w:rPr>
      </w:pPr>
      <w:r>
        <w:rPr>
          <w:rFonts w:ascii="Times New Roman" w:cs="Times New Roman" w:eastAsia="Times New Roman" w:hAnsi="Times New Roman"/>
          <w:sz w:val="18"/>
          <w:szCs w:val="18"/>
          <w:color w:val="auto"/>
        </w:rPr>
        <w:t>(b)             The Financial Statements present fairly, in all material respects, the financial position, cash flows and results of operations of the Company as of the dates and for the periods indicated in such Financial Statements in conformity with GAAP consistently applied in all material respects (except in the case of the Interim Financial Statements, which omit footnotes and other presentation items and normal and recurring year-end adjustments, in each case, the impact of which is not material, individually or in the aggregate) and were derived from, and accurately reflect in all material respects, the books and records of the Company.</w:t>
      </w:r>
    </w:p>
    <w:p>
      <w:pPr>
        <w:spacing w:after="0" w:line="186" w:lineRule="exact"/>
        <w:rPr>
          <w:sz w:val="20"/>
          <w:szCs w:val="20"/>
          <w:color w:val="auto"/>
        </w:rPr>
      </w:pPr>
    </w:p>
    <w:p>
      <w:pPr>
        <w:ind w:firstLine="1281"/>
        <w:spacing w:after="0" w:line="267" w:lineRule="auto"/>
        <w:rPr>
          <w:sz w:val="20"/>
          <w:szCs w:val="20"/>
          <w:color w:val="auto"/>
        </w:rPr>
      </w:pPr>
      <w:r>
        <w:rPr>
          <w:rFonts w:ascii="Times New Roman" w:cs="Times New Roman" w:eastAsia="Times New Roman" w:hAnsi="Times New Roman"/>
          <w:sz w:val="17"/>
          <w:szCs w:val="17"/>
          <w:color w:val="auto"/>
        </w:rPr>
        <w:t>(c)             The books of account and other financial records of the Company have been kept accurately in all material respects, the transactions entered therein represent bona fide transactions, and the revenues, expenses, assets and liabilities of the Company have been properly recorded therein in all material respects. There has been no change in the accounting methods or practices of the Company since the date of the Most Recent Balance Sheet. The Company has established and maintains a system of internal accounting controls which is intended to provide, in all material respects, reasonable assurance:</w:t>
      </w:r>
    </w:p>
    <w:p>
      <w:pPr>
        <w:spacing w:after="0" w:line="3" w:lineRule="exact"/>
        <w:rPr>
          <w:sz w:val="20"/>
          <w:szCs w:val="20"/>
          <w:color w:val="auto"/>
        </w:rPr>
      </w:pPr>
    </w:p>
    <w:p>
      <w:pPr>
        <w:ind w:right="20" w:firstLine="7"/>
        <w:spacing w:after="0" w:line="264" w:lineRule="auto"/>
        <w:tabs>
          <w:tab w:leader="none" w:pos="21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transactions, receipts and expenditures of the Company are being executed and made only in accordance with appropriate authorizations of management and in all material respects in accordance with applicable Law, (ii) that transactions are recorded as necessary to permit preparation of financial statements in conformity with GAAP and to maintain accountability for assets, (iii) regarding prevention or timely detection of unauthorized acquisition, use or disposition of the assets of the Company, (iv) that the amount recorded for assets on the books and records of the Company is compared with the existing assets at reasonable intervals and appropriate action is taken with respect to any difference, and (v) that accounts, notes and other receivables and inventory are recorded accurately. Since the date of the Most Recent Balance Sheet, neither the Company nor any of its officers, directors or employees has received any written complaint, allegation, assertion or claim regarding the accounting or auditing practices, procedures, methodologies or methods of the Company or its internal accounting controls (including any notification of any “significant deficiency” or “material weakness”), including any written complaint, allegation, assertion or claim that the Company or any of its officers, directors or employees has engaged in questionable accounting or auditing practices.</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46" w:name="page47"/>
    <w:bookmarkEnd w:id="46"/>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(d)            All accounts payable of the Company, whether reflected on the Financial Statements or subsequently created, are valid payables that have arisen from bona fide transactions of the Company. Since the date of the Most Recent Balance Sheet, the Company has paid its accounts payable in the ordinary course of business.</w:t>
      </w:r>
    </w:p>
    <w:p>
      <w:pPr>
        <w:spacing w:after="0" w:line="176" w:lineRule="exact"/>
        <w:rPr>
          <w:sz w:val="20"/>
          <w:szCs w:val="20"/>
          <w:color w:val="auto"/>
        </w:rPr>
      </w:pPr>
    </w:p>
    <w:p>
      <w:pPr>
        <w:jc w:val="both"/>
        <w:ind w:right="20" w:firstLine="1281"/>
        <w:spacing w:after="0" w:line="273" w:lineRule="auto"/>
        <w:rPr>
          <w:sz w:val="20"/>
          <w:szCs w:val="20"/>
          <w:color w:val="auto"/>
        </w:rPr>
      </w:pPr>
      <w:r>
        <w:rPr>
          <w:rFonts w:ascii="Times New Roman" w:cs="Times New Roman" w:eastAsia="Times New Roman" w:hAnsi="Times New Roman"/>
          <w:sz w:val="17"/>
          <w:szCs w:val="17"/>
          <w:color w:val="auto"/>
        </w:rPr>
        <w:t>(e)             Except for any inventory that is subject to a reserve for obsolete or unmarketable inventory shown on the Most Recent Balance Sheet and except for inventory that has become obsolete or unmarketable in the ordinary course of business since the date of the Most Recent Balance Sheet:</w:t>
      </w:r>
    </w:p>
    <w:p>
      <w:pPr>
        <w:spacing w:after="0" w:line="1" w:lineRule="exact"/>
        <w:rPr>
          <w:sz w:val="20"/>
          <w:szCs w:val="20"/>
          <w:color w:val="auto"/>
        </w:rPr>
      </w:pPr>
    </w:p>
    <w:p>
      <w:pPr>
        <w:ind w:right="100" w:firstLine="7"/>
        <w:spacing w:after="0" w:line="251" w:lineRule="auto"/>
        <w:tabs>
          <w:tab w:leader="none" w:pos="2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 of the Company is saleable, usable and merchantable in all material respects and conforms in all material respects with any applicable contractual commitments and requirements of any Governmental Authority and (ii) all such inventory has been accumulated for use or sale and is of quality adequate to satisfy existing Contracts, purchase orders and sales of the Company.</w:t>
      </w:r>
    </w:p>
    <w:p>
      <w:pPr>
        <w:spacing w:after="0" w:line="186" w:lineRule="exact"/>
        <w:rPr>
          <w:sz w:val="20"/>
          <w:szCs w:val="20"/>
          <w:color w:val="auto"/>
        </w:rPr>
      </w:pPr>
    </w:p>
    <w:p>
      <w:pPr>
        <w:ind w:right="400" w:firstLine="1281"/>
        <w:spacing w:after="0" w:line="26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Schedule 5.07(f)</w:t>
      </w:r>
      <w:r>
        <w:rPr>
          <w:rFonts w:ascii="Times New Roman" w:cs="Times New Roman" w:eastAsia="Times New Roman" w:hAnsi="Times New Roman"/>
          <w:sz w:val="18"/>
          <w:szCs w:val="18"/>
          <w:color w:val="auto"/>
        </w:rPr>
        <w:t xml:space="preserve"> sets forth a list of all Indebtedness for borrowed money of the Company outstanding as of the date of this Agreement, including the principal amount of such Indebtedness for borrowed money, the outstanding balance as of the date of this Agreement, and the debtor and the creditor thereof.</w:t>
      </w:r>
    </w:p>
    <w:p>
      <w:pPr>
        <w:spacing w:after="0" w:line="176" w:lineRule="exact"/>
        <w:rPr>
          <w:sz w:val="20"/>
          <w:szCs w:val="20"/>
          <w:color w:val="auto"/>
        </w:rPr>
      </w:pPr>
    </w:p>
    <w:p>
      <w:pPr>
        <w:ind w:right="160" w:firstLine="640"/>
        <w:spacing w:after="0" w:line="269" w:lineRule="auto"/>
        <w:rPr>
          <w:sz w:val="20"/>
          <w:szCs w:val="20"/>
          <w:color w:val="auto"/>
        </w:rPr>
      </w:pPr>
      <w:r>
        <w:rPr>
          <w:rFonts w:ascii="Times New Roman" w:cs="Times New Roman" w:eastAsia="Times New Roman" w:hAnsi="Times New Roman"/>
          <w:sz w:val="17"/>
          <w:szCs w:val="17"/>
          <w:color w:val="auto"/>
        </w:rPr>
        <w:t>Section 5.08          </w:t>
      </w:r>
      <w:r>
        <w:rPr>
          <w:rFonts w:ascii="Times New Roman" w:cs="Times New Roman" w:eastAsia="Times New Roman" w:hAnsi="Times New Roman"/>
          <w:sz w:val="17"/>
          <w:szCs w:val="17"/>
          <w:u w:val="single" w:color="auto"/>
          <w:color w:val="auto"/>
        </w:rPr>
        <w:t>  Undisclosed Liabilities</w:t>
      </w:r>
      <w:r>
        <w:rPr>
          <w:rFonts w:ascii="Times New Roman" w:cs="Times New Roman" w:eastAsia="Times New Roman" w:hAnsi="Times New Roman"/>
          <w:sz w:val="17"/>
          <w:szCs w:val="17"/>
          <w:color w:val="auto"/>
        </w:rPr>
        <w:t>. As of the date of this Agreement, the Company has no liability, debt or obligation, whether accrued, contingent, absolute, determined, determinable or otherwise, required to be reflected or reserved for on the liability column of a balance sheet prepared in accordance with GAAP, except for liabilities, debts or obligations (a) reflected or reserved for in the Financial Statements or disclosed in any notes thereto,</w:t>
      </w:r>
    </w:p>
    <w:p>
      <w:pPr>
        <w:spacing w:after="0" w:line="2" w:lineRule="exact"/>
        <w:rPr>
          <w:sz w:val="20"/>
          <w:szCs w:val="20"/>
          <w:color w:val="auto"/>
        </w:rPr>
      </w:pPr>
    </w:p>
    <w:p>
      <w:pPr>
        <w:ind w:right="80" w:firstLine="7"/>
        <w:spacing w:after="0" w:line="249" w:lineRule="auto"/>
        <w:tabs>
          <w:tab w:leader="none" w:pos="2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have arisen since the date of the Most Recent Balance Sheet in the ordinary course of business and consistent with the past practice of the Company, including arising under performance of obligations of the Company under Contracts binding upon the Company (none of which is a liability for breach of contract, breach of warranty, tort, infringement, or violation of Law or a claim or lawsuit or an environmental liability), (c) arising under this Agreement and/or the performance by the Company of its obligations hereunder, including transaction expenses, (d) that will be discharged or paid off prior to Closing or (e) disclosed in the Schedules (including an express reference to this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60" w:firstLine="640"/>
        <w:spacing w:after="0" w:line="252" w:lineRule="auto"/>
        <w:rPr>
          <w:sz w:val="20"/>
          <w:szCs w:val="20"/>
          <w:color w:val="auto"/>
        </w:rPr>
      </w:pPr>
      <w:r>
        <w:rPr>
          <w:rFonts w:ascii="Times New Roman" w:cs="Times New Roman" w:eastAsia="Times New Roman" w:hAnsi="Times New Roman"/>
          <w:sz w:val="18"/>
          <w:szCs w:val="18"/>
          <w:color w:val="auto"/>
        </w:rPr>
        <w:t>Section 5.09          </w:t>
      </w:r>
      <w:r>
        <w:rPr>
          <w:rFonts w:ascii="Times New Roman" w:cs="Times New Roman" w:eastAsia="Times New Roman" w:hAnsi="Times New Roman"/>
          <w:sz w:val="18"/>
          <w:szCs w:val="18"/>
          <w:u w:val="single" w:color="auto"/>
          <w:color w:val="auto"/>
        </w:rPr>
        <w:t>  Litigation and Proceedings</w:t>
      </w:r>
      <w:r>
        <w:rPr>
          <w:rFonts w:ascii="Times New Roman" w:cs="Times New Roman" w:eastAsia="Times New Roman" w:hAnsi="Times New Roman"/>
          <w:sz w:val="18"/>
          <w:szCs w:val="18"/>
          <w:color w:val="auto"/>
        </w:rPr>
        <w:t>. Except as set forth on Schedule 5.09, since January 1, 2019, there has been no, pending or, to the knowledge of the Company, threatened Action by, against or affecting the Company or any of its properties, rights or assets that would reasonably be expected to be, individually or in the aggregate, material to the Company. There is no, and since January 1, 2019 there has been no, Governmental Order imposed upon or, to the knowledge of the Company, threatened against or affecting the Company or any of its properties, rights or assets that would reasonably be expected to be, individually or in the aggregate, material to the Company. The Company is not a party to a settlement, conciliation or similar agreement regarding any of the matters set forth in the two preceding sentences that contains any ongoing obligations, restrictions or liabilities (of any nature) that are material to the Company.</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7" w:name="page48"/>
    <w:bookmarkEnd w:id="47"/>
    <w:p>
      <w:pPr>
        <w:ind w:left="640"/>
        <w:spacing w:after="0"/>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1281"/>
        <w:spacing w:after="0" w:line="249" w:lineRule="auto"/>
        <w:rPr>
          <w:sz w:val="20"/>
          <w:szCs w:val="20"/>
          <w:color w:val="auto"/>
        </w:rPr>
      </w:pPr>
      <w:r>
        <w:rPr>
          <w:rFonts w:ascii="Times New Roman" w:cs="Times New Roman" w:eastAsia="Times New Roman" w:hAnsi="Times New Roman"/>
          <w:sz w:val="18"/>
          <w:szCs w:val="18"/>
          <w:color w:val="auto"/>
        </w:rPr>
        <w:t>(a)             Except where the failure to be, or to have been, in compliance with such Laws would not, individually or in the aggregate, be material to the Company, the Company is, and since January 1, 2019 has been, in compliance with all applicable Laws and Governmental Orders. The Company holds, and since January 1, 2019 has held, all licenses issued by a Governmental Authority, approvals, clearances, concessions, exemptions, qualifications, accreditations, consents, registrations, franchises, certificates and permits, including but not limited to Healthcare Permits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necessary for the lawful conduct of the business of the Company, except where the failure to so hold would not be reasonably likely, individually or in the aggregate, to result in material liability to the Company. Except as set forth on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from January 1, 2019, to the knowledge of the Company, the Company has not received any written notice of any material violations of applicable Laws, Governmental Orders or Permits (other than allegations asserted by providers in connection with requests for claims adjustments by such providers in the ordinary course of business), and to the knowledge of the Company, no charge, claim, assertion or Action of any material violation of any Law, Governmental Order or material Permit by the Company is currently threatened, against the Company (other than allegations asserted by providers in connection with requests for claims adjustments by such providers in the ordinary course of business). To the knowledge of the Company, no material investigation or review by any Governmental Authority with respect to the Company is pending, or threatened, and no such investigations have been conducted by any Governmental Authority since January 1, 2019, other than those the outcome of which would not be reasonably likely, individually or in the aggregate, to result in material liability to the Company.</w:t>
      </w:r>
    </w:p>
    <w:p>
      <w:pPr>
        <w:spacing w:after="0" w:line="197" w:lineRule="exact"/>
        <w:rPr>
          <w:sz w:val="20"/>
          <w:szCs w:val="20"/>
          <w:color w:val="auto"/>
        </w:rPr>
      </w:pPr>
    </w:p>
    <w:p>
      <w:pPr>
        <w:ind w:right="120" w:firstLine="1281"/>
        <w:spacing w:after="0" w:line="257" w:lineRule="auto"/>
        <w:rPr>
          <w:sz w:val="20"/>
          <w:szCs w:val="20"/>
          <w:color w:val="auto"/>
        </w:rPr>
      </w:pPr>
      <w:r>
        <w:rPr>
          <w:rFonts w:ascii="Times New Roman" w:cs="Times New Roman" w:eastAsia="Times New Roman" w:hAnsi="Times New Roman"/>
          <w:sz w:val="18"/>
          <w:szCs w:val="18"/>
          <w:color w:val="auto"/>
        </w:rPr>
        <w:t>(b)            Neither the Company nor any of its respective representatives, has in violation of Anti-Corruption Laws offered, provided, promised, or authorized the provision of any contribution, gift, entertainment, expense relating to political activity, or any other money, property, or thing of value, directly or indirectly, to any Government Official to influence official action or to secure an improper advantage, or to encourage the recipient to breach a duty of good faith or loyalty or the policies of his/her employer.</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(c)             Neither the Company nor any of its representatives acting on behalf of the Company, is currently, or has been in the past five years:</w:t>
      </w:r>
    </w:p>
    <w:p>
      <w:pPr>
        <w:spacing w:after="0" w:line="37" w:lineRule="exact"/>
        <w:rPr>
          <w:sz w:val="20"/>
          <w:szCs w:val="20"/>
          <w:color w:val="auto"/>
        </w:rPr>
      </w:pPr>
    </w:p>
    <w:p>
      <w:pPr>
        <w:ind w:firstLine="7"/>
        <w:spacing w:after="0" w:line="249" w:lineRule="auto"/>
        <w:tabs>
          <w:tab w:leader="none" w:pos="21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Sanctioned Person, (ii) organized, resident or located in a Sanctioned Country, (iii) engaging in any dealings or transactions with any Sanctioned Person or in any Sanctioned Country while acting on behalf of the Company, or (iv) otherwise in violation of Trade Controls or Anti-Corruption Laws. In the past five years, the Company has not received from any Governmental Authority or any other Person any written notice, inquiry, or internal or external allegation, or conducted any internal investigation or audit, in each case concerning any actual violation or wrongdoing related to Trade Controls or Anti-Corruption Laws.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Contracts; No Defaults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1281"/>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5.11(a)</w:t>
      </w:r>
      <w:r>
        <w:rPr>
          <w:rFonts w:ascii="Times New Roman" w:cs="Times New Roman" w:eastAsia="Times New Roman" w:hAnsi="Times New Roman"/>
          <w:sz w:val="18"/>
          <w:szCs w:val="18"/>
          <w:color w:val="auto"/>
        </w:rPr>
        <w:t xml:space="preserve"> contains a correct and complete listing of all Contracts (other than purchase orders, Company Benefit Plans and Standard Contracts) described in clauses (i) through (xvii) of this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to which, as of the date of this Agreement, the Company is a party (together with all material amendments, waivers or other changes thereto) (collectively,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True, correct and complete copies of the Material Contracts have been delivered to or made available to Acquiror or its agents or Representatives.</w:t>
      </w:r>
    </w:p>
    <w:p>
      <w:pPr>
        <w:spacing w:after="0" w:line="181" w:lineRule="exact"/>
        <w:rPr>
          <w:sz w:val="20"/>
          <w:szCs w:val="20"/>
          <w:color w:val="auto"/>
        </w:rPr>
      </w:pPr>
    </w:p>
    <w:p>
      <w:pPr>
        <w:ind w:left="640" w:firstLine="1281"/>
        <w:spacing w:after="0" w:line="262" w:lineRule="auto"/>
        <w:rPr>
          <w:sz w:val="20"/>
          <w:szCs w:val="20"/>
          <w:color w:val="auto"/>
        </w:rPr>
      </w:pPr>
      <w:r>
        <w:rPr>
          <w:rFonts w:ascii="Times New Roman" w:cs="Times New Roman" w:eastAsia="Times New Roman" w:hAnsi="Times New Roman"/>
          <w:sz w:val="18"/>
          <w:szCs w:val="18"/>
          <w:color w:val="auto"/>
        </w:rPr>
        <w:t>(i)              Each Contract that involved, or which the Company reasonably anticipates will involve, aggregate payments or consideration furnished (x) by the Company of more than $250,000, or (y) to the Company of more than $500,000, in each case, in the calendar year ended December 31, 2021 or any subsequent calendar year (excluding Contracts with Company Service Providers);</w:t>
      </w:r>
    </w:p>
    <w:p>
      <w:pPr>
        <w:spacing w:after="0" w:line="176" w:lineRule="exact"/>
        <w:rPr>
          <w:sz w:val="20"/>
          <w:szCs w:val="20"/>
          <w:color w:val="auto"/>
        </w:rPr>
      </w:pPr>
    </w:p>
    <w:p>
      <w:pPr>
        <w:ind w:left="640" w:firstLine="1281"/>
        <w:spacing w:after="0" w:line="254" w:lineRule="auto"/>
        <w:rPr>
          <w:sz w:val="20"/>
          <w:szCs w:val="20"/>
          <w:color w:val="auto"/>
        </w:rPr>
      </w:pPr>
      <w:r>
        <w:rPr>
          <w:rFonts w:ascii="Times New Roman" w:cs="Times New Roman" w:eastAsia="Times New Roman" w:hAnsi="Times New Roman"/>
          <w:sz w:val="18"/>
          <w:szCs w:val="18"/>
          <w:color w:val="auto"/>
        </w:rPr>
        <w:t>(ii)             Each Contract that is a definitive purchase and sale or similar agreement for the acquisition of any Person or the disposition of any material assets of the Company since January 1, 2019 (other than sales of assets or inventory of the Company in the ordinary course of business), in each case, involving payments in excess of $250,000 other than Contracts in which the applicable acquisition or disposition has been consummated and there are no material obligations ongoing (other than indemnification obligations under which there are no pending claims or other provisions that customarily survive such performance);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8" w:name="page49"/>
    <w:bookmarkEnd w:id="48"/>
    <w:p>
      <w:pPr>
        <w:ind w:right="80" w:firstLine="1281"/>
        <w:spacing w:after="0" w:line="257" w:lineRule="auto"/>
        <w:rPr>
          <w:sz w:val="20"/>
          <w:szCs w:val="20"/>
          <w:color w:val="auto"/>
        </w:rPr>
      </w:pPr>
      <w:r>
        <w:rPr>
          <w:rFonts w:ascii="Times New Roman" w:cs="Times New Roman" w:eastAsia="Times New Roman" w:hAnsi="Times New Roman"/>
          <w:sz w:val="18"/>
          <w:szCs w:val="18"/>
          <w:color w:val="auto"/>
        </w:rPr>
        <w:t>(iii)            Each lease, rental or occupancy agreement, license, installment and conditional sale agreement and each other Contract with outstanding obligations that (x) provides for the ownership of, leasing of, title to, use of, or any leasehold or other interest in any real or tangible personal property and (y) involves aggregate payments in excess of $250,000 in any calendar year, other than sales or purchase agreements in the ordinary course of business and sales of obsolete equipment;</w:t>
      </w:r>
    </w:p>
    <w:p>
      <w:pPr>
        <w:spacing w:after="0" w:line="181" w:lineRule="exact"/>
        <w:rPr>
          <w:sz w:val="20"/>
          <w:szCs w:val="20"/>
          <w:color w:val="auto"/>
        </w:rPr>
      </w:pPr>
    </w:p>
    <w:p>
      <w:pPr>
        <w:ind w:right="620" w:firstLine="1281"/>
        <w:spacing w:after="0" w:line="277" w:lineRule="auto"/>
        <w:rPr>
          <w:sz w:val="20"/>
          <w:szCs w:val="20"/>
          <w:color w:val="auto"/>
        </w:rPr>
      </w:pPr>
      <w:r>
        <w:rPr>
          <w:rFonts w:ascii="Times New Roman" w:cs="Times New Roman" w:eastAsia="Times New Roman" w:hAnsi="Times New Roman"/>
          <w:sz w:val="18"/>
          <w:szCs w:val="18"/>
          <w:color w:val="auto"/>
        </w:rPr>
        <w:t>(iv)            Each joint venture Contract, partnership agreement, limited liability company agreement or similar Contract that is material to the Company;</w:t>
      </w:r>
    </w:p>
    <w:p>
      <w:pPr>
        <w:spacing w:after="0" w:line="163" w:lineRule="exact"/>
        <w:rPr>
          <w:sz w:val="20"/>
          <w:szCs w:val="20"/>
          <w:color w:val="auto"/>
        </w:rPr>
      </w:pPr>
    </w:p>
    <w:p>
      <w:pPr>
        <w:ind w:right="720" w:firstLine="1281"/>
        <w:spacing w:after="0" w:line="277" w:lineRule="auto"/>
        <w:rPr>
          <w:sz w:val="20"/>
          <w:szCs w:val="20"/>
          <w:color w:val="auto"/>
        </w:rPr>
      </w:pPr>
      <w:r>
        <w:rPr>
          <w:rFonts w:ascii="Times New Roman" w:cs="Times New Roman" w:eastAsia="Times New Roman" w:hAnsi="Times New Roman"/>
          <w:sz w:val="18"/>
          <w:szCs w:val="18"/>
          <w:color w:val="auto"/>
        </w:rPr>
        <w:t>(v)             Each Contract requiring capital expenditures after the date of this Agreement in an amount in excess of $250,000, individually or in the aggregate;</w:t>
      </w:r>
    </w:p>
    <w:p>
      <w:pPr>
        <w:spacing w:after="0" w:line="163" w:lineRule="exact"/>
        <w:rPr>
          <w:sz w:val="20"/>
          <w:szCs w:val="20"/>
          <w:color w:val="auto"/>
        </w:rPr>
      </w:pPr>
    </w:p>
    <w:p>
      <w:pPr>
        <w:ind w:right="60" w:firstLine="1281"/>
        <w:spacing w:after="0" w:line="269" w:lineRule="auto"/>
        <w:rPr>
          <w:sz w:val="20"/>
          <w:szCs w:val="20"/>
          <w:color w:val="auto"/>
        </w:rPr>
      </w:pPr>
      <w:r>
        <w:rPr>
          <w:rFonts w:ascii="Times New Roman" w:cs="Times New Roman" w:eastAsia="Times New Roman" w:hAnsi="Times New Roman"/>
          <w:sz w:val="17"/>
          <w:szCs w:val="17"/>
          <w:color w:val="auto"/>
        </w:rPr>
        <w:t>(vi)            Each Contract that (A) limits or purports to limit, in any respect, the freedom of the Company to engage or compete in any line of business or with any Person or in any geographical area or that would so limit or purport to limit, in any respect, the operations of Acquiror or any of its Affiliates after the Closing, (B) contains any exclusivity, “most favored nation” or similar provisions, obligations or restrictions or</w:t>
      </w:r>
    </w:p>
    <w:p>
      <w:pPr>
        <w:spacing w:after="0" w:line="2" w:lineRule="exact"/>
        <w:rPr>
          <w:sz w:val="20"/>
          <w:szCs w:val="20"/>
          <w:color w:val="auto"/>
        </w:rPr>
      </w:pPr>
    </w:p>
    <w:p>
      <w:pPr>
        <w:ind w:right="20" w:firstLine="7"/>
        <w:spacing w:after="0" w:line="251" w:lineRule="auto"/>
        <w:tabs>
          <w:tab w:leader="none" w:pos="2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any other provisions restricting or purporting to restrict the ability of the Company to sell, manufacture, develop, commercialize, test or research products, directly or indirectly through third parties, or to solicit any customer in any material respect or that would so limit or purports to limit, in any material respect, Acquiror or any of its Affiliates after the Closing;</w:t>
      </w:r>
    </w:p>
    <w:p>
      <w:pPr>
        <w:spacing w:after="0" w:line="186" w:lineRule="exact"/>
        <w:rPr>
          <w:sz w:val="20"/>
          <w:szCs w:val="20"/>
          <w:color w:val="auto"/>
        </w:rPr>
      </w:pPr>
    </w:p>
    <w:p>
      <w:pPr>
        <w:ind w:firstLine="1281"/>
        <w:spacing w:after="0" w:line="250" w:lineRule="auto"/>
        <w:rPr>
          <w:sz w:val="20"/>
          <w:szCs w:val="20"/>
          <w:color w:val="auto"/>
        </w:rPr>
      </w:pPr>
      <w:r>
        <w:rPr>
          <w:rFonts w:ascii="Times New Roman" w:cs="Times New Roman" w:eastAsia="Times New Roman" w:hAnsi="Times New Roman"/>
          <w:sz w:val="18"/>
          <w:szCs w:val="18"/>
          <w:color w:val="auto"/>
        </w:rPr>
        <w:t>(vii)           Each (A) license agreement relating to the use of any (y) third party Intellectual Property by the Company in excess of $150,000, except for licenses for generally available, unmodified, off-the-shelf software for an aggregate fee, royalty or other consideration not in excess of $150,000 or (z) Owned Intellectual Property or Jointly-Owned Intellectual Property by a third party, except for non-exclusive licenses granted to customers in the ordinary course of business, (B) Contract relating to the acquisition, divestiture, or development of Owned Intellectual Property or Jointly-Owned Intellectual Property (other than (i) Contracts with employees and contractors on the Company’s standard forms provided to Acquiror under which such Intellectual Property is assigned to the Company and (ii) such Contracts that have been consummated with no material obligations remaining to be performed or material liabilities continuing after the Agreement Date, including indemnification obligations under which there are no pending claims or other provisions that customarily survive such performance), or (C) Contracts entered into to settle or resolve any Intellectual Property-related dispute, including settlement agreements, covenants not to sue, consent agreements, and co-existence agreements that are currently in effect and have ongoing material obligations;</w:t>
      </w:r>
    </w:p>
    <w:p>
      <w:pPr>
        <w:spacing w:after="0" w:line="1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(viii)          Each employee collective bargaining agreement or other Contract with any labor union, works council or other labor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w:t>
      </w:r>
    </w:p>
    <w:p>
      <w:pPr>
        <w:spacing w:after="0" w:line="201" w:lineRule="exact"/>
        <w:rPr>
          <w:sz w:val="20"/>
          <w:szCs w:val="20"/>
          <w:color w:val="auto"/>
        </w:rPr>
      </w:pPr>
    </w:p>
    <w:p>
      <w:pPr>
        <w:ind w:right="20" w:firstLine="1281"/>
        <w:spacing w:after="0" w:line="277" w:lineRule="auto"/>
        <w:rPr>
          <w:sz w:val="20"/>
          <w:szCs w:val="20"/>
          <w:color w:val="auto"/>
        </w:rPr>
      </w:pPr>
      <w:r>
        <w:rPr>
          <w:rFonts w:ascii="Times New Roman" w:cs="Times New Roman" w:eastAsia="Times New Roman" w:hAnsi="Times New Roman"/>
          <w:sz w:val="18"/>
          <w:szCs w:val="18"/>
          <w:color w:val="auto"/>
        </w:rPr>
        <w:t>(ix)            Each sales commission or brokerage Contract that involves annual payments in excess of $150,000 in the fiscal year ended December 31, 2022 or is not cancellable on 30 calendar days’ notice without payment or penalty;</w:t>
      </w:r>
    </w:p>
    <w:p>
      <w:pPr>
        <w:spacing w:after="0" w:line="37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49" w:name="page50"/>
    <w:bookmarkEnd w:id="49"/>
    <w:p>
      <w:pPr>
        <w:ind w:left="1920"/>
        <w:spacing w:after="0"/>
        <w:rPr>
          <w:sz w:val="20"/>
          <w:szCs w:val="20"/>
          <w:color w:val="auto"/>
        </w:rPr>
      </w:pPr>
      <w:r>
        <w:rPr>
          <w:rFonts w:ascii="Times New Roman" w:cs="Times New Roman" w:eastAsia="Times New Roman" w:hAnsi="Times New Roman"/>
          <w:sz w:val="18"/>
          <w:szCs w:val="18"/>
          <w:color w:val="auto"/>
        </w:rPr>
        <w:t>(x)              Each Government Contract;</w:t>
      </w:r>
    </w:p>
    <w:p>
      <w:pPr>
        <w:spacing w:after="0" w:line="220" w:lineRule="exact"/>
        <w:rPr>
          <w:sz w:val="20"/>
          <w:szCs w:val="20"/>
          <w:color w:val="auto"/>
        </w:rPr>
      </w:pPr>
    </w:p>
    <w:p>
      <w:pPr>
        <w:ind w:left="640" w:firstLine="1281"/>
        <w:spacing w:after="0" w:line="277" w:lineRule="auto"/>
        <w:rPr>
          <w:sz w:val="20"/>
          <w:szCs w:val="20"/>
          <w:color w:val="auto"/>
        </w:rPr>
      </w:pPr>
      <w:r>
        <w:rPr>
          <w:rFonts w:ascii="Times New Roman" w:cs="Times New Roman" w:eastAsia="Times New Roman" w:hAnsi="Times New Roman"/>
          <w:sz w:val="18"/>
          <w:szCs w:val="18"/>
          <w:color w:val="auto"/>
        </w:rPr>
        <w:t>(xi)             Each mortgage, indenture, note, installment obligation or other instrument, agreement or arrangement for or relating to any borrowing of money by or from the Company and by or to any officer or director of the Company;</w:t>
      </w:r>
    </w:p>
    <w:p>
      <w:pPr>
        <w:spacing w:after="0" w:line="16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(xii)            Each Contract that includes any Affiliate of the Company (as a counterparty (excluding Ancillary Related Party</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Arrangements);</w:t>
      </w:r>
    </w:p>
    <w:p>
      <w:pPr>
        <w:spacing w:after="0" w:line="20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(xiii)           Each Contract that is a currency or interest hedging arrangement;</w:t>
      </w:r>
    </w:p>
    <w:p>
      <w:pPr>
        <w:spacing w:after="0" w:line="220" w:lineRule="exact"/>
        <w:rPr>
          <w:sz w:val="20"/>
          <w:szCs w:val="20"/>
          <w:color w:val="auto"/>
        </w:rPr>
      </w:pPr>
    </w:p>
    <w:p>
      <w:pPr>
        <w:ind w:left="640" w:right="60" w:firstLine="1281"/>
        <w:spacing w:after="0" w:line="254" w:lineRule="auto"/>
        <w:rPr>
          <w:sz w:val="20"/>
          <w:szCs w:val="20"/>
          <w:color w:val="auto"/>
        </w:rPr>
      </w:pPr>
      <w:r>
        <w:rPr>
          <w:rFonts w:ascii="Times New Roman" w:cs="Times New Roman" w:eastAsia="Times New Roman" w:hAnsi="Times New Roman"/>
          <w:sz w:val="18"/>
          <w:szCs w:val="18"/>
          <w:color w:val="auto"/>
        </w:rPr>
        <w:t>(xiv)           Each Contract with any Person (A) pursuant to which the Company (or Acquiror or any of its Affiliates after the Closing) may be required to pay milestones, royalties or other contingent payments based on any research, testing, development, regulatory filings or approval, sale, distribution, commercial manufacture or other similar occurrences, developments, activities or events or (B) under which the Company grants to any Person any right of first refusal, right of first negotiation, option to purchase, option to license or any other similar rights with respect to any Intellectual Property;</w:t>
      </w:r>
    </w:p>
    <w:p>
      <w:pPr>
        <w:spacing w:after="0" w:line="186" w:lineRule="exact"/>
        <w:rPr>
          <w:sz w:val="20"/>
          <w:szCs w:val="20"/>
          <w:color w:val="auto"/>
        </w:rPr>
      </w:pPr>
    </w:p>
    <w:p>
      <w:pPr>
        <w:jc w:val="both"/>
        <w:ind w:left="640" w:right="140" w:firstLine="1281"/>
        <w:spacing w:after="0" w:line="262" w:lineRule="auto"/>
        <w:rPr>
          <w:sz w:val="20"/>
          <w:szCs w:val="20"/>
          <w:color w:val="auto"/>
        </w:rPr>
      </w:pPr>
      <w:r>
        <w:rPr>
          <w:rFonts w:ascii="Times New Roman" w:cs="Times New Roman" w:eastAsia="Times New Roman" w:hAnsi="Times New Roman"/>
          <w:sz w:val="18"/>
          <w:szCs w:val="18"/>
          <w:color w:val="auto"/>
        </w:rPr>
        <w:t>(xv)            Each Contract (A) for the employment, engagement or services of any director, manager, officer, employee or individual independent contractor of the Company whose annual base compensation is in excess of $250,000 in the fiscal year ending December 31, 2022, or (B) providing for any change of control or severance payment;</w:t>
      </w:r>
    </w:p>
    <w:p>
      <w:pPr>
        <w:spacing w:after="0" w:line="176" w:lineRule="exact"/>
        <w:rPr>
          <w:sz w:val="20"/>
          <w:szCs w:val="20"/>
          <w:color w:val="auto"/>
        </w:rPr>
      </w:pPr>
    </w:p>
    <w:p>
      <w:pPr>
        <w:jc w:val="both"/>
        <w:ind w:left="640" w:right="40" w:firstLine="1281"/>
        <w:spacing w:after="0" w:line="262" w:lineRule="auto"/>
        <w:rPr>
          <w:sz w:val="20"/>
          <w:szCs w:val="20"/>
          <w:color w:val="auto"/>
        </w:rPr>
      </w:pPr>
      <w:r>
        <w:rPr>
          <w:rFonts w:ascii="Times New Roman" w:cs="Times New Roman" w:eastAsia="Times New Roman" w:hAnsi="Times New Roman"/>
          <w:sz w:val="18"/>
          <w:szCs w:val="18"/>
          <w:color w:val="auto"/>
        </w:rPr>
        <w:t>(xvi)           Each settlement, conciliation or similar Contract (A) the performance of which would be reasonably likely to involve any material payments after the date of this Agreement, (B) with a Governmental Authority, or (C) that imposes or is reasonably likely to impose, at any time in the future, any material, non-monetary obligations on the Company (or Acquiror or any of its Affiliates after the Closing); and</w:t>
      </w:r>
    </w:p>
    <w:p>
      <w:pPr>
        <w:spacing w:after="0" w:line="17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xml:space="preserve">(xvii)          Any commitment to enter into an agreement of the type described in clauses (i) through (xvi) of this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51" w:lineRule="auto"/>
        <w:rPr>
          <w:sz w:val="20"/>
          <w:szCs w:val="20"/>
          <w:color w:val="auto"/>
        </w:rPr>
      </w:pPr>
      <w:r>
        <w:rPr>
          <w:rFonts w:ascii="Times New Roman" w:cs="Times New Roman" w:eastAsia="Times New Roman" w:hAnsi="Times New Roman"/>
          <w:sz w:val="18"/>
          <w:szCs w:val="18"/>
          <w:color w:val="auto"/>
        </w:rPr>
        <w:t xml:space="preserve">(b)            All of the Contracts listed pursuant to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are (i) in full force and effect and (ii) represent the legal, valid and binding obligations of the Company party thereto and, to the knowledge of the Company, represent the legal, valid and binding obligations of the other parties thereto, in each case, subject to the Enforceability Exceptions, and (w) neither the Company, nor, to the knowledge of the Company, any other party thereto is or is alleged to be in material breach of or material default under any such Contract, (x) to the knowledge of the Company, the Company has not received any written claim or notice of material breach of or material default under any such Contract, (y) no event has occurred which individually or together with other events, would reasonably be expected to result in a material breach of or a material default under any such Contract (in each case, with or without notice or lapse of time or both) and (z) to the knowledge of the Company, no party to any such Contract that is a material customer of or material supplier to the Company has, within the past 12 months, canceled or terminated its business with (other than such termination due to fulfillment of its or the Company’s obligations under such Contract), or threatened in writing to cancel or terminate its business with, the Company.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Company Benefit Plans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1281"/>
        <w:spacing w:after="0" w:line="266"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Schedule 5.12(a)</w:t>
      </w:r>
      <w:r>
        <w:rPr>
          <w:rFonts w:ascii="Times New Roman" w:cs="Times New Roman" w:eastAsia="Times New Roman" w:hAnsi="Times New Roman"/>
          <w:sz w:val="17"/>
          <w:szCs w:val="17"/>
          <w:color w:val="auto"/>
        </w:rPr>
        <w:t xml:space="preserve"> sets forth a true and complete list of each material Company Benefit Plan as of the Agreement Date. For purposes of this Agreement, “</w:t>
      </w:r>
      <w:r>
        <w:rPr>
          <w:rFonts w:ascii="Times New Roman" w:cs="Times New Roman" w:eastAsia="Times New Roman" w:hAnsi="Times New Roman"/>
          <w:sz w:val="17"/>
          <w:szCs w:val="17"/>
          <w:u w:val="single" w:color="auto"/>
          <w:color w:val="auto"/>
        </w:rPr>
        <w:t>Company Benefit Plan</w:t>
      </w:r>
      <w:r>
        <w:rPr>
          <w:rFonts w:ascii="Times New Roman" w:cs="Times New Roman" w:eastAsia="Times New Roman" w:hAnsi="Times New Roman"/>
          <w:sz w:val="17"/>
          <w:szCs w:val="17"/>
          <w:color w:val="auto"/>
        </w:rPr>
        <w:t>” means any “employee benefit plan” as defined in Section 3(3) of the Employee Retirement Income Security Act of 1974, as amended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(including “multiemployer plans” as defined in Section 3(37) of ERISA), and any other stock purchase, stock option or other equity or equity based, termination, severance, employment, individual consulting, retention, transaction, change-in-control, fringe benefit, collective bargaining, bonus, incentive, deferred compensation, retirement, welfare benefit, employee loan and all other benefit or compensation plans, agreements, programs, policies or other arrangements, whether or not subject to ERISA, which are contributed to, required to be contributed to, sponsored by or maintained by the Company for the benefit of any current or former employee, officer, director, owner, service provider or consultant of the Company (the “</w:t>
      </w:r>
      <w:r>
        <w:rPr>
          <w:rFonts w:ascii="Times New Roman" w:cs="Times New Roman" w:eastAsia="Times New Roman" w:hAnsi="Times New Roman"/>
          <w:sz w:val="17"/>
          <w:szCs w:val="17"/>
          <w:u w:val="single" w:color="auto"/>
          <w:color w:val="auto"/>
        </w:rPr>
        <w:t>Company Employees</w:t>
      </w:r>
      <w:r>
        <w:rPr>
          <w:rFonts w:ascii="Times New Roman" w:cs="Times New Roman" w:eastAsia="Times New Roman" w:hAnsi="Times New Roman"/>
          <w:sz w:val="17"/>
          <w:szCs w:val="17"/>
          <w:color w:val="auto"/>
        </w:rPr>
        <w:t xml:space="preserve">”) (or any current or former dependent or beneficiary of a Company Employee), or under or with respect to which the Company has any current or contingent liability or obligation;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“Company Benefit Plan” does not include form option notices and notices made on such form, grants made on form option agreements, and at-will employment offer letters or agreements that do not include bonus, severance, equity compensation, change of control, retention and similar pay and benefit arrangements. As of the date hereof, the Company has no ERISA Affiliates (as defined below).</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            With respect to each Company Benefit Plan, the Company has delivered or made available to Acquiror true and correct copies of</w:t>
      </w:r>
    </w:p>
    <w:p>
      <w:pPr>
        <w:spacing w:after="0" w:line="25" w:lineRule="exact"/>
        <w:rPr>
          <w:sz w:val="20"/>
          <w:szCs w:val="20"/>
          <w:color w:val="auto"/>
        </w:rPr>
      </w:pPr>
    </w:p>
    <w:p>
      <w:pPr>
        <w:jc w:val="both"/>
        <w:ind w:right="440" w:firstLine="7"/>
        <w:spacing w:after="0" w:line="262" w:lineRule="auto"/>
        <w:tabs>
          <w:tab w:leader="none" w:pos="21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Benefit Plan and any trust agreement or other funding instrument relating to such plan, or if the plan is unwritten, a written summary thereof, (ii) the most recent summary plan description, if any, required under ERISA with respect to such Company Benefit Plan, and any summaries of material modifications, (iii) the most recent annual report on Form 5500 and all attachments with respect to such Company Benefit Plan (if applicable),</w:t>
      </w:r>
    </w:p>
    <w:p>
      <w:pPr>
        <w:ind w:left="300" w:hanging="293"/>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actuarial valuation (if applicable) relating to such Company Benefit Plan, (v) the most recent determination or opinion letter, if any,</w:t>
      </w:r>
    </w:p>
    <w:p>
      <w:pPr>
        <w:spacing w:after="0" w:line="6" w:lineRule="exact"/>
        <w:rPr>
          <w:rFonts w:ascii="Times New Roman" w:cs="Times New Roman" w:eastAsia="Times New Roman" w:hAnsi="Times New Roman"/>
          <w:sz w:val="18"/>
          <w:szCs w:val="18"/>
          <w:color w:val="auto"/>
        </w:rPr>
      </w:pPr>
    </w:p>
    <w:p>
      <w:pPr>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by the Internal Revenue Service with respect to any Company Benefit Plan, (vi) the coverage and nondiscrimination testing results (if applicable) for the three most recently completed plan years, and (vii) all non-ordinary course communications with any Governmental Authority.</w:t>
      </w:r>
    </w:p>
    <w:p>
      <w:pPr>
        <w:spacing w:after="0" w:line="182" w:lineRule="exact"/>
        <w:rPr>
          <w:sz w:val="20"/>
          <w:szCs w:val="20"/>
          <w:color w:val="auto"/>
        </w:rPr>
      </w:pPr>
    </w:p>
    <w:p>
      <w:pPr>
        <w:ind w:right="100" w:firstLine="1281"/>
        <w:spacing w:after="0" w:line="273" w:lineRule="auto"/>
        <w:rPr>
          <w:sz w:val="20"/>
          <w:szCs w:val="20"/>
          <w:color w:val="auto"/>
        </w:rPr>
      </w:pPr>
      <w:r>
        <w:rPr>
          <w:rFonts w:ascii="Times New Roman" w:cs="Times New Roman" w:eastAsia="Times New Roman" w:hAnsi="Times New Roman"/>
          <w:sz w:val="17"/>
          <w:szCs w:val="17"/>
          <w:color w:val="auto"/>
        </w:rPr>
        <w:t>(c)             Each Company Benefit Plan has been established, funded, maintained and administered, in form and operation, in material compliance with its terms and all applicable Laws, including ERISA and the Code, and all contributions and premium payments required to have been made with respect to any Company Benefit Plan have been timely made. There are no audits, investigations or Actions (other than routine claims for benefits) pending or threatened in writing with respect to any Company Benefit Plan. There have been no non-exempt “prohibited transactions” (as defined in Section 406 of ERISA or Code Section 4975) or breaches of fiduciary duty (as determined under ERISA) with respect to any Company Benefit Plan.</w:t>
      </w:r>
    </w:p>
    <w:p>
      <w:pPr>
        <w:spacing w:after="0" w:line="169" w:lineRule="exact"/>
        <w:rPr>
          <w:sz w:val="20"/>
          <w:szCs w:val="20"/>
          <w:color w:val="auto"/>
        </w:rPr>
      </w:pPr>
    </w:p>
    <w:p>
      <w:pPr>
        <w:ind w:firstLine="1281"/>
        <w:spacing w:after="0" w:line="277" w:lineRule="auto"/>
        <w:rPr>
          <w:sz w:val="20"/>
          <w:szCs w:val="20"/>
          <w:color w:val="auto"/>
        </w:rPr>
      </w:pPr>
      <w:r>
        <w:rPr>
          <w:rFonts w:ascii="Times New Roman" w:cs="Times New Roman" w:eastAsia="Times New Roman" w:hAnsi="Times New Roman"/>
          <w:sz w:val="17"/>
          <w:szCs w:val="17"/>
          <w:color w:val="auto"/>
        </w:rPr>
        <w:t>(d)             Each Company Benefit Plan which is intended to be qualified within the meaning of Code Section 401(a) is so qualified and (A) has received a current favorable determination letter as to its qualification or (B) has been established under a standardized master and prototype or volume submitter plan for which a current favorable Internal Revenue Service advisory letter or opinion letter has been obtained by the plan sponsor and is valid as to the adopting employer, and nothing has occurred, whether by action or failure to act, that could reasonably be expected to adversely affect such qualification.</w:t>
      </w:r>
    </w:p>
    <w:p>
      <w:pPr>
        <w:spacing w:after="0" w:line="165" w:lineRule="exact"/>
        <w:rPr>
          <w:sz w:val="20"/>
          <w:szCs w:val="20"/>
          <w:color w:val="auto"/>
        </w:rPr>
      </w:pPr>
    </w:p>
    <w:p>
      <w:pPr>
        <w:jc w:val="both"/>
        <w:ind w:right="100" w:firstLine="1281"/>
        <w:spacing w:after="0" w:line="257" w:lineRule="auto"/>
        <w:rPr>
          <w:sz w:val="20"/>
          <w:szCs w:val="20"/>
          <w:color w:val="auto"/>
        </w:rPr>
      </w:pPr>
      <w:r>
        <w:rPr>
          <w:rFonts w:ascii="Times New Roman" w:cs="Times New Roman" w:eastAsia="Times New Roman" w:hAnsi="Times New Roman"/>
          <w:sz w:val="18"/>
          <w:szCs w:val="18"/>
          <w:color w:val="auto"/>
        </w:rPr>
        <w:t>(e)             No event has occurred and no condition exists that would subject the Company, either directly or by reason of their affiliation with any member of their “Controlled Group” (defined as any organization which is a member of a controlled group of organizations within the meaning of Code Sections 414(b), (c), (m) or (o)), to any Tax, fine, lien, penalty, assessment or other liability imposed by ERISA, the Code or other applicable Law, including under Code Sections 4980B, 4980D, 4980H, 6721 and 6722.</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ind w:right="260" w:firstLine="1281"/>
        <w:spacing w:after="0" w:line="277" w:lineRule="auto"/>
        <w:rPr>
          <w:sz w:val="20"/>
          <w:szCs w:val="20"/>
          <w:color w:val="auto"/>
        </w:rPr>
      </w:pPr>
      <w:r>
        <w:rPr>
          <w:rFonts w:ascii="Times New Roman" w:cs="Times New Roman" w:eastAsia="Times New Roman" w:hAnsi="Times New Roman"/>
          <w:sz w:val="17"/>
          <w:szCs w:val="17"/>
          <w:color w:val="auto"/>
        </w:rPr>
        <w:t>(f)              None of the Company or any ERISA Affiliate (as defined below) has incurred any current or potential liability in respect of, or is obligated to provide any, post-employment, post-retirement or post-ownership health, medical or life insurance benefits for any current, former or retired employee, officer, director, owner or service provider of the Company or any ERISA Affiliate (or any current or former dependent or beneficiary thereof), except as required to avoid an excise tax under Code Section 4980B and for which the covered individual pays the full premium cost.</w:t>
      </w:r>
    </w:p>
    <w:p>
      <w:pPr>
        <w:spacing w:after="0" w:line="165" w:lineRule="exact"/>
        <w:rPr>
          <w:sz w:val="20"/>
          <w:szCs w:val="20"/>
          <w:color w:val="auto"/>
        </w:rPr>
      </w:pPr>
    </w:p>
    <w:p>
      <w:pPr>
        <w:ind w:firstLine="1281"/>
        <w:spacing w:after="0" w:line="267" w:lineRule="auto"/>
        <w:rPr>
          <w:sz w:val="20"/>
          <w:szCs w:val="20"/>
          <w:color w:val="auto"/>
        </w:rPr>
      </w:pPr>
      <w:r>
        <w:rPr>
          <w:rFonts w:ascii="Times New Roman" w:cs="Times New Roman" w:eastAsia="Times New Roman" w:hAnsi="Times New Roman"/>
          <w:sz w:val="17"/>
          <w:szCs w:val="17"/>
          <w:color w:val="auto"/>
        </w:rPr>
        <w:t>(g)             None of the Company or any ERISA Affiliate sponsored or was required to contribute to, at any point during the six-year period prior to the date hereof, and the Company has no current or contingent liability or obligation under or with respect to, any: (i) multiemployer pension plan (as defined in Section 3(37) of ERISA or Code Section 4001(a)(3)) (a “</w:t>
      </w:r>
      <w:r>
        <w:rPr>
          <w:rFonts w:ascii="Times New Roman" w:cs="Times New Roman" w:eastAsia="Times New Roman" w:hAnsi="Times New Roman"/>
          <w:sz w:val="17"/>
          <w:szCs w:val="17"/>
          <w:u w:val="single" w:color="auto"/>
          <w:color w:val="auto"/>
        </w:rPr>
        <w:t>Multiemployer Plan</w:t>
      </w:r>
      <w:r>
        <w:rPr>
          <w:rFonts w:ascii="Times New Roman" w:cs="Times New Roman" w:eastAsia="Times New Roman" w:hAnsi="Times New Roman"/>
          <w:sz w:val="17"/>
          <w:szCs w:val="17"/>
          <w:color w:val="auto"/>
        </w:rPr>
        <w:t>”) or other pension plan, in each case, that is subject to Section 302 or Title IV of ERISA or Code Section 412 or Code Section 4971; (ii) multiple employer welfare arrangement (as defined in Section 3(40) of ERISA); or</w:t>
      </w:r>
    </w:p>
    <w:p>
      <w:pPr>
        <w:spacing w:after="0" w:line="3" w:lineRule="exact"/>
        <w:rPr>
          <w:sz w:val="20"/>
          <w:szCs w:val="20"/>
          <w:color w:val="auto"/>
        </w:rPr>
      </w:pPr>
    </w:p>
    <w:p>
      <w:pPr>
        <w:ind w:right="220" w:firstLine="7"/>
        <w:spacing w:after="0" w:line="250" w:lineRule="auto"/>
        <w:tabs>
          <w:tab w:leader="none" w:pos="31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employer plan subject to Code Section 413(c). No circumstance or condition exists that would result in any obligation of the Company to pay money on account of any Multiemployer Plan or other pension plan that is subject to Title IV of ERISA and that was contributed to or required to be contributed to by an ERISA Affiliate. For purposes of this Agreement, “</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entity (whether or not incorporated) other than the Company that, is or at any relevant time was considered under common control and treated as one employer under Code Sections 414(b), (c), (m) or (o).</w:t>
      </w:r>
    </w:p>
    <w:p>
      <w:pPr>
        <w:spacing w:after="0" w:line="186" w:lineRule="exact"/>
        <w:rPr>
          <w:sz w:val="20"/>
          <w:szCs w:val="20"/>
          <w:color w:val="auto"/>
        </w:rPr>
      </w:pPr>
    </w:p>
    <w:p>
      <w:pPr>
        <w:ind w:right="20" w:firstLine="1281"/>
        <w:spacing w:after="0" w:line="269" w:lineRule="auto"/>
        <w:rPr>
          <w:sz w:val="20"/>
          <w:szCs w:val="20"/>
          <w:color w:val="auto"/>
        </w:rPr>
      </w:pPr>
      <w:r>
        <w:rPr>
          <w:rFonts w:ascii="Times New Roman" w:cs="Times New Roman" w:eastAsia="Times New Roman" w:hAnsi="Times New Roman"/>
          <w:sz w:val="17"/>
          <w:szCs w:val="17"/>
          <w:color w:val="auto"/>
        </w:rPr>
        <w:t xml:space="preserve">(h)             Except as set forth on </w:t>
      </w:r>
      <w:r>
        <w:rPr>
          <w:rFonts w:ascii="Times New Roman" w:cs="Times New Roman" w:eastAsia="Times New Roman" w:hAnsi="Times New Roman"/>
          <w:sz w:val="17"/>
          <w:szCs w:val="17"/>
          <w:u w:val="single" w:color="auto"/>
          <w:color w:val="auto"/>
        </w:rPr>
        <w:t>Schedule 5.12(h)</w:t>
      </w:r>
      <w:r>
        <w:rPr>
          <w:rFonts w:ascii="Times New Roman" w:cs="Times New Roman" w:eastAsia="Times New Roman" w:hAnsi="Times New Roman"/>
          <w:sz w:val="17"/>
          <w:szCs w:val="17"/>
          <w:color w:val="auto"/>
        </w:rPr>
        <w:t>, neither the execution and delivery of this Agreement by the Company nor the consummation of the Merger could reasonably be expected to, directly or indirectly (whether alone or in connection with any subsequent event(s)) (i) result in any compensation or benefit (including the forgiveness of any indebtedness) becoming due to any current or former Company Service Provider, (ii) result in the acceleration, vesting or creation of any rights of any current or former Company Service Provider to payments or benefits or increases in any payments or benefits (including any loan forgiveness) under any Company Benefit Plan or otherwise, (iii) result in severance pay or any increase in severance pay upon any termination of employment or engagement, (iv) cause the Company to transfer or set aside any assets to fund any benefits under any Company Benefit Plan or (v) limit or restrict the right to merge, amend, terminate or transfer the assets of any Company Benefit Plan on or following the Closing.</w:t>
      </w:r>
    </w:p>
    <w:p>
      <w:pPr>
        <w:spacing w:after="0" w:line="174" w:lineRule="exact"/>
        <w:rPr>
          <w:sz w:val="20"/>
          <w:szCs w:val="20"/>
          <w:color w:val="auto"/>
        </w:rPr>
      </w:pPr>
    </w:p>
    <w:p>
      <w:pPr>
        <w:jc w:val="both"/>
        <w:ind w:right="80" w:firstLine="1281"/>
        <w:spacing w:after="0" w:line="257" w:lineRule="auto"/>
        <w:rPr>
          <w:sz w:val="20"/>
          <w:szCs w:val="20"/>
          <w:color w:val="auto"/>
        </w:rPr>
      </w:pPr>
      <w:r>
        <w:rPr>
          <w:rFonts w:ascii="Times New Roman" w:cs="Times New Roman" w:eastAsia="Times New Roman" w:hAnsi="Times New Roman"/>
          <w:sz w:val="18"/>
          <w:szCs w:val="18"/>
          <w:color w:val="auto"/>
        </w:rPr>
        <w:t>(i)              No amount or benefit that could be, or has been, received (whether in cash or property or the vesting of property or the cancellation of indebtedness) by any Company Employee or Company Service Provider could reasonably be expected to, alone or in combination with any other amount or benefit, constitute an “excess parachute payment” (as defined in Code Section 280G(b)(1)) as a result of, either alone or together with any other event, the consummation of the transactions contemplated by this Agreement.</w:t>
      </w:r>
    </w:p>
    <w:p>
      <w:pPr>
        <w:spacing w:after="0" w:line="181" w:lineRule="exact"/>
        <w:rPr>
          <w:sz w:val="20"/>
          <w:szCs w:val="20"/>
          <w:color w:val="auto"/>
        </w:rPr>
      </w:pPr>
    </w:p>
    <w:p>
      <w:pPr>
        <w:ind w:right="40" w:firstLine="1281"/>
        <w:spacing w:after="0" w:line="252" w:lineRule="auto"/>
        <w:rPr>
          <w:sz w:val="20"/>
          <w:szCs w:val="20"/>
          <w:color w:val="auto"/>
        </w:rPr>
      </w:pPr>
      <w:r>
        <w:rPr>
          <w:rFonts w:ascii="Times New Roman" w:cs="Times New Roman" w:eastAsia="Times New Roman" w:hAnsi="Times New Roman"/>
          <w:sz w:val="18"/>
          <w:szCs w:val="18"/>
          <w:color w:val="auto"/>
        </w:rPr>
        <w:t>(j)              Each Company Benefit Plan that constitutes, in whole or in part, a “nonqualified deferred compensation plan” within the meaning of Code Section 409A(d)(1) has been documented and operated in all material respects in compliance with Code Section 409A since January 1, 2019 or its inception (whichever is later), and all applicable regulations and notices issued thereunder. No Company Benefit Plan or award thereunder provides to any “service provider” (within the meaning of Code Section 409A) of the Company any compensation or benefits which has subjected or would subject such service provider to gross income inclusion or additional Tax pursuant to Code Section 409A(a)(1). The Company has no current or contingent obligation to indemnify, gross up or otherwise reimburse or make whole any Person for any penalty, interest and/or Tax incurred by such Person, pursuant to Code Sections 409A or 4999.</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ind w:firstLine="1281"/>
        <w:spacing w:after="0" w:line="307" w:lineRule="auto"/>
        <w:rPr>
          <w:sz w:val="20"/>
          <w:szCs w:val="20"/>
          <w:color w:val="auto"/>
        </w:rPr>
      </w:pPr>
      <w:r>
        <w:rPr>
          <w:rFonts w:ascii="Times New Roman" w:cs="Times New Roman" w:eastAsia="Times New Roman" w:hAnsi="Times New Roman"/>
          <w:sz w:val="17"/>
          <w:szCs w:val="17"/>
          <w:color w:val="auto"/>
        </w:rPr>
        <w:t>(k)             No Company Benefit Plan is and the Company does not currently have any obligation to maintain, sponsor, establish, participate in or contribute to any Company Benefit Plan (or similar arrangement) that is subject to any Law, custom or rule of any jurisdiction outside of the United States.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Labor Matters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80" w:firstLine="1281"/>
        <w:spacing w:after="0" w:line="271" w:lineRule="auto"/>
        <w:rPr>
          <w:sz w:val="20"/>
          <w:szCs w:val="20"/>
          <w:color w:val="auto"/>
        </w:rPr>
      </w:pPr>
      <w:r>
        <w:rPr>
          <w:rFonts w:ascii="Times New Roman" w:cs="Times New Roman" w:eastAsia="Times New Roman" w:hAnsi="Times New Roman"/>
          <w:sz w:val="17"/>
          <w:szCs w:val="17"/>
          <w:color w:val="auto"/>
        </w:rPr>
        <w:t>(a)             The Company is not a party to or bound by any collective bargaining agreement or other Contract or arrangement with any labor union, works council, or other labor organization. None of the Company’s employees are represented by any labor union, works council, or other labor organization with respect to their employment with the Company. To the knowledge of the Company there are, and since January 1, 2019 through the Agreement Date there have been, no pending or threatened written activities or proceedings to organize any of the Company’s employees. No labor union, works council, or other labor organization, or group of employees of the Company, has made a demand for recognition, and there are no representation proceedings presently pending or threatened to be brought or filed with the National Labor Relations Board or any other labor relations tribunal or authority.</w:t>
      </w:r>
    </w:p>
    <w:p>
      <w:pPr>
        <w:spacing w:after="0" w:line="170" w:lineRule="exact"/>
        <w:rPr>
          <w:sz w:val="20"/>
          <w:szCs w:val="20"/>
          <w:color w:val="auto"/>
        </w:rPr>
      </w:pPr>
    </w:p>
    <w:p>
      <w:pPr>
        <w:ind w:right="360" w:firstLine="1281"/>
        <w:spacing w:after="0" w:line="273" w:lineRule="auto"/>
        <w:rPr>
          <w:sz w:val="20"/>
          <w:szCs w:val="20"/>
          <w:color w:val="auto"/>
        </w:rPr>
      </w:pPr>
      <w:r>
        <w:rPr>
          <w:rFonts w:ascii="Times New Roman" w:cs="Times New Roman" w:eastAsia="Times New Roman" w:hAnsi="Times New Roman"/>
          <w:sz w:val="17"/>
          <w:szCs w:val="17"/>
          <w:color w:val="auto"/>
        </w:rPr>
        <w:t>(b)            Since January 1, 2019, the Company has not implemented any plant closings or employee layoffs that would require advance notification under the Worker Adjustment and Retraining Notification Act of 1988, as amended, or any similar Law (collectively, the “</w:t>
      </w:r>
      <w:r>
        <w:rPr>
          <w:rFonts w:ascii="Times New Roman" w:cs="Times New Roman" w:eastAsia="Times New Roman" w:hAnsi="Times New Roman"/>
          <w:sz w:val="17"/>
          <w:szCs w:val="17"/>
          <w:u w:val="single" w:color="auto"/>
          <w:color w:val="auto"/>
        </w:rPr>
        <w:t>WARN Act</w:t>
      </w:r>
      <w:r>
        <w:rPr>
          <w:rFonts w:ascii="Times New Roman" w:cs="Times New Roman" w:eastAsia="Times New Roman" w:hAnsi="Times New Roman"/>
          <w:sz w:val="17"/>
          <w:szCs w:val="17"/>
          <w:color w:val="auto"/>
        </w:rPr>
        <w:t>”). No employee layoff, facility closure or shutdown, reduction-in-force, furlough, temporary layoff, material work schedule change or reduction in hours, or material reduction in salary or wages has occurred since December 31, 2020 or is currently contemplated, planned or announced, including as a result of COVID-19 or any Law directive, guidelines or recommendations by any Governmental Authority in connection with or in response to COVID-19.</w:t>
      </w:r>
    </w:p>
    <w:p>
      <w:pPr>
        <w:spacing w:after="0" w:line="169" w:lineRule="exact"/>
        <w:rPr>
          <w:sz w:val="20"/>
          <w:szCs w:val="20"/>
          <w:color w:val="auto"/>
        </w:rPr>
      </w:pPr>
    </w:p>
    <w:p>
      <w:pPr>
        <w:ind w:firstLine="1281"/>
        <w:spacing w:after="0" w:line="266" w:lineRule="auto"/>
        <w:rPr>
          <w:sz w:val="20"/>
          <w:szCs w:val="20"/>
          <w:color w:val="auto"/>
        </w:rPr>
      </w:pPr>
      <w:r>
        <w:rPr>
          <w:rFonts w:ascii="Times New Roman" w:cs="Times New Roman" w:eastAsia="Times New Roman" w:hAnsi="Times New Roman"/>
          <w:sz w:val="17"/>
          <w:szCs w:val="17"/>
          <w:color w:val="auto"/>
        </w:rPr>
        <w:t>(c)             The Company (i) is, and since January 1, 2019 has been, in material compliance with all applicable Laws regarding employment and employment practices, including, without limitation, all laws respecting terms and conditions of employment, health and safety, employee classification, non-discrimination, wages and hours, leave, immigration (including the completion of Forms I-9 for all employees and the proper confirmation of employee visas), disability rights or benefits, disability accommodation, equal opportunity, employment harassment, discrimination or retaliation, whistleblowing, equal employment opportunity, employee trainings and notices, COVID-19, affirmative action and unemployment insurance, plant closures and layoffs (including the WARN Act), affirmative action, workers’ compensation, labor relations, collective bargaining, employee leave issues, the proper classification of employees and independent contractors, the proper classification of exempt and non-exempt employees and independent contractors, worker’s compensation, withholding, unemployment insurance and employment record retention, (ii) has not been determined to have committed any unfair labor practice as defined by the National Labor Relations Board or received notice of any unfair labor practice charge or Action against it before the National Labor Relations Board or any other Governmental Authority, and (iii) since January 1, 2019, has not experienced any actual or, to the knowledge of the Company, threatened arbitrations, grievances, labor disputes, strikes, lockouts, picketing, handbilling, slowdowns or work stoppages.</w:t>
      </w:r>
    </w:p>
    <w:p>
      <w:pPr>
        <w:spacing w:after="0" w:line="179" w:lineRule="exact"/>
        <w:rPr>
          <w:sz w:val="20"/>
          <w:szCs w:val="20"/>
          <w:color w:val="auto"/>
        </w:rPr>
      </w:pPr>
    </w:p>
    <w:p>
      <w:pPr>
        <w:ind w:right="120" w:firstLine="1281"/>
        <w:spacing w:after="0" w:line="253" w:lineRule="auto"/>
        <w:rPr>
          <w:sz w:val="20"/>
          <w:szCs w:val="20"/>
          <w:color w:val="auto"/>
        </w:rPr>
      </w:pPr>
      <w:r>
        <w:rPr>
          <w:rFonts w:ascii="Times New Roman" w:cs="Times New Roman" w:eastAsia="Times New Roman" w:hAnsi="Times New Roman"/>
          <w:sz w:val="18"/>
          <w:szCs w:val="18"/>
          <w:color w:val="auto"/>
        </w:rPr>
        <w:t>(d)             The Company has no material liability for (i) any unpaid wages, salaries, wage premiums, commissions, bonuses, fees, or other compensation to any current or former employees or independent contractors under applicable Law, Contract or policy; and/or (ii) any fines, Taxes, interest, or other penalties for any failure to pay or delinquency in paying such compensation. Except as would not result in material liability for the Company, each individual who is providing or since January 1, 2019 has provided services to the Company and is or was classified and treated as an (y) independent contractor, consultant, leased employee, or other non-employee service provider, or (z) exempt employees, in each case, is and has been properly classified and treated as such for all applicable purposes.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3" w:name="page54"/>
    <w:bookmarkEnd w:id="53"/>
    <w:p>
      <w:pPr>
        <w:ind w:right="140" w:firstLine="1281"/>
        <w:spacing w:after="0" w:line="254" w:lineRule="auto"/>
        <w:rPr>
          <w:sz w:val="20"/>
          <w:szCs w:val="20"/>
          <w:color w:val="auto"/>
        </w:rPr>
      </w:pPr>
      <w:r>
        <w:rPr>
          <w:rFonts w:ascii="Times New Roman" w:cs="Times New Roman" w:eastAsia="Times New Roman" w:hAnsi="Times New Roman"/>
          <w:sz w:val="18"/>
          <w:szCs w:val="18"/>
          <w:color w:val="auto"/>
        </w:rPr>
        <w:t>(e)             To the knowledge of the Company, no current employee or independent contractor of the Company is in violation in any material respect of any term of any employment agreement, nondisclosure agreement, common law nondisclosure obligation, fiduciary duty, noncompetition agreement, nonsolicitation agreement, restrictive covenant or other obligation: (i) to the Company or (ii) with respect to any Person who is a current employee or independent contractor of the Company, to any third party with respect to such Person's right to be employed or engaged by the Company or to the knowledge or use of trade secrets or proprietary information.</w:t>
      </w:r>
    </w:p>
    <w:p>
      <w:pPr>
        <w:spacing w:after="0" w:line="186" w:lineRule="exact"/>
        <w:rPr>
          <w:sz w:val="20"/>
          <w:szCs w:val="20"/>
          <w:color w:val="auto"/>
        </w:rPr>
      </w:pPr>
    </w:p>
    <w:p>
      <w:pPr>
        <w:ind w:right="180" w:firstLine="1281"/>
        <w:spacing w:after="0" w:line="262" w:lineRule="auto"/>
        <w:rPr>
          <w:sz w:val="20"/>
          <w:szCs w:val="20"/>
          <w:color w:val="auto"/>
        </w:rPr>
      </w:pPr>
      <w:r>
        <w:rPr>
          <w:rFonts w:ascii="Times New Roman" w:cs="Times New Roman" w:eastAsia="Times New Roman" w:hAnsi="Times New Roman"/>
          <w:sz w:val="18"/>
          <w:szCs w:val="18"/>
          <w:color w:val="auto"/>
        </w:rPr>
        <w:t>(f)              The Company is not and has not been: (i) a “contractor” or “subcontractor” (as defined by Executive Order 11246), (ii) required to comply with Executive Order 11246, (iii) required to maintain an affirmative action plan, or (iv) party to, or bound by, any foreign, federal, state or local government contracts requiring the payment of prevailing wage rates or benefits to workers.</w:t>
      </w:r>
    </w:p>
    <w:p>
      <w:pPr>
        <w:spacing w:after="0" w:line="176" w:lineRule="exact"/>
        <w:rPr>
          <w:sz w:val="20"/>
          <w:szCs w:val="20"/>
          <w:color w:val="auto"/>
        </w:rPr>
      </w:pPr>
    </w:p>
    <w:p>
      <w:pPr>
        <w:ind w:right="20" w:firstLine="1281"/>
        <w:spacing w:after="0" w:line="254" w:lineRule="auto"/>
        <w:rPr>
          <w:sz w:val="20"/>
          <w:szCs w:val="20"/>
          <w:color w:val="auto"/>
        </w:rPr>
      </w:pPr>
      <w:r>
        <w:rPr>
          <w:rFonts w:ascii="Times New Roman" w:cs="Times New Roman" w:eastAsia="Times New Roman" w:hAnsi="Times New Roman"/>
          <w:sz w:val="18"/>
          <w:szCs w:val="18"/>
          <w:color w:val="auto"/>
        </w:rPr>
        <w:t>(g)             The Company has promptly, thoroughly and impartially investigated all sexual harassment, or other discrimination, retaliation or policy allegations of which it has been aware. With respect to each such allegation determined to have potential merit, the Company has taken prompt corrective action that is reasonably calculated to prevent further improper action. The Company does not reasonably expect any material liability with respect to any such allegations and are not aware of any allegations relating to officers, directors, employees, contractors, or agents of the Company, that, if known to the public, would bring the Company into material disrepute.</w:t>
      </w:r>
    </w:p>
    <w:p>
      <w:pPr>
        <w:spacing w:after="0" w:line="186"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(h)             To the knowledge of the Company, no employee of the Company with an annualized compensation at or above the level of $250,000 for the fiscal year ended December 31, 2022, as of the date of the Agreement, intends to terminate his or her employment prior to the one year anniversary of the Closing.</w:t>
      </w:r>
    </w:p>
    <w:p>
      <w:pPr>
        <w:spacing w:after="0" w:line="176" w:lineRule="exact"/>
        <w:rPr>
          <w:sz w:val="20"/>
          <w:szCs w:val="20"/>
          <w:color w:val="auto"/>
        </w:rPr>
      </w:pPr>
    </w:p>
    <w:p>
      <w:pPr>
        <w:ind w:right="320" w:firstLine="1281"/>
        <w:spacing w:after="0" w:line="262" w:lineRule="auto"/>
        <w:rPr>
          <w:sz w:val="20"/>
          <w:szCs w:val="20"/>
          <w:color w:val="auto"/>
        </w:rPr>
      </w:pPr>
      <w:r>
        <w:rPr>
          <w:rFonts w:ascii="Times New Roman" w:cs="Times New Roman" w:eastAsia="Times New Roman" w:hAnsi="Times New Roman"/>
          <w:sz w:val="18"/>
          <w:szCs w:val="18"/>
          <w:color w:val="auto"/>
        </w:rPr>
        <w:t xml:space="preserve">(i)              All employees of the Company have provided legally required documentation establishing their authorization to work in jurisdictions in which they are working. </w:t>
      </w:r>
      <w:r>
        <w:rPr>
          <w:rFonts w:ascii="Times New Roman" w:cs="Times New Roman" w:eastAsia="Times New Roman" w:hAnsi="Times New Roman"/>
          <w:sz w:val="18"/>
          <w:szCs w:val="18"/>
          <w:u w:val="single" w:color="auto"/>
          <w:color w:val="auto"/>
        </w:rPr>
        <w:t>Schedule 5.13(i)</w:t>
      </w:r>
      <w:r>
        <w:rPr>
          <w:rFonts w:ascii="Times New Roman" w:cs="Times New Roman" w:eastAsia="Times New Roman" w:hAnsi="Times New Roman"/>
          <w:sz w:val="18"/>
          <w:szCs w:val="18"/>
          <w:color w:val="auto"/>
        </w:rPr>
        <w:t xml:space="preserve"> sets forth an accurate and complete list of all employees who are working under an immigration visa.</w:t>
      </w:r>
    </w:p>
    <w:p>
      <w:pPr>
        <w:spacing w:after="0" w:line="176" w:lineRule="exact"/>
        <w:rPr>
          <w:sz w:val="20"/>
          <w:szCs w:val="20"/>
          <w:color w:val="auto"/>
        </w:rPr>
      </w:pPr>
    </w:p>
    <w:p>
      <w:pPr>
        <w:ind w:right="180" w:firstLine="1281"/>
        <w:spacing w:after="0" w:line="257" w:lineRule="auto"/>
        <w:rPr>
          <w:sz w:val="20"/>
          <w:szCs w:val="20"/>
          <w:color w:val="auto"/>
        </w:rPr>
      </w:pPr>
      <w:r>
        <w:rPr>
          <w:rFonts w:ascii="Times New Roman" w:cs="Times New Roman" w:eastAsia="Times New Roman" w:hAnsi="Times New Roman"/>
          <w:sz w:val="18"/>
          <w:szCs w:val="18"/>
          <w:color w:val="auto"/>
        </w:rPr>
        <w:t>(j)              As of the date of this Agreement, there are no outstanding, pending or, to the Company’s knowledge, threatened Actions, causes of action, complaints, grievances, demands, or orders against the Company (or its respective directors, officers, agents, or employees) claiming that the Company has violated any Laws related to employment before any Governmental Authority, including but not limited to, the National Labor Relations Board, the Department of Labor, and the Equal Employment Opportunity Commission regarding any current or former employees.</w:t>
      </w:r>
    </w:p>
    <w:p>
      <w:pPr>
        <w:spacing w:after="0" w:line="181" w:lineRule="exact"/>
        <w:rPr>
          <w:sz w:val="20"/>
          <w:szCs w:val="20"/>
          <w:color w:val="auto"/>
        </w:rPr>
      </w:pPr>
    </w:p>
    <w:p>
      <w:pPr>
        <w:ind w:right="20" w:firstLine="1281"/>
        <w:spacing w:after="0" w:line="307" w:lineRule="auto"/>
        <w:rPr>
          <w:sz w:val="20"/>
          <w:szCs w:val="20"/>
          <w:color w:val="auto"/>
        </w:rPr>
      </w:pPr>
      <w:r>
        <w:rPr>
          <w:rFonts w:ascii="Times New Roman" w:cs="Times New Roman" w:eastAsia="Times New Roman" w:hAnsi="Times New Roman"/>
          <w:sz w:val="17"/>
          <w:szCs w:val="17"/>
          <w:color w:val="auto"/>
        </w:rPr>
        <w:t>(k)             The Company has not received any written assertion of any claim of any violation of any applicable Law or contractual obligation to any employee, former employee, independent contractor or consultant during the period from January 1, 2019 through the date of this Agreement.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00" w:firstLine="1281"/>
        <w:spacing w:after="0" w:line="253" w:lineRule="auto"/>
        <w:rPr>
          <w:sz w:val="20"/>
          <w:szCs w:val="20"/>
          <w:color w:val="auto"/>
        </w:rPr>
      </w:pPr>
      <w:r>
        <w:rPr>
          <w:rFonts w:ascii="Times New Roman" w:cs="Times New Roman" w:eastAsia="Times New Roman" w:hAnsi="Times New Roman"/>
          <w:sz w:val="18"/>
          <w:szCs w:val="18"/>
          <w:color w:val="auto"/>
        </w:rPr>
        <w:t>(a)             All income and other material Tax Returns required by Law to be filed by the Company have been filed, and all such Tax Returns are true, correct and complete in all material respects. All income and other material amounts of Taxes due and owing by the Company (whether or not reflected on any Tax Return) have been timely paid to the appropriate Governmental Authority. As of the date of the Most Recent Balance Sheet, the Company has no material liabilities for unpaid Taxes which have not been accrued or reserved on the Most Recent Balance Sheet, and since the date of the Most Recent Balance Sheet, the Company has not incurred or accrued any material Tax liability (or recognized any material taxable income or extraordinary gain) outside the ordinary course of business.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ind w:right="40" w:firstLine="1281"/>
        <w:spacing w:after="0" w:line="257" w:lineRule="auto"/>
        <w:rPr>
          <w:sz w:val="20"/>
          <w:szCs w:val="20"/>
          <w:color w:val="auto"/>
        </w:rPr>
      </w:pPr>
      <w:r>
        <w:rPr>
          <w:rFonts w:ascii="Times New Roman" w:cs="Times New Roman" w:eastAsia="Times New Roman" w:hAnsi="Times New Roman"/>
          <w:sz w:val="18"/>
          <w:szCs w:val="18"/>
          <w:color w:val="auto"/>
        </w:rPr>
        <w:t>(b)             The Company has (i) withheld and deducted all material amounts of Taxes required to have been withheld or deducted by it in connection with amounts paid or owed to any employee, independent contractor, creditor, shareholder or any other third party, (ii) remitted, or will remit on a timely basis, such amounts to the appropriate Governmental Authority; and (iii) complied in all material respects with applicable Law with respect to Tax withholding, including all reporting and record keeping requirements.</w:t>
      </w:r>
    </w:p>
    <w:p>
      <w:pPr>
        <w:spacing w:after="0" w:line="181" w:lineRule="exact"/>
        <w:rPr>
          <w:sz w:val="20"/>
          <w:szCs w:val="20"/>
          <w:color w:val="auto"/>
        </w:rPr>
      </w:pPr>
    </w:p>
    <w:p>
      <w:pPr>
        <w:ind w:firstLine="1281"/>
        <w:spacing w:after="0" w:line="254" w:lineRule="auto"/>
        <w:rPr>
          <w:sz w:val="20"/>
          <w:szCs w:val="20"/>
          <w:color w:val="auto"/>
        </w:rPr>
      </w:pPr>
      <w:r>
        <w:rPr>
          <w:rFonts w:ascii="Times New Roman" w:cs="Times New Roman" w:eastAsia="Times New Roman" w:hAnsi="Times New Roman"/>
          <w:sz w:val="18"/>
          <w:szCs w:val="18"/>
          <w:color w:val="auto"/>
        </w:rPr>
        <w:t>(c)             The Company is not engaged in any audit, administrative proceeding or judicial proceeding with respect to Taxes and the Company has not received any written notice from a Governmental Authority of a dispute or claim with respect to Taxes, other than disputes or claims that have since been resolved, and to the knowledge of the Company, no such claims have been threatened. No written claim has been made, and to the knowledge of the Company, made by any Governmental Authority in a jurisdiction where the Company does not file a Tax Return that such entity is or may be subject to Taxes by, or required to file Tax Returns in, that jurisdiction.</w:t>
      </w:r>
    </w:p>
    <w:p>
      <w:pPr>
        <w:spacing w:after="0" w:line="186" w:lineRule="exact"/>
        <w:rPr>
          <w:sz w:val="20"/>
          <w:szCs w:val="20"/>
          <w:color w:val="auto"/>
        </w:rPr>
      </w:pPr>
    </w:p>
    <w:p>
      <w:pPr>
        <w:ind w:right="40" w:firstLine="1281"/>
        <w:spacing w:after="0" w:line="257" w:lineRule="auto"/>
        <w:rPr>
          <w:sz w:val="20"/>
          <w:szCs w:val="20"/>
          <w:color w:val="auto"/>
        </w:rPr>
      </w:pPr>
      <w:r>
        <w:rPr>
          <w:rFonts w:ascii="Times New Roman" w:cs="Times New Roman" w:eastAsia="Times New Roman" w:hAnsi="Times New Roman"/>
          <w:sz w:val="18"/>
          <w:szCs w:val="18"/>
          <w:color w:val="auto"/>
        </w:rPr>
        <w:t>(d)             There are no outstanding agreements extending or waiving the statutory period of limitations applicable to any claim for, or the period for the collection or assessment or reassessment of, Taxes of the Company and no written request for any such waiver or extension is currently pending. There are no requests for rulings or determinations in respect of any tax pending between the Company and any Governmental Authority. No power of attorney with respect to Taxes has been granted with respect to the Company.</w:t>
      </w:r>
    </w:p>
    <w:p>
      <w:pPr>
        <w:spacing w:after="0" w:line="181" w:lineRule="exact"/>
        <w:rPr>
          <w:sz w:val="20"/>
          <w:szCs w:val="20"/>
          <w:color w:val="auto"/>
        </w:rPr>
      </w:pPr>
    </w:p>
    <w:p>
      <w:pPr>
        <w:ind w:right="100" w:firstLine="1281"/>
        <w:spacing w:after="0" w:line="277" w:lineRule="auto"/>
        <w:rPr>
          <w:sz w:val="20"/>
          <w:szCs w:val="20"/>
          <w:color w:val="auto"/>
        </w:rPr>
      </w:pPr>
      <w:r>
        <w:rPr>
          <w:rFonts w:ascii="Times New Roman" w:cs="Times New Roman" w:eastAsia="Times New Roman" w:hAnsi="Times New Roman"/>
          <w:sz w:val="18"/>
          <w:szCs w:val="18"/>
          <w:color w:val="auto"/>
        </w:rPr>
        <w:t>(e)             The Company has never had a permanent establishment (as defined in any applicable Tax treaty or convention) or an office or fixed place of business in a jurisdiction outside the country of its organization.</w:t>
      </w:r>
    </w:p>
    <w:p>
      <w:pPr>
        <w:spacing w:after="0" w:line="163" w:lineRule="exact"/>
        <w:rPr>
          <w:sz w:val="20"/>
          <w:szCs w:val="20"/>
          <w:color w:val="auto"/>
        </w:rPr>
      </w:pPr>
    </w:p>
    <w:p>
      <w:pPr>
        <w:jc w:val="both"/>
        <w:ind w:right="120" w:firstLine="1281"/>
        <w:spacing w:after="0" w:line="307" w:lineRule="auto"/>
        <w:rPr>
          <w:sz w:val="20"/>
          <w:szCs w:val="20"/>
          <w:color w:val="auto"/>
        </w:rPr>
      </w:pPr>
      <w:r>
        <w:rPr>
          <w:rFonts w:ascii="Times New Roman" w:cs="Times New Roman" w:eastAsia="Times New Roman" w:hAnsi="Times New Roman"/>
          <w:sz w:val="17"/>
          <w:szCs w:val="17"/>
          <w:color w:val="auto"/>
        </w:rPr>
        <w:t>(f)              The Company (or any predecessor thereof) has not constituted either a “distributing corporation” or a “controlled corporation” in a distribution of stock qualifying for income Tax-deferral treatment under Code Section 355 (or so much of Code Section 356 as relates to Code Section 355).</w:t>
      </w:r>
    </w:p>
    <w:p>
      <w:pPr>
        <w:spacing w:after="0" w:line="140" w:lineRule="exact"/>
        <w:rPr>
          <w:sz w:val="20"/>
          <w:szCs w:val="20"/>
          <w:color w:val="auto"/>
        </w:rPr>
      </w:pPr>
    </w:p>
    <w:p>
      <w:pPr>
        <w:ind w:right="100" w:firstLine="1281"/>
        <w:spacing w:after="0" w:line="277" w:lineRule="auto"/>
        <w:rPr>
          <w:sz w:val="20"/>
          <w:szCs w:val="20"/>
          <w:color w:val="auto"/>
        </w:rPr>
      </w:pPr>
      <w:r>
        <w:rPr>
          <w:rFonts w:ascii="Times New Roman" w:cs="Times New Roman" w:eastAsia="Times New Roman" w:hAnsi="Times New Roman"/>
          <w:sz w:val="18"/>
          <w:szCs w:val="18"/>
          <w:color w:val="auto"/>
        </w:rPr>
        <w:t>(g)             The Company has not been a party to any “listed transaction” within the meaning of Treasury Regulation Section 1.6011-4(b)(2)(or any similar or corresponding provision of state, local or non-U.S. Law).</w:t>
      </w:r>
    </w:p>
    <w:p>
      <w:pPr>
        <w:spacing w:after="0" w:line="163" w:lineRule="exact"/>
        <w:rPr>
          <w:sz w:val="20"/>
          <w:szCs w:val="20"/>
          <w:color w:val="auto"/>
        </w:rPr>
      </w:pPr>
    </w:p>
    <w:p>
      <w:pPr>
        <w:ind w:firstLine="1281"/>
        <w:spacing w:after="0" w:line="252" w:lineRule="auto"/>
        <w:rPr>
          <w:sz w:val="20"/>
          <w:szCs w:val="20"/>
          <w:color w:val="auto"/>
        </w:rPr>
      </w:pPr>
      <w:r>
        <w:rPr>
          <w:rFonts w:ascii="Times New Roman" w:cs="Times New Roman" w:eastAsia="Times New Roman" w:hAnsi="Times New Roman"/>
          <w:sz w:val="18"/>
          <w:szCs w:val="18"/>
          <w:color w:val="auto"/>
        </w:rPr>
        <w:t>(h)             The Company will not be required to include any material item of income in, or exclude any material item of deduction from, taxable income for any taxable period (or portion thereof) ending after the Closing Date as a result of any: (A) change in, or improper, method of accounting for a taxable period (or portion thereof) ending on or prior to the Closing Date and made prior to the Closing; (B) any written agreement with a Governmental Authority executed on or prior to the Closing; (C) installment sale or open transaction disposition made on or prior to the Closing; (D) intercompany transactions or any excess loss account described in Treasury Regulations under Section 1502 of the Code (or any corresponding or similar provision of state, local or non-U.S. Law); or (E) deferred revenue or prepaid amount received on or prior to the Closing. The Company will not be required to make any payment after the Closing Date as a result of an election under Code Section 965.</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ind w:left="1280"/>
        <w:spacing w:after="0"/>
        <w:rPr>
          <w:sz w:val="20"/>
          <w:szCs w:val="20"/>
          <w:color w:val="auto"/>
        </w:rPr>
      </w:pPr>
      <w:r>
        <w:rPr>
          <w:rFonts w:ascii="Times New Roman" w:cs="Times New Roman" w:eastAsia="Times New Roman" w:hAnsi="Times New Roman"/>
          <w:sz w:val="18"/>
          <w:szCs w:val="18"/>
          <w:color w:val="auto"/>
        </w:rPr>
        <w:t>(i)              There are no Liens with respect to Taxes on any of the assets of the Company, other than Permitted Liens.</w:t>
      </w:r>
    </w:p>
    <w:p>
      <w:pPr>
        <w:spacing w:after="0" w:line="220" w:lineRule="exact"/>
        <w:rPr>
          <w:sz w:val="20"/>
          <w:szCs w:val="20"/>
          <w:color w:val="auto"/>
        </w:rPr>
      </w:pPr>
    </w:p>
    <w:p>
      <w:pPr>
        <w:ind w:right="140" w:firstLine="1281"/>
        <w:spacing w:after="0" w:line="267" w:lineRule="auto"/>
        <w:rPr>
          <w:sz w:val="20"/>
          <w:szCs w:val="20"/>
          <w:color w:val="auto"/>
        </w:rPr>
      </w:pPr>
      <w:r>
        <w:rPr>
          <w:rFonts w:ascii="Times New Roman" w:cs="Times New Roman" w:eastAsia="Times New Roman" w:hAnsi="Times New Roman"/>
          <w:sz w:val="17"/>
          <w:szCs w:val="17"/>
          <w:color w:val="auto"/>
        </w:rPr>
        <w:t>(j)              The Company (i) has no liability for the Taxes of any Person (other than the Company) (i) as a result of being a member of an affiliated, combined, consolidated, unitary or other group for Tax purposes, including under Treasury Regulation Section 1.1502-6 (or any similar provision of state, local or non-U.S. Law) other than a group of which the Company is the common parent, as a transferee or successor, Contract (other than liabilities pursuant to commercial contracts entered into in the ordinary course of business not primarily relating to Taxes), assumption or by operation of Law; and</w:t>
      </w:r>
    </w:p>
    <w:p>
      <w:pPr>
        <w:spacing w:after="0" w:line="3" w:lineRule="exact"/>
        <w:rPr>
          <w:sz w:val="20"/>
          <w:szCs w:val="20"/>
          <w:color w:val="auto"/>
        </w:rPr>
      </w:pPr>
    </w:p>
    <w:p>
      <w:pPr>
        <w:ind w:right="80" w:firstLine="7"/>
        <w:spacing w:after="0" w:line="255" w:lineRule="auto"/>
        <w:tabs>
          <w:tab w:leader="none" w:pos="2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never been a member of an affiliated, consolidated, combined or unitary group filing for U.S. federal, state or local income Tax purposes other than a group of which the Company is the common parent.</w:t>
      </w:r>
    </w:p>
    <w:p>
      <w:pPr>
        <w:spacing w:after="0" w:line="182" w:lineRule="exact"/>
        <w:rPr>
          <w:sz w:val="20"/>
          <w:szCs w:val="20"/>
          <w:color w:val="auto"/>
        </w:rPr>
      </w:pPr>
    </w:p>
    <w:p>
      <w:pPr>
        <w:ind w:right="120" w:firstLine="1281"/>
        <w:spacing w:after="0" w:line="262" w:lineRule="auto"/>
        <w:rPr>
          <w:sz w:val="20"/>
          <w:szCs w:val="20"/>
          <w:color w:val="auto"/>
        </w:rPr>
      </w:pPr>
      <w:r>
        <w:rPr>
          <w:rFonts w:ascii="Times New Roman" w:cs="Times New Roman" w:eastAsia="Times New Roman" w:hAnsi="Times New Roman"/>
          <w:sz w:val="18"/>
          <w:szCs w:val="18"/>
          <w:color w:val="auto"/>
        </w:rPr>
        <w:t>(k)             The Company is not a party to, or bound by, or has any obligation to any Governmental Authority or other Person under any Tax allocation, Tax sharing, Tax indemnification agreement or similar agreement or arrangement (except, in each case, pursuant to commercial contracts entered into in the ordinary course of business not primarily relating to Taxes).</w:t>
      </w:r>
    </w:p>
    <w:p>
      <w:pPr>
        <w:spacing w:after="0" w:line="176" w:lineRule="exact"/>
        <w:rPr>
          <w:sz w:val="20"/>
          <w:szCs w:val="20"/>
          <w:color w:val="auto"/>
        </w:rPr>
      </w:pPr>
    </w:p>
    <w:p>
      <w:pPr>
        <w:ind w:right="160" w:firstLine="1281"/>
        <w:spacing w:after="0" w:line="257" w:lineRule="auto"/>
        <w:rPr>
          <w:sz w:val="20"/>
          <w:szCs w:val="20"/>
          <w:color w:val="auto"/>
        </w:rPr>
      </w:pPr>
      <w:r>
        <w:rPr>
          <w:rFonts w:ascii="Times New Roman" w:cs="Times New Roman" w:eastAsia="Times New Roman" w:hAnsi="Times New Roman"/>
          <w:sz w:val="18"/>
          <w:szCs w:val="18"/>
          <w:color w:val="auto"/>
        </w:rPr>
        <w:t>(l)              The Company has properly (i) collected and remitted sales, use, value added and similar Taxes with respect to sales made to its customers or services provided to its customers; and (ii) received and retained, for all sales or services claimed as exempt from sales, use, value added and similar Taxes and that were made without charging or remitting such Taxes, any appropriate Tax exemption certificates and other documentation qualifying such sale or service as exempt.</w:t>
      </w:r>
    </w:p>
    <w:p>
      <w:pPr>
        <w:spacing w:after="0" w:line="181" w:lineRule="exact"/>
        <w:rPr>
          <w:sz w:val="20"/>
          <w:szCs w:val="20"/>
          <w:color w:val="auto"/>
        </w:rPr>
      </w:pPr>
    </w:p>
    <w:p>
      <w:pPr>
        <w:ind w:right="220" w:firstLine="1281"/>
        <w:spacing w:after="0" w:line="254" w:lineRule="auto"/>
        <w:rPr>
          <w:sz w:val="20"/>
          <w:szCs w:val="20"/>
          <w:color w:val="auto"/>
        </w:rPr>
      </w:pPr>
      <w:r>
        <w:rPr>
          <w:rFonts w:ascii="Times New Roman" w:cs="Times New Roman" w:eastAsia="Times New Roman" w:hAnsi="Times New Roman"/>
          <w:sz w:val="18"/>
          <w:szCs w:val="18"/>
          <w:color w:val="auto"/>
        </w:rPr>
        <w:t>(m)            To the extent applicable, a valid election under Section 83(b) of the Code has been timely made with respect to any Company Shares issued in connection with the performance of services and subject to vesting at issuance or that otherwise were subject to a “substantial risk of forfeiture” within the meaning of Section 83 of the Code. The Company has delivered or made available to Acquiror correct and complete copies of all election statements under Section 83(b) of the Code, together with evidence of timely filing of such election statements with the appropriate IRS Center, in either case, to the extent such documentation was received by the Company.</w:t>
      </w:r>
    </w:p>
    <w:p>
      <w:pPr>
        <w:spacing w:after="0" w:line="186" w:lineRule="exact"/>
        <w:rPr>
          <w:sz w:val="20"/>
          <w:szCs w:val="20"/>
          <w:color w:val="auto"/>
        </w:rPr>
      </w:pPr>
    </w:p>
    <w:p>
      <w:pPr>
        <w:ind w:right="220" w:firstLine="1281"/>
        <w:spacing w:after="0" w:line="262" w:lineRule="auto"/>
        <w:rPr>
          <w:sz w:val="20"/>
          <w:szCs w:val="20"/>
          <w:color w:val="auto"/>
        </w:rPr>
      </w:pPr>
      <w:r>
        <w:rPr>
          <w:rFonts w:ascii="Times New Roman" w:cs="Times New Roman" w:eastAsia="Times New Roman" w:hAnsi="Times New Roman"/>
          <w:sz w:val="18"/>
          <w:szCs w:val="18"/>
          <w:color w:val="auto"/>
        </w:rPr>
        <w:t>(n)             The Company is and always has been a domestic corporation taxable under subchapter C of the Code for U.S. federal income Tax purposes. The Company has not been, is not, and immediately prior to the Effective Time will not be, treated as an “investment company” within the meaning of Code Section 368(a)(2)(F).</w:t>
      </w:r>
    </w:p>
    <w:p>
      <w:pPr>
        <w:spacing w:after="0" w:line="176" w:lineRule="exact"/>
        <w:rPr>
          <w:sz w:val="20"/>
          <w:szCs w:val="20"/>
          <w:color w:val="auto"/>
        </w:rPr>
      </w:pPr>
    </w:p>
    <w:p>
      <w:pPr>
        <w:ind w:firstLine="1281"/>
        <w:spacing w:after="0" w:line="262" w:lineRule="auto"/>
        <w:rPr>
          <w:sz w:val="20"/>
          <w:szCs w:val="20"/>
          <w:color w:val="auto"/>
        </w:rPr>
      </w:pPr>
      <w:r>
        <w:rPr>
          <w:rFonts w:ascii="Times New Roman" w:cs="Times New Roman" w:eastAsia="Times New Roman" w:hAnsi="Times New Roman"/>
          <w:sz w:val="18"/>
          <w:szCs w:val="18"/>
          <w:color w:val="auto"/>
        </w:rPr>
        <w:t>(o)             The Company has not filed any amended Tax Return or other claim for a refund as a result of, or in connection with, the carry back of any net operating loss or other attribute to a year prior to the taxable year including the Closing Date under Code Section 172, as amended by Section 2303 of the CARES Act, or any corresponding or similar provision of state, local or non-U.S. Law.</w:t>
      </w:r>
    </w:p>
    <w:p>
      <w:pPr>
        <w:spacing w:after="0" w:line="176" w:lineRule="exact"/>
        <w:rPr>
          <w:sz w:val="20"/>
          <w:szCs w:val="20"/>
          <w:color w:val="auto"/>
        </w:rPr>
      </w:pPr>
    </w:p>
    <w:p>
      <w:pPr>
        <w:ind w:right="160" w:firstLine="1281"/>
        <w:spacing w:after="0" w:line="277" w:lineRule="auto"/>
        <w:rPr>
          <w:sz w:val="20"/>
          <w:szCs w:val="20"/>
          <w:color w:val="auto"/>
        </w:rPr>
      </w:pPr>
      <w:r>
        <w:rPr>
          <w:rFonts w:ascii="Times New Roman" w:cs="Times New Roman" w:eastAsia="Times New Roman" w:hAnsi="Times New Roman"/>
          <w:sz w:val="18"/>
          <w:szCs w:val="18"/>
          <w:color w:val="auto"/>
        </w:rPr>
        <w:t>(p)             The Company has not applied for or received any relief from Taxes under any COVID-19 Measure, including but not limited to by claiming an employee retention credit or deferring any amount of employer or employee payroll Taxes.</w:t>
      </w:r>
    </w:p>
    <w:p>
      <w:pPr>
        <w:spacing w:after="0" w:line="163" w:lineRule="exact"/>
        <w:rPr>
          <w:sz w:val="20"/>
          <w:szCs w:val="20"/>
          <w:color w:val="auto"/>
        </w:rPr>
      </w:pPr>
    </w:p>
    <w:p>
      <w:pPr>
        <w:ind w:right="20" w:firstLine="1281"/>
        <w:spacing w:after="0" w:line="277" w:lineRule="auto"/>
        <w:rPr>
          <w:sz w:val="20"/>
          <w:szCs w:val="20"/>
          <w:color w:val="auto"/>
        </w:rPr>
      </w:pPr>
      <w:r>
        <w:rPr>
          <w:rFonts w:ascii="Times New Roman" w:cs="Times New Roman" w:eastAsia="Times New Roman" w:hAnsi="Times New Roman"/>
          <w:sz w:val="18"/>
          <w:szCs w:val="18"/>
          <w:color w:val="auto"/>
        </w:rPr>
        <w:t>(q)             To the knowledge of the Company, the Company has not taken any action (nor permitted any action to be taken), and is not aware of any fact or circumstance, that would reasonably be expected to prevent the Merger from qualifying for the Intended Tax Treatment.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ind w:right="20" w:firstLine="640"/>
        <w:spacing w:after="0" w:line="250" w:lineRule="auto"/>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xml:space="preserve"> contains a list of all material insurance policies carried by, or for the benefit of, the Company (collectively,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xml:space="preserve">”). The Policies provide coverage reasonably sufficient for a business of the size and type operated by the Company. With respect to each Policy required to be listed on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(i) all such policies are in full force and effect, (ii) all premiums with respect thereto have been paid, (iii) the policy is legal, valid, binding and enforceable in accordance with its terms and is in full force and effect in all material respects, (iv) the Company is not in material breach or default (including any such breach or default with respect to the payment of premiums or the giving of notice), and, to the knowledge of the Company, no event has occurred which, with notice or the lapse of time or both, would constitute such a breach or default, or permit termination or modification, under the policy, and to the knowledge of the Company, no such action has been threatened, and (v) no notice of cancellation, termination, reduction in coverage or disallowance of any claim has been received in writing by the Company with respect to any Policy. There is currently no pending material claim by the Company against any insurance carrier under any Policy for which coverage has been denied or disputed by the applicable insurance carrier.</w:t>
      </w:r>
    </w:p>
    <w:p>
      <w:pPr>
        <w:spacing w:after="0" w:line="192" w:lineRule="exact"/>
        <w:rPr>
          <w:sz w:val="20"/>
          <w:szCs w:val="20"/>
          <w:color w:val="auto"/>
        </w:rPr>
      </w:pPr>
    </w:p>
    <w:p>
      <w:pPr>
        <w:ind w:right="60" w:firstLine="640"/>
        <w:spacing w:after="0" w:line="252" w:lineRule="auto"/>
        <w:rPr>
          <w:sz w:val="20"/>
          <w:szCs w:val="20"/>
          <w:color w:val="auto"/>
        </w:rPr>
      </w:pPr>
      <w:r>
        <w:rPr>
          <w:rFonts w:ascii="Times New Roman" w:cs="Times New Roman" w:eastAsia="Times New Roman" w:hAnsi="Times New Roman"/>
          <w:sz w:val="18"/>
          <w:szCs w:val="18"/>
          <w:color w:val="auto"/>
        </w:rPr>
        <w:t>Section 5.16          </w:t>
      </w:r>
      <w:r>
        <w:rPr>
          <w:rFonts w:ascii="Times New Roman" w:cs="Times New Roman" w:eastAsia="Times New Roman" w:hAnsi="Times New Roman"/>
          <w:sz w:val="18"/>
          <w:szCs w:val="18"/>
          <w:u w:val="single" w:color="auto"/>
          <w:color w:val="auto"/>
        </w:rPr>
        <w:t>  Permits</w:t>
      </w:r>
      <w:r>
        <w:rPr>
          <w:rFonts w:ascii="Times New Roman" w:cs="Times New Roman" w:eastAsia="Times New Roman" w:hAnsi="Times New Roman"/>
          <w:sz w:val="18"/>
          <w:szCs w:val="18"/>
          <w:color w:val="auto"/>
        </w:rPr>
        <w:t>. As of the date of this Agreement, the Company has all material Permits that are required to own, lease or operate its properties and assets and to conduct its business as currently conducted. The Company has obtained all of the material Permits necessary under applicable Laws to permit the Company to own, operate, use and maintain their assets in the manner in which they are now operated and maintained and to conduct the business and operations of the Company as currently conducted. The operation of the business of the Company as currently conducted is not in material violation of, nor is the Company in material default or material violation under, any material Permit. As of the Agreement Date, the Company has not received any written notice nor has any knowledge that any Governmental Authority is considering limiting, suspending, terminating, adversely amending or revoking any such Permit.</w:t>
      </w:r>
    </w:p>
    <w:p>
      <w:pPr>
        <w:spacing w:after="0" w:line="187" w:lineRule="exact"/>
        <w:rPr>
          <w:sz w:val="20"/>
          <w:szCs w:val="20"/>
          <w:color w:val="auto"/>
        </w:rPr>
      </w:pPr>
    </w:p>
    <w:p>
      <w:pPr>
        <w:ind w:right="60" w:firstLine="640"/>
        <w:spacing w:after="0" w:line="252" w:lineRule="auto"/>
        <w:rPr>
          <w:sz w:val="20"/>
          <w:szCs w:val="20"/>
          <w:color w:val="auto"/>
        </w:rPr>
      </w:pPr>
      <w:r>
        <w:rPr>
          <w:rFonts w:ascii="Times New Roman" w:cs="Times New Roman" w:eastAsia="Times New Roman" w:hAnsi="Times New Roman"/>
          <w:sz w:val="18"/>
          <w:szCs w:val="18"/>
          <w:color w:val="auto"/>
        </w:rPr>
        <w:t>Section 5.17          </w:t>
      </w:r>
      <w:r>
        <w:rPr>
          <w:rFonts w:ascii="Times New Roman" w:cs="Times New Roman" w:eastAsia="Times New Roman" w:hAnsi="Times New Roman"/>
          <w:sz w:val="18"/>
          <w:szCs w:val="18"/>
          <w:u w:val="single" w:color="auto"/>
          <w:color w:val="auto"/>
        </w:rPr>
        <w:t>  Machinery, Equipment and Other Tangible Property</w:t>
      </w:r>
      <w:r>
        <w:rPr>
          <w:rFonts w:ascii="Times New Roman" w:cs="Times New Roman" w:eastAsia="Times New Roman" w:hAnsi="Times New Roman"/>
          <w:sz w:val="18"/>
          <w:szCs w:val="18"/>
          <w:color w:val="auto"/>
        </w:rPr>
        <w:t xml:space="preserve">. Other than Intellectual Property, which is covered in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the Company has good and valid title to, or, in the case of leased properties and assets, valid leasehold interests in, all of the material items of tangible personal property used or held for use in the business of the Company, free and clear of any and all Liens (other than Permitted Liens). All such items of tangible personal property that are material to the operation of the business of the Company are in reasonably good operating condition and in a state of reasonably good maintenance and repair and are suitable for the purposes presently used (ordinary wear and tear expected). The tangible assets owned or leased by the Company constitute all of the tangible assets necessary for the continued conduct of the business of the Company as of the date hereof and immediately after the Closing (as currently contemplated) in the ordinary course of business.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u w:val="single" w:color="auto"/>
          <w:color w:val="auto"/>
        </w:rPr>
        <w:t>  Real Property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The Company owns no real property. The Company is not a party to any agreement or option to purchase any real property 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therein.</w:t>
      </w:r>
    </w:p>
    <w:p>
      <w:pPr>
        <w:spacing w:after="0" w:line="201" w:lineRule="exact"/>
        <w:rPr>
          <w:sz w:val="20"/>
          <w:szCs w:val="20"/>
          <w:color w:val="auto"/>
        </w:rPr>
      </w:pPr>
    </w:p>
    <w:p>
      <w:pPr>
        <w:ind w:firstLine="1281"/>
        <w:spacing w:after="0" w:line="24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5.18(b)</w:t>
      </w:r>
      <w:r>
        <w:rPr>
          <w:rFonts w:ascii="Times New Roman" w:cs="Times New Roman" w:eastAsia="Times New Roman" w:hAnsi="Times New Roman"/>
          <w:sz w:val="18"/>
          <w:szCs w:val="18"/>
          <w:color w:val="auto"/>
        </w:rPr>
        <w:t xml:space="preserve"> contains a true, correct and complete list, as of the date of this Agreement, of all Leases including, the date and name of the parties to each such Lease document and the address of each applicable Leased Real Property. The Company has made available to Acquiror true, correct and complete copies of all Contracts (including all modifications, amendments, extensions, supplements, renewals, rent commencement notices, guarantees, waivers, side letters and other agreements with respect thereto) pursuant to which the Company use, hold or occupy (or have been granted an option to use, hold or occupy) any Leased Real Property or is otherwise a party with respect to the Leased Real Property (the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The Company has a valid and subsisting leasehold estate in, and enjoys peaceful and undisturbed possession of, all Leased Real Property, subject only to Permitted Liens. With respect to each Lease, (i) such Lease is valid, binding and enforceable and in full force and effect against the Company and, to the Company’s knowledge, the other party thereto, subject to the Enforceability Exceptions, and each such Lease is in full force and effect, (ii) each Lease has not been amended or modified except as reflected in the modifications, amendments, supplements, waivers and side letters made available to the Acquiror, (iii) as of the Agreement Date, the Company has not received or given any written notice of material default or breach under any of the Leases and to the knowledge of the Company, the Company has not received written notice of any default or breach that has not been cured; and (iv) there does not exist under any Lease any event or condition which, with notice or lapse of time or both, would become a default or breach by the Company or, to the Company’s knowledge, the other party thereto.</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ind w:right="220" w:firstLine="1281"/>
        <w:spacing w:after="0" w:line="254" w:lineRule="auto"/>
        <w:rPr>
          <w:sz w:val="20"/>
          <w:szCs w:val="20"/>
          <w:color w:val="auto"/>
        </w:rPr>
      </w:pPr>
      <w:r>
        <w:rPr>
          <w:rFonts w:ascii="Times New Roman" w:cs="Times New Roman" w:eastAsia="Times New Roman" w:hAnsi="Times New Roman"/>
          <w:sz w:val="18"/>
          <w:szCs w:val="18"/>
          <w:color w:val="auto"/>
        </w:rPr>
        <w:t>(c)             The Company has not subleased, licensed or otherwise granted any Person the right to use or occupy any Leased Real Property or any portion thereof. The Company has not collaterally assigned or granted any other security interest in any Lease or any interest therein which is still in effect other than Permitted Liens. The Company is not in default or violation of, or not in compliance with, any legal requirements applicable to its occupancy of the Leased Real Property. No construction or expansion is currently being performed or is planned for 2021 at any of the Leased Real Properties.</w:t>
      </w:r>
    </w:p>
    <w:p>
      <w:pPr>
        <w:spacing w:after="0" w:line="186" w:lineRule="exact"/>
        <w:rPr>
          <w:sz w:val="20"/>
          <w:szCs w:val="20"/>
          <w:color w:val="auto"/>
        </w:rPr>
      </w:pPr>
    </w:p>
    <w:p>
      <w:pPr>
        <w:ind w:firstLine="1281"/>
        <w:spacing w:after="0" w:line="253" w:lineRule="auto"/>
        <w:rPr>
          <w:sz w:val="20"/>
          <w:szCs w:val="20"/>
          <w:color w:val="auto"/>
        </w:rPr>
      </w:pPr>
      <w:r>
        <w:rPr>
          <w:rFonts w:ascii="Times New Roman" w:cs="Times New Roman" w:eastAsia="Times New Roman" w:hAnsi="Times New Roman"/>
          <w:sz w:val="18"/>
          <w:szCs w:val="18"/>
          <w:color w:val="auto"/>
        </w:rPr>
        <w:t>(d)             Each Lease, except as would not, individually or in the aggregate, be material to the Company, covers the entire estate it purports to cover, and, subject to securing the consents or approvals, if any, required under such Lease to be obtained from any landlord, or lender to landlord (as applicable), in connection with the execution and delivery of this Agreement by the Company or the consummation of the Transactions, upon the consummation of the Transactions, will entitle the Surviving Corporation or Acquiror to the exclusive use (subject to the terms of the respective Leases in effect with respect to the Leased Real Property), occupancy and possession of the premises specified in the Leases for the purpose specified in the Leases and in the same manner as currently occupied, used and possessed by the Company.</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(e)             The Leased Real Property identified in </w:t>
      </w:r>
      <w:r>
        <w:rPr>
          <w:rFonts w:ascii="Times New Roman" w:cs="Times New Roman" w:eastAsia="Times New Roman" w:hAnsi="Times New Roman"/>
          <w:sz w:val="18"/>
          <w:szCs w:val="18"/>
          <w:u w:val="single" w:color="auto"/>
          <w:color w:val="auto"/>
        </w:rPr>
        <w:t>Schedule 5.18(b)</w:t>
      </w:r>
      <w:r>
        <w:rPr>
          <w:rFonts w:ascii="Times New Roman" w:cs="Times New Roman" w:eastAsia="Times New Roman" w:hAnsi="Times New Roman"/>
          <w:sz w:val="18"/>
          <w:szCs w:val="18"/>
          <w:color w:val="auto"/>
        </w:rPr>
        <w:t xml:space="preserve"> comprise all of the real property used by the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5.19          </w:t>
      </w:r>
      <w:r>
        <w:rPr>
          <w:rFonts w:ascii="Times New Roman" w:cs="Times New Roman" w:eastAsia="Times New Roman" w:hAnsi="Times New Roman"/>
          <w:sz w:val="18"/>
          <w:szCs w:val="18"/>
          <w:u w:val="single" w:color="auto"/>
          <w:color w:val="auto"/>
        </w:rPr>
        <w:t>  Intellectual Property, Information Technology and Data Matters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80" w:firstLine="1281"/>
        <w:spacing w:after="0" w:line="26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Schedule 5.19(a)</w:t>
      </w:r>
      <w:r>
        <w:rPr>
          <w:rFonts w:ascii="Times New Roman" w:cs="Times New Roman" w:eastAsia="Times New Roman" w:hAnsi="Times New Roman"/>
          <w:sz w:val="17"/>
          <w:szCs w:val="17"/>
          <w:color w:val="auto"/>
        </w:rPr>
        <w:t xml:space="preserve"> sets forth a true, correct and complete list of all of the following Intellectual Property included in the Owned Intellectual Property and Jointly-Owned Intellectual Property: (i) issued Patents and pending applications for Patents, (ii) registered Marks, pending applications for registration of Marks and material unregistered Marks, (iii) registered Copyrights and pending applications for Copyright registration and</w:t>
      </w:r>
    </w:p>
    <w:p>
      <w:pPr>
        <w:spacing w:after="0" w:line="2" w:lineRule="exact"/>
        <w:rPr>
          <w:sz w:val="20"/>
          <w:szCs w:val="20"/>
          <w:color w:val="auto"/>
        </w:rPr>
      </w:pPr>
    </w:p>
    <w:p>
      <w:pPr>
        <w:ind w:right="40" w:firstLine="7"/>
        <w:spacing w:after="0" w:line="248" w:lineRule="auto"/>
        <w:tabs>
          <w:tab w:leader="none" w:pos="30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domain names and social media accounts (collectively, the “</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including, for each item listed, the applicable jurisdiction, title, application and registration or serial number and date, and record owner and, if different, the legal owner and beneficial owner. Each item of Registered Intellectual Property is subsisting, valid, and enforceable. All necessary registration, maintenance, renewal, and other relevant filing fees due have been timely paid and all necessary documents and certificates in connection therewith have been timely filed with the relevant authorities in the United States or foreign jurisdictions, as the case may be, for the purposes of maintaining the Registered Intellectual Property in full force and effect, except, in each case, where the failure to timely pay or file such fees, documents and certificates would not reasonably be expected to have, individually or in the aggregate, a Material Adverse Effect on the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8" w:name="page59"/>
    <w:bookmarkEnd w:id="58"/>
    <w:p>
      <w:pPr>
        <w:ind w:right="260" w:firstLine="1281"/>
        <w:spacing w:after="0" w:line="251" w:lineRule="auto"/>
        <w:rPr>
          <w:sz w:val="20"/>
          <w:szCs w:val="20"/>
          <w:color w:val="auto"/>
        </w:rPr>
      </w:pPr>
      <w:r>
        <w:rPr>
          <w:rFonts w:ascii="Times New Roman" w:cs="Times New Roman" w:eastAsia="Times New Roman" w:hAnsi="Times New Roman"/>
          <w:sz w:val="18"/>
          <w:szCs w:val="18"/>
          <w:color w:val="auto"/>
        </w:rPr>
        <w:t xml:space="preserve">(b)             Except as set forth on </w:t>
      </w:r>
      <w:r>
        <w:rPr>
          <w:rFonts w:ascii="Times New Roman" w:cs="Times New Roman" w:eastAsia="Times New Roman" w:hAnsi="Times New Roman"/>
          <w:sz w:val="18"/>
          <w:szCs w:val="18"/>
          <w:u w:val="single" w:color="auto"/>
          <w:color w:val="auto"/>
        </w:rPr>
        <w:t>Schedule 5.19(b)</w:t>
      </w:r>
      <w:r>
        <w:rPr>
          <w:rFonts w:ascii="Times New Roman" w:cs="Times New Roman" w:eastAsia="Times New Roman" w:hAnsi="Times New Roman"/>
          <w:sz w:val="18"/>
          <w:szCs w:val="18"/>
          <w:color w:val="auto"/>
        </w:rPr>
        <w:t>, the Company (i) solely and exclusively owns all Owned Intellectual Property, (ii) jointly owns with third parties all Jointly-Owned Intellectual Property, and (iii) has the right, pursuant to a valid written license, sublicense, agreement or permission, to all other Intellectual Property used in or necessary for the conduct and operation of the business of the Company (“</w:t>
      </w:r>
      <w:r>
        <w:rPr>
          <w:rFonts w:ascii="Times New Roman" w:cs="Times New Roman" w:eastAsia="Times New Roman" w:hAnsi="Times New Roman"/>
          <w:sz w:val="18"/>
          <w:szCs w:val="18"/>
          <w:u w:val="single" w:color="auto"/>
          <w:color w:val="auto"/>
        </w:rPr>
        <w:t>Licensed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in each case free and clear of all Liens other than Permitted Liens. Immediately after the Closing, all Company Intellectual Property will be owned or available for use by the Surviving Corporation on the same terms and conditions under which the Company owned or used such Intellectual Property as of the Closing, without the payment of any additional amounts or consideration. The Company Intellectual Property (in the case of Licensed Intellectual Property, when used within the scope of the applicable license), constitutes all of the Intellectual Property used in or necessary for the conduct and operation of the businesses of the Company as currently conducted.</w:t>
      </w:r>
    </w:p>
    <w:p>
      <w:pPr>
        <w:spacing w:after="0" w:line="190" w:lineRule="exact"/>
        <w:rPr>
          <w:sz w:val="20"/>
          <w:szCs w:val="20"/>
          <w:color w:val="auto"/>
        </w:rPr>
      </w:pPr>
    </w:p>
    <w:p>
      <w:pPr>
        <w:ind w:right="80" w:firstLine="1281"/>
        <w:spacing w:after="0" w:line="251" w:lineRule="auto"/>
        <w:rPr>
          <w:sz w:val="20"/>
          <w:szCs w:val="20"/>
          <w:color w:val="auto"/>
        </w:rPr>
      </w:pPr>
      <w:r>
        <w:rPr>
          <w:rFonts w:ascii="Times New Roman" w:cs="Times New Roman" w:eastAsia="Times New Roman" w:hAnsi="Times New Roman"/>
          <w:sz w:val="18"/>
          <w:szCs w:val="18"/>
          <w:color w:val="auto"/>
        </w:rPr>
        <w:t xml:space="preserve">(c)             Except as set forth on </w:t>
      </w:r>
      <w:r>
        <w:rPr>
          <w:rFonts w:ascii="Times New Roman" w:cs="Times New Roman" w:eastAsia="Times New Roman" w:hAnsi="Times New Roman"/>
          <w:sz w:val="18"/>
          <w:szCs w:val="18"/>
          <w:u w:val="single" w:color="auto"/>
          <w:color w:val="auto"/>
        </w:rPr>
        <w:t>Schedule 5.19(c)</w:t>
      </w:r>
      <w:r>
        <w:rPr>
          <w:rFonts w:ascii="Times New Roman" w:cs="Times New Roman" w:eastAsia="Times New Roman" w:hAnsi="Times New Roman"/>
          <w:sz w:val="18"/>
          <w:szCs w:val="18"/>
          <w:color w:val="auto"/>
        </w:rPr>
        <w:t>, the conduct and operation of the business of the Company does not, as of the Agreement Date, infringe, misappropriate, or violate, and in the past six-years has not infringed, misappropriated, or otherwise violated, any Intellectual Property of any third party, and no Action is pending or has been asserted or, to the knowledge of the Company, threatened in writing (i) that the conduct or operation of the business of the Company or that the use or exploitation by the Company of any Owned Intellectual Property infringes the Intellectual Property of any third party, or (ii) challenging the ownership, use, validity, or enforceability of any Owned Intellectual Property. To the knowledge of the Company, no Person is infringing, misappropriating, or otherwise violating, or has since January 1, 2019 infringed, misappropriated, or otherwise violated, any Owned Intellectual Property or Jointly-Owned Intellectual Property, and no Action is pending or has been asserted or threatened in writing by the Company against any Person relating to any of the foregoing or challenging the ownership, use, validity, or enforceability of any Owned Intellectual Property or Jointly-Owned Intellectual Property.</w:t>
      </w:r>
    </w:p>
    <w:p>
      <w:pPr>
        <w:spacing w:after="0" w:line="187" w:lineRule="exact"/>
        <w:rPr>
          <w:sz w:val="20"/>
          <w:szCs w:val="20"/>
          <w:color w:val="auto"/>
        </w:rPr>
      </w:pPr>
    </w:p>
    <w:p>
      <w:pPr>
        <w:ind w:firstLine="1281"/>
        <w:spacing w:after="0" w:line="251" w:lineRule="auto"/>
        <w:rPr>
          <w:sz w:val="20"/>
          <w:szCs w:val="20"/>
          <w:color w:val="auto"/>
        </w:rPr>
      </w:pPr>
      <w:r>
        <w:rPr>
          <w:rFonts w:ascii="Times New Roman" w:cs="Times New Roman" w:eastAsia="Times New Roman" w:hAnsi="Times New Roman"/>
          <w:sz w:val="18"/>
          <w:szCs w:val="18"/>
          <w:color w:val="auto"/>
        </w:rPr>
        <w:t xml:space="preserve">(d)             The Company has taken commercially reasonable security measures designed to protect the confidentiality and value of all trade secrets and other material confidential information included in the Company Intellectual Property. No present or former employee, contractor, officer or director of the Company holds any right, title or interest, directly or indirectly, in whole or in part, in or to any Owned Intellectual Property. Except as set forth on </w:t>
      </w:r>
      <w:r>
        <w:rPr>
          <w:rFonts w:ascii="Times New Roman" w:cs="Times New Roman" w:eastAsia="Times New Roman" w:hAnsi="Times New Roman"/>
          <w:sz w:val="18"/>
          <w:szCs w:val="18"/>
          <w:u w:val="single" w:color="auto"/>
          <w:color w:val="auto"/>
        </w:rPr>
        <w:t>Schedule 5.19(d)</w:t>
      </w:r>
      <w:r>
        <w:rPr>
          <w:rFonts w:ascii="Times New Roman" w:cs="Times New Roman" w:eastAsia="Times New Roman" w:hAnsi="Times New Roman"/>
          <w:sz w:val="18"/>
          <w:szCs w:val="18"/>
          <w:color w:val="auto"/>
        </w:rPr>
        <w:t>, the Company’s current and former directors, managers, officers, employees, independent contractors and agents who have contributed to or participated in the discovery, creation or development of any Intellectual Property within the scope of their employment or engagement with the Company have entered into a valid and enforceable written Contract providing for (i) the assignment (via a present grant of assignment) to the Company of any and all of such Peron’s right, title, and interest in such Intellectual Property, and (ii) the non-disclosure by such Person of all confidential information of the Company. To the knowledge of the Company, no Person has breached in any material respect any such agreement.</w:t>
      </w:r>
    </w:p>
    <w:p>
      <w:pPr>
        <w:spacing w:after="0" w:line="190" w:lineRule="exact"/>
        <w:rPr>
          <w:sz w:val="20"/>
          <w:szCs w:val="20"/>
          <w:color w:val="auto"/>
        </w:rPr>
      </w:pPr>
    </w:p>
    <w:p>
      <w:pPr>
        <w:ind w:right="380" w:firstLine="1281"/>
        <w:spacing w:after="0" w:line="277" w:lineRule="auto"/>
        <w:rPr>
          <w:sz w:val="20"/>
          <w:szCs w:val="20"/>
          <w:color w:val="auto"/>
        </w:rPr>
      </w:pPr>
      <w:r>
        <w:rPr>
          <w:rFonts w:ascii="Times New Roman" w:cs="Times New Roman" w:eastAsia="Times New Roman" w:hAnsi="Times New Roman"/>
          <w:sz w:val="18"/>
          <w:szCs w:val="18"/>
          <w:color w:val="auto"/>
        </w:rPr>
        <w:t>(e)             The Company is not in material breach of or default under any license to or for Intellectual Property to which the Company is a party or by which it is bound.</w:t>
      </w:r>
    </w:p>
    <w:p>
      <w:pPr>
        <w:spacing w:after="0" w:line="163" w:lineRule="exact"/>
        <w:rPr>
          <w:sz w:val="20"/>
          <w:szCs w:val="20"/>
          <w:color w:val="auto"/>
        </w:rPr>
      </w:pPr>
    </w:p>
    <w:p>
      <w:pPr>
        <w:ind w:right="80" w:firstLine="1281"/>
        <w:spacing w:after="0" w:line="262" w:lineRule="auto"/>
        <w:rPr>
          <w:sz w:val="20"/>
          <w:szCs w:val="20"/>
          <w:color w:val="auto"/>
        </w:rPr>
      </w:pPr>
      <w:r>
        <w:rPr>
          <w:rFonts w:ascii="Times New Roman" w:cs="Times New Roman" w:eastAsia="Times New Roman" w:hAnsi="Times New Roman"/>
          <w:sz w:val="18"/>
          <w:szCs w:val="18"/>
          <w:color w:val="auto"/>
        </w:rPr>
        <w:t>(f)              No funds or facilities or other resources of any Governmental Authority were used in the development of any Owned Intellectual Property, except for any such funding or use of facilities or resources that does not result (or could not reasonably result) in such Governmental Authority, or employee or staff member thereof, obtaining any rights in any Owned Intellectual Property.</w:t>
      </w:r>
    </w:p>
    <w:p>
      <w:pPr>
        <w:spacing w:after="0" w:line="176" w:lineRule="exact"/>
        <w:rPr>
          <w:sz w:val="20"/>
          <w:szCs w:val="20"/>
          <w:color w:val="auto"/>
        </w:rPr>
      </w:pPr>
    </w:p>
    <w:p>
      <w:pPr>
        <w:ind w:right="140" w:firstLine="1281"/>
        <w:spacing w:after="0" w:line="254" w:lineRule="auto"/>
        <w:rPr>
          <w:sz w:val="20"/>
          <w:szCs w:val="20"/>
          <w:color w:val="auto"/>
        </w:rPr>
      </w:pPr>
      <w:r>
        <w:rPr>
          <w:rFonts w:ascii="Times New Roman" w:cs="Times New Roman" w:eastAsia="Times New Roman" w:hAnsi="Times New Roman"/>
          <w:sz w:val="18"/>
          <w:szCs w:val="18"/>
          <w:color w:val="auto"/>
        </w:rPr>
        <w:t>(g)             No source code constituting Owned Intellectual Property has been (and no event has occurred, and no circumstance or condition exists, that (with or without notice or lapse of time, or both), will, or would reasonably be expected to, result in a requirement that any such source code be) delivered, released, licensed, or made available or otherwise disclosed by the Company to, or accessed by, any escrow agent or other Person, other than employees or contractors of the Company subject to written agreements appropriately restricting the disclosure and use of such source code, and no Person other than the Company is in possession of, or has been granted any license or other right to, any such source code.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9" w:name="page60"/>
    <w:bookmarkEnd w:id="59"/>
    <w:p>
      <w:pPr>
        <w:ind w:right="120" w:firstLine="1281"/>
        <w:spacing w:after="0" w:line="251" w:lineRule="auto"/>
        <w:rPr>
          <w:sz w:val="20"/>
          <w:szCs w:val="20"/>
          <w:color w:val="auto"/>
        </w:rPr>
      </w:pPr>
      <w:r>
        <w:rPr>
          <w:rFonts w:ascii="Times New Roman" w:cs="Times New Roman" w:eastAsia="Times New Roman" w:hAnsi="Times New Roman"/>
          <w:sz w:val="18"/>
          <w:szCs w:val="18"/>
          <w:color w:val="auto"/>
        </w:rPr>
        <w:t>(h)             No Open Source Software is or has been included, incorporated or embedded in, or linked to, combined, made available or distributed with, any Software included in the Owned Intellectual Property, in each case, in a manner that requires or obligates the Company to: (i) disclose, contribute, distribute, license or otherwise make available to any Person (including the open source community) any Software included in the Owned Intellectual Property; (ii) license any Software included in the Owned Intellectual Property for making modifications or derivative works of, or reverse-engineering, any such Software; (iii) create any obligation for the Company to grant, or purport to grant, to any Person any rights or immunities under any Owned Intellectual Property (including any patent non-asserts or patent licenses), or (iv) otherwise impose any limitation, restriction, or condition on the right or ability of the Company to use or exploit any Owned Intellectual Property. The Company is in compliance in all material respects with the terms and conditions of all licenses for Open Source Software used in the business of the Company.</w:t>
      </w:r>
    </w:p>
    <w:p>
      <w:pPr>
        <w:spacing w:after="0" w:line="190" w:lineRule="exact"/>
        <w:rPr>
          <w:sz w:val="20"/>
          <w:szCs w:val="20"/>
          <w:color w:val="auto"/>
        </w:rPr>
      </w:pPr>
    </w:p>
    <w:p>
      <w:pPr>
        <w:ind w:right="100" w:firstLine="1281"/>
        <w:spacing w:after="0" w:line="262" w:lineRule="auto"/>
        <w:rPr>
          <w:sz w:val="20"/>
          <w:szCs w:val="20"/>
          <w:color w:val="auto"/>
        </w:rPr>
      </w:pPr>
      <w:r>
        <w:rPr>
          <w:rFonts w:ascii="Times New Roman" w:cs="Times New Roman" w:eastAsia="Times New Roman" w:hAnsi="Times New Roman"/>
          <w:sz w:val="18"/>
          <w:szCs w:val="18"/>
          <w:color w:val="auto"/>
        </w:rPr>
        <w:t>(i)              Neither the execution of this Agreement nor the consummation of the transactions contemplated hereby will result in: (i) the loss or impairment of the Surviving Corporation’s right to own or use any of the Company Intellectual Property; or (ii) the requirement of any payment of any additional consideration for the Surviving Corporation’s right to own or use any of the Company Intellectual Property.</w:t>
      </w:r>
    </w:p>
    <w:p>
      <w:pPr>
        <w:spacing w:after="0" w:line="176" w:lineRule="exact"/>
        <w:rPr>
          <w:sz w:val="20"/>
          <w:szCs w:val="20"/>
          <w:color w:val="auto"/>
        </w:rPr>
      </w:pPr>
    </w:p>
    <w:p>
      <w:pPr>
        <w:ind w:right="40" w:firstLine="1281"/>
        <w:spacing w:after="0" w:line="277" w:lineRule="auto"/>
        <w:rPr>
          <w:sz w:val="20"/>
          <w:szCs w:val="20"/>
          <w:color w:val="auto"/>
        </w:rPr>
      </w:pPr>
      <w:r>
        <w:rPr>
          <w:rFonts w:ascii="Times New Roman" w:cs="Times New Roman" w:eastAsia="Times New Roman" w:hAnsi="Times New Roman"/>
          <w:sz w:val="17"/>
          <w:szCs w:val="17"/>
          <w:color w:val="auto"/>
        </w:rPr>
        <w:t>(j)              The Company uses commercially reasonable efforts to maintain and protect the confidentiality, integrity, and security of the IT Systems under the Company’s control and to prevent any unauthorized use, access, interruption, or modification of such IT Systems. Such IT Systems are, to the Company’s knowledge, (i) sufficient for the immediate and currently anticipated future needs of the Company, and (ii) in sufficiently good working condition to effectively perform all information technology operations as necessary for the operation of the business of the Company as currently conducted.</w:t>
      </w:r>
    </w:p>
    <w:p>
      <w:pPr>
        <w:spacing w:after="0" w:line="165" w:lineRule="exact"/>
        <w:rPr>
          <w:sz w:val="20"/>
          <w:szCs w:val="20"/>
          <w:color w:val="auto"/>
        </w:rPr>
      </w:pPr>
    </w:p>
    <w:p>
      <w:pPr>
        <w:ind w:right="100" w:firstLine="1281"/>
        <w:spacing w:after="0" w:line="252" w:lineRule="auto"/>
        <w:rPr>
          <w:sz w:val="20"/>
          <w:szCs w:val="20"/>
          <w:color w:val="auto"/>
        </w:rPr>
      </w:pPr>
      <w:r>
        <w:rPr>
          <w:rFonts w:ascii="Times New Roman" w:cs="Times New Roman" w:eastAsia="Times New Roman" w:hAnsi="Times New Roman"/>
          <w:sz w:val="18"/>
          <w:szCs w:val="18"/>
          <w:color w:val="auto"/>
        </w:rPr>
        <w:t>(k)             Since January 1, 2019 through the Agreement Date, the Company has not, to its knowledge, been subject to any or received any written notices of any or provided any notice to any Person in connection with any, (i) material breaches of security (including theft, exfiltration, and unauthorized use, access, collection, processing, storage, disposal, destruction, transfer, disclosure, interruption or modification by any Person), phishing incidents, ransomware or malware attacks, or other security incidents affecting (A) the IT Systems, or (B) any data or other information about an individual, including any Personal Information, stored or maintained by the Company (or any third party on its behalf), or (ii) failures, breakdowns, continued substandard performance, or other adverse events affecting any IT Systems that have caused any material disruption of or interruption in or to the use of the IT Systems.</w:t>
      </w:r>
    </w:p>
    <w:p>
      <w:pPr>
        <w:spacing w:after="0" w:line="187" w:lineRule="exact"/>
        <w:rPr>
          <w:sz w:val="20"/>
          <w:szCs w:val="20"/>
          <w:color w:val="auto"/>
        </w:rPr>
      </w:pPr>
    </w:p>
    <w:p>
      <w:pPr>
        <w:ind w:firstLine="1281"/>
        <w:spacing w:after="0" w:line="253" w:lineRule="auto"/>
        <w:rPr>
          <w:sz w:val="20"/>
          <w:szCs w:val="20"/>
          <w:color w:val="auto"/>
        </w:rPr>
      </w:pPr>
      <w:r>
        <w:rPr>
          <w:rFonts w:ascii="Times New Roman" w:cs="Times New Roman" w:eastAsia="Times New Roman" w:hAnsi="Times New Roman"/>
          <w:sz w:val="18"/>
          <w:szCs w:val="18"/>
          <w:color w:val="auto"/>
        </w:rPr>
        <w:t>(l)              Since January 1, 2019, the Company is and has been in material compliance in all material respects with all of the following to the extent relating to confidential or sensitive information or Personal Information (including the collection, processing, use, security, transfer, or disposition thereof), or otherwise relating to privacy, security, or security breach notification requirements and applicable to the business of the Company: (i) all applicable Laws; (ii) the Company’s internal and external privacy policies; (iii) all legally-binding industry standards; and (iv) applicable provisions of all Contracts relating to the foregoing (collectively, “</w:t>
      </w:r>
      <w:r>
        <w:rPr>
          <w:rFonts w:ascii="Times New Roman" w:cs="Times New Roman" w:eastAsia="Times New Roman" w:hAnsi="Times New Roman"/>
          <w:sz w:val="18"/>
          <w:szCs w:val="18"/>
          <w:u w:val="single" w:color="auto"/>
          <w:color w:val="auto"/>
        </w:rPr>
        <w:t>Data Security Requirements</w:t>
      </w:r>
      <w:r>
        <w:rPr>
          <w:rFonts w:ascii="Times New Roman" w:cs="Times New Roman" w:eastAsia="Times New Roman" w:hAnsi="Times New Roman"/>
          <w:sz w:val="18"/>
          <w:szCs w:val="18"/>
          <w:color w:val="auto"/>
        </w:rPr>
        <w:t>”). As of the Agreement Date, the Company has not received any written notice of any claims of or investigations or inquiries related to, or been charged with, the violation of any Data Security Requirements.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8"/>
          <w:szCs w:val="18"/>
          <w:color w:val="auto"/>
        </w:rPr>
        <w:t>Section 5.20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62" w:lineRule="auto"/>
        <w:rPr>
          <w:sz w:val="20"/>
          <w:szCs w:val="20"/>
          <w:color w:val="auto"/>
        </w:rPr>
      </w:pPr>
      <w:r>
        <w:rPr>
          <w:rFonts w:ascii="Times New Roman" w:cs="Times New Roman" w:eastAsia="Times New Roman" w:hAnsi="Times New Roman"/>
          <w:sz w:val="18"/>
          <w:szCs w:val="18"/>
          <w:color w:val="auto"/>
        </w:rPr>
        <w:t>(a)             The Company is, and since January 1, 2019 has been, in compliance in all material respects with all applicable Environmental Laws, which compliance includes and has included obtaining and complying in all material respects with all Permits required under applicable Environmental Laws;</w:t>
      </w:r>
    </w:p>
    <w:p>
      <w:pPr>
        <w:spacing w:after="0" w:line="176" w:lineRule="exact"/>
        <w:rPr>
          <w:sz w:val="20"/>
          <w:szCs w:val="20"/>
          <w:color w:val="auto"/>
        </w:rPr>
      </w:pPr>
    </w:p>
    <w:p>
      <w:pPr>
        <w:ind w:right="100" w:firstLine="1281"/>
        <w:spacing w:after="0" w:line="262" w:lineRule="auto"/>
        <w:rPr>
          <w:sz w:val="20"/>
          <w:szCs w:val="20"/>
          <w:color w:val="auto"/>
        </w:rPr>
      </w:pPr>
      <w:r>
        <w:rPr>
          <w:rFonts w:ascii="Times New Roman" w:cs="Times New Roman" w:eastAsia="Times New Roman" w:hAnsi="Times New Roman"/>
          <w:sz w:val="18"/>
          <w:szCs w:val="18"/>
          <w:color w:val="auto"/>
        </w:rPr>
        <w:t>(b)             There are no Actions pending against or, to the knowledge of the Company, threatened against the Company, and the Company has not received any written notice, report or other information in each case regarding any material violation of or liability (contingent or otherwise) under any Environmental Law or concerning any Hazardous Materials;</w:t>
      </w:r>
    </w:p>
    <w:p>
      <w:pPr>
        <w:spacing w:after="0" w:line="176" w:lineRule="exact"/>
        <w:rPr>
          <w:sz w:val="20"/>
          <w:szCs w:val="20"/>
          <w:color w:val="auto"/>
        </w:rPr>
      </w:pPr>
    </w:p>
    <w:p>
      <w:pPr>
        <w:ind w:firstLine="1281"/>
        <w:spacing w:after="0" w:line="254" w:lineRule="auto"/>
        <w:rPr>
          <w:sz w:val="20"/>
          <w:szCs w:val="20"/>
          <w:color w:val="auto"/>
        </w:rPr>
      </w:pPr>
      <w:r>
        <w:rPr>
          <w:rFonts w:ascii="Times New Roman" w:cs="Times New Roman" w:eastAsia="Times New Roman" w:hAnsi="Times New Roman"/>
          <w:sz w:val="18"/>
          <w:szCs w:val="18"/>
          <w:color w:val="auto"/>
        </w:rPr>
        <w:t>(c)             the Company (or any other Person to the extent acting on behalf of the Company and thereby giving rise to liability for the Company) has not manufactured, designed, produced, sold, marketed, distributed, treated, stored, disposed of, arranged for or permitted the disposal of, transported, handled, released, or exposed any Person to, or owned or operated any property or facility (including the Leased Real Property) contaminated by, any Hazardous Materials, in each case so as to give rise to any material liability (contingent or otherwise) pursuant to any Environmental Laws, and the Company has no material liability (contingent or otherwise) with respect to the presence of Hazardous Materials in any product or item; and</w:t>
      </w:r>
    </w:p>
    <w:p>
      <w:pPr>
        <w:spacing w:after="0" w:line="186" w:lineRule="exact"/>
        <w:rPr>
          <w:sz w:val="20"/>
          <w:szCs w:val="20"/>
          <w:color w:val="auto"/>
        </w:rPr>
      </w:pPr>
    </w:p>
    <w:p>
      <w:pPr>
        <w:ind w:right="20" w:firstLine="1281"/>
        <w:spacing w:after="0" w:line="277" w:lineRule="auto"/>
        <w:rPr>
          <w:sz w:val="20"/>
          <w:szCs w:val="20"/>
          <w:color w:val="auto"/>
        </w:rPr>
      </w:pPr>
      <w:r>
        <w:rPr>
          <w:rFonts w:ascii="Times New Roman" w:cs="Times New Roman" w:eastAsia="Times New Roman" w:hAnsi="Times New Roman"/>
          <w:sz w:val="18"/>
          <w:szCs w:val="18"/>
          <w:color w:val="auto"/>
        </w:rPr>
        <w:t>(d)             the Company has furnished to Acquiror all environmental reports and documents materially bearing on any environmental, health or safety liabilities relating to the businesses, properties or facilities of the Company in its possession or under its reasonable control.</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5.21          </w:t>
      </w:r>
      <w:r>
        <w:rPr>
          <w:rFonts w:ascii="Times New Roman" w:cs="Times New Roman" w:eastAsia="Times New Roman" w:hAnsi="Times New Roman"/>
          <w:sz w:val="18"/>
          <w:szCs w:val="18"/>
          <w:u w:val="single" w:color="auto"/>
          <w:color w:val="auto"/>
        </w:rPr>
        <w:t>  Absence of Changes</w:t>
      </w:r>
      <w:r>
        <w:rPr>
          <w:rFonts w:ascii="Times New Roman" w:cs="Times New Roman" w:eastAsia="Times New Roman" w:hAnsi="Times New Roman"/>
          <w:sz w:val="18"/>
          <w:szCs w:val="18"/>
          <w:color w:val="auto"/>
        </w:rPr>
        <w:t>. Since the date of the Most Recent Balance Sheet through the date of the Agreement:</w:t>
      </w:r>
    </w:p>
    <w:p>
      <w:pPr>
        <w:spacing w:after="0" w:line="220" w:lineRule="exact"/>
        <w:rPr>
          <w:sz w:val="20"/>
          <w:szCs w:val="20"/>
          <w:color w:val="auto"/>
        </w:rPr>
      </w:pPr>
    </w:p>
    <w:p>
      <w:pPr>
        <w:ind w:right="400" w:firstLine="1281"/>
        <w:spacing w:after="0" w:line="277" w:lineRule="auto"/>
        <w:rPr>
          <w:sz w:val="20"/>
          <w:szCs w:val="20"/>
          <w:color w:val="auto"/>
        </w:rPr>
      </w:pPr>
      <w:r>
        <w:rPr>
          <w:rFonts w:ascii="Times New Roman" w:cs="Times New Roman" w:eastAsia="Times New Roman" w:hAnsi="Times New Roman"/>
          <w:sz w:val="18"/>
          <w:szCs w:val="18"/>
          <w:color w:val="auto"/>
        </w:rPr>
        <w:t>(a)             there has not been any change, effect, event, occurrence, circumstance, state of facts or development that, individually or in the aggregate, has had or would reasonably be likely to have a Material Adverse Effect;</w:t>
      </w:r>
    </w:p>
    <w:p>
      <w:pPr>
        <w:spacing w:after="0" w:line="163" w:lineRule="exact"/>
        <w:rPr>
          <w:sz w:val="20"/>
          <w:szCs w:val="20"/>
          <w:color w:val="auto"/>
        </w:rPr>
      </w:pPr>
    </w:p>
    <w:p>
      <w:pPr>
        <w:ind w:firstLine="1281"/>
        <w:spacing w:after="0" w:line="262" w:lineRule="auto"/>
        <w:rPr>
          <w:sz w:val="20"/>
          <w:szCs w:val="20"/>
          <w:color w:val="auto"/>
        </w:rPr>
      </w:pPr>
      <w:r>
        <w:rPr>
          <w:rFonts w:ascii="Times New Roman" w:cs="Times New Roman" w:eastAsia="Times New Roman" w:hAnsi="Times New Roman"/>
          <w:sz w:val="18"/>
          <w:szCs w:val="18"/>
          <w:color w:val="auto"/>
        </w:rPr>
        <w:t xml:space="preserve">(b)            except (i) as set forth on </w:t>
      </w:r>
      <w:r>
        <w:rPr>
          <w:rFonts w:ascii="Times New Roman" w:cs="Times New Roman" w:eastAsia="Times New Roman" w:hAnsi="Times New Roman"/>
          <w:sz w:val="18"/>
          <w:szCs w:val="18"/>
          <w:u w:val="single" w:color="auto"/>
          <w:color w:val="auto"/>
        </w:rPr>
        <w:t>Schedule 5.21(b)</w:t>
      </w:r>
      <w:r>
        <w:rPr>
          <w:rFonts w:ascii="Times New Roman" w:cs="Times New Roman" w:eastAsia="Times New Roman" w:hAnsi="Times New Roman"/>
          <w:sz w:val="18"/>
          <w:szCs w:val="18"/>
          <w:color w:val="auto"/>
        </w:rPr>
        <w:t>, (ii) for any actions taken in response to COVID-19 Measures, and (iii) in connection with the Transactions, through and including the date of this Agreement, the Company has carried on its businesses and operated its properties in all material respects in the ordinary course of business; and</w:t>
      </w:r>
    </w:p>
    <w:p>
      <w:pPr>
        <w:spacing w:after="0" w:line="176" w:lineRule="exact"/>
        <w:rPr>
          <w:sz w:val="20"/>
          <w:szCs w:val="20"/>
          <w:color w:val="auto"/>
        </w:rPr>
      </w:pPr>
    </w:p>
    <w:p>
      <w:pPr>
        <w:jc w:val="both"/>
        <w:ind w:right="60" w:firstLine="1281"/>
        <w:spacing w:after="0" w:line="262" w:lineRule="auto"/>
        <w:rPr>
          <w:sz w:val="20"/>
          <w:szCs w:val="20"/>
          <w:color w:val="auto"/>
        </w:rPr>
      </w:pPr>
      <w:r>
        <w:rPr>
          <w:rFonts w:ascii="Times New Roman" w:cs="Times New Roman" w:eastAsia="Times New Roman" w:hAnsi="Times New Roman"/>
          <w:sz w:val="18"/>
          <w:szCs w:val="18"/>
          <w:color w:val="auto"/>
        </w:rPr>
        <w:t xml:space="preserve">(c)             except (i) as set forth on </w:t>
      </w:r>
      <w:r>
        <w:rPr>
          <w:rFonts w:ascii="Times New Roman" w:cs="Times New Roman" w:eastAsia="Times New Roman" w:hAnsi="Times New Roman"/>
          <w:sz w:val="18"/>
          <w:szCs w:val="18"/>
          <w:u w:val="single" w:color="auto"/>
          <w:color w:val="auto"/>
        </w:rPr>
        <w:t>Schedule 5.21(c)</w:t>
      </w:r>
      <w:r>
        <w:rPr>
          <w:rFonts w:ascii="Times New Roman" w:cs="Times New Roman" w:eastAsia="Times New Roman" w:hAnsi="Times New Roman"/>
          <w:sz w:val="18"/>
          <w:szCs w:val="18"/>
          <w:color w:val="auto"/>
        </w:rPr>
        <w:t xml:space="preserve">, (ii) for any actions taken in response to COVID-19 Measures and (iii) in connection with the Transactions, the Company has not taken or permitted to occur any action that, were it to be taken from and after the date hereof, would require the prior written consent of Acquiror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0"/>
        <w:spacing w:after="0" w:line="284" w:lineRule="auto"/>
        <w:rPr>
          <w:sz w:val="20"/>
          <w:szCs w:val="20"/>
          <w:color w:val="auto"/>
        </w:rPr>
      </w:pPr>
      <w:r>
        <w:rPr>
          <w:rFonts w:ascii="Times New Roman" w:cs="Times New Roman" w:eastAsia="Times New Roman" w:hAnsi="Times New Roman"/>
          <w:sz w:val="17"/>
          <w:szCs w:val="17"/>
          <w:color w:val="auto"/>
        </w:rPr>
        <w:t>Section 5.22          </w:t>
      </w:r>
      <w:r>
        <w:rPr>
          <w:rFonts w:ascii="Times New Roman" w:cs="Times New Roman" w:eastAsia="Times New Roman" w:hAnsi="Times New Roman"/>
          <w:sz w:val="17"/>
          <w:szCs w:val="17"/>
          <w:u w:val="single" w:color="auto"/>
          <w:color w:val="auto"/>
        </w:rPr>
        <w:t>  Brokers’ Fees</w:t>
      </w:r>
      <w:r>
        <w:rPr>
          <w:rFonts w:ascii="Times New Roman" w:cs="Times New Roman" w:eastAsia="Times New Roman" w:hAnsi="Times New Roman"/>
          <w:sz w:val="17"/>
          <w:szCs w:val="17"/>
          <w:color w:val="auto"/>
        </w:rPr>
        <w:t xml:space="preserve">. Except for the fees described on </w:t>
      </w:r>
      <w:r>
        <w:rPr>
          <w:rFonts w:ascii="Times New Roman" w:cs="Times New Roman" w:eastAsia="Times New Roman" w:hAnsi="Times New Roman"/>
          <w:sz w:val="17"/>
          <w:szCs w:val="17"/>
          <w:u w:val="single" w:color="auto"/>
          <w:color w:val="auto"/>
        </w:rPr>
        <w:t>Schedule 5.22</w:t>
      </w:r>
      <w:r>
        <w:rPr>
          <w:rFonts w:ascii="Times New Roman" w:cs="Times New Roman" w:eastAsia="Times New Roman" w:hAnsi="Times New Roman"/>
          <w:sz w:val="17"/>
          <w:szCs w:val="17"/>
          <w:color w:val="auto"/>
        </w:rPr>
        <w:t xml:space="preserve"> (including the amounts owed with respect thereto), no broker, finder, financial advisor, investment banker or other Person is entitled to any brokerage fee, finders’ fee or other similar fee, commission or other similar payment in connection with the Transactions based upon arrangements made by the Company or any of their Affiliates for which the Company has any obligation.</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1" w:name="page62"/>
    <w:bookmarkEnd w:id="61"/>
    <w:p>
      <w:pPr>
        <w:ind w:left="640"/>
        <w:spacing w:after="0"/>
        <w:rPr>
          <w:sz w:val="20"/>
          <w:szCs w:val="20"/>
          <w:color w:val="auto"/>
        </w:rPr>
      </w:pPr>
      <w:r>
        <w:rPr>
          <w:rFonts w:ascii="Times New Roman" w:cs="Times New Roman" w:eastAsia="Times New Roman" w:hAnsi="Times New Roman"/>
          <w:sz w:val="18"/>
          <w:szCs w:val="18"/>
          <w:color w:val="auto"/>
        </w:rPr>
        <w:t>Section 5.23          </w:t>
      </w:r>
      <w:r>
        <w:rPr>
          <w:rFonts w:ascii="Times New Roman" w:cs="Times New Roman" w:eastAsia="Times New Roman" w:hAnsi="Times New Roman"/>
          <w:sz w:val="18"/>
          <w:szCs w:val="18"/>
          <w:u w:val="single" w:color="auto"/>
          <w:color w:val="auto"/>
        </w:rPr>
        <w:t>  Healthcare Matters</w:t>
      </w:r>
      <w:r>
        <w:rPr>
          <w:rFonts w:ascii="Times New Roman" w:cs="Times New Roman" w:eastAsia="Times New Roman" w:hAnsi="Times New Roman"/>
          <w:sz w:val="18"/>
          <w:szCs w:val="18"/>
          <w:color w:val="auto"/>
        </w:rPr>
        <w:t xml:space="preserve">. Without limiting the generality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(a)             Since January 1, 2019, the Company is, and at all times has been, in material compliance in all material respects with all applicable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Healthcare Laws.</w:t>
      </w:r>
    </w:p>
    <w:p>
      <w:pPr>
        <w:spacing w:after="0" w:line="201" w:lineRule="exact"/>
        <w:rPr>
          <w:sz w:val="20"/>
          <w:szCs w:val="20"/>
          <w:color w:val="auto"/>
        </w:rPr>
      </w:pPr>
    </w:p>
    <w:p>
      <w:pPr>
        <w:ind w:right="20" w:firstLine="1281"/>
        <w:spacing w:after="0" w:line="277" w:lineRule="auto"/>
        <w:rPr>
          <w:sz w:val="20"/>
          <w:szCs w:val="20"/>
          <w:color w:val="auto"/>
        </w:rPr>
      </w:pPr>
      <w:r>
        <w:rPr>
          <w:rFonts w:ascii="Times New Roman" w:cs="Times New Roman" w:eastAsia="Times New Roman" w:hAnsi="Times New Roman"/>
          <w:sz w:val="18"/>
          <w:szCs w:val="18"/>
          <w:color w:val="auto"/>
        </w:rPr>
        <w:t>(b)             There are no, and since January 1, 2019 through the Agreement Date, there have not been any Actions pending or, to the knowledge of the Company, threatened in writing against the Company alleging a violation of Healthcare Law.</w:t>
      </w:r>
    </w:p>
    <w:p>
      <w:pPr>
        <w:spacing w:after="0" w:line="163" w:lineRule="exact"/>
        <w:rPr>
          <w:sz w:val="20"/>
          <w:szCs w:val="20"/>
          <w:color w:val="auto"/>
        </w:rPr>
      </w:pPr>
    </w:p>
    <w:p>
      <w:pPr>
        <w:ind w:right="40" w:firstLine="1281"/>
        <w:spacing w:after="0" w:line="257" w:lineRule="auto"/>
        <w:rPr>
          <w:sz w:val="20"/>
          <w:szCs w:val="20"/>
          <w:color w:val="auto"/>
        </w:rPr>
      </w:pPr>
      <w:r>
        <w:rPr>
          <w:rFonts w:ascii="Times New Roman" w:cs="Times New Roman" w:eastAsia="Times New Roman" w:hAnsi="Times New Roman"/>
          <w:sz w:val="18"/>
          <w:szCs w:val="18"/>
          <w:color w:val="auto"/>
        </w:rPr>
        <w:t>(c)             As of the Agreement Date, neither the Company nor to the knowledge of the Company, any of its directors, managing employees or executive officers, is currently, or has ever been suspended, terminated, excluded or debarred from any Government Program or to the knowledge of the Company, threatened in writing with or currently subject to an investigation or proceeding that could result in suspension, exclusion, termination or debarment from any Government Program or any other debarment, exclusion or sanction list or database.</w:t>
      </w:r>
    </w:p>
    <w:p>
      <w:pPr>
        <w:spacing w:after="0" w:line="181" w:lineRule="exact"/>
        <w:rPr>
          <w:sz w:val="20"/>
          <w:szCs w:val="20"/>
          <w:color w:val="auto"/>
        </w:rPr>
      </w:pPr>
    </w:p>
    <w:p>
      <w:pPr>
        <w:ind w:right="20" w:firstLine="1281"/>
        <w:spacing w:after="0" w:line="257" w:lineRule="auto"/>
        <w:rPr>
          <w:sz w:val="20"/>
          <w:szCs w:val="20"/>
          <w:color w:val="auto"/>
        </w:rPr>
      </w:pPr>
      <w:r>
        <w:rPr>
          <w:rFonts w:ascii="Times New Roman" w:cs="Times New Roman" w:eastAsia="Times New Roman" w:hAnsi="Times New Roman"/>
          <w:sz w:val="18"/>
          <w:szCs w:val="18"/>
          <w:color w:val="auto"/>
        </w:rPr>
        <w:t>(d)             Since January 1, 2019, the Company has not made an untrue statement of fact or fraudulent statement to any Governmental Authority, failed to disclose a material fact required to be disclosed to any Governmental Authority, or committed an act, made a statement, or failed to make a statement that, at the time such disclosure was made, would reasonably be expected to be in material violation of any Healthcare Law. The Company does not bill nor is the Company reimbursed by any Payor.</w:t>
      </w:r>
    </w:p>
    <w:p>
      <w:pPr>
        <w:spacing w:after="0" w:line="181" w:lineRule="exact"/>
        <w:rPr>
          <w:sz w:val="20"/>
          <w:szCs w:val="20"/>
          <w:color w:val="auto"/>
        </w:rPr>
      </w:pPr>
    </w:p>
    <w:p>
      <w:pPr>
        <w:ind w:firstLine="1281"/>
        <w:spacing w:after="0" w:line="271" w:lineRule="auto"/>
        <w:rPr>
          <w:sz w:val="20"/>
          <w:szCs w:val="20"/>
          <w:color w:val="auto"/>
        </w:rPr>
      </w:pPr>
      <w:r>
        <w:rPr>
          <w:rFonts w:ascii="Times New Roman" w:cs="Times New Roman" w:eastAsia="Times New Roman" w:hAnsi="Times New Roman"/>
          <w:sz w:val="17"/>
          <w:szCs w:val="17"/>
          <w:color w:val="auto"/>
        </w:rPr>
        <w:t>(e)             The Company (i) is not a party to a Corporate Integrity Agreement with the Office of Inspector General of the Department of Health and Human Services, (ii) does not have any reporting obligation pursuant to any settlement agreement entered into with any governmental entity, (iii) to the knowledge of the Company, is not the subject of any Government Program investigation conducted by any federal or state enforcement agency, (iv) is not a defendant in any qui tam/False Claims Act litigation, and (v) has not been served with or received any search warrant, subpoena, civil investigative demand, contact letter, or personal or telephone contact by or from any federal or state enforcement agency, in each case other than routine contacts and notifications not relating to an investigation or an actual or potential violation of any applicable Healthcare Law, in each case (i) though (v) which remains unresolved.</w:t>
      </w:r>
    </w:p>
    <w:p>
      <w:pPr>
        <w:spacing w:after="0" w:line="170" w:lineRule="exact"/>
        <w:rPr>
          <w:sz w:val="20"/>
          <w:szCs w:val="20"/>
          <w:color w:val="auto"/>
        </w:rPr>
      </w:pPr>
    </w:p>
    <w:p>
      <w:pPr>
        <w:ind w:right="80" w:firstLine="1281"/>
        <w:spacing w:after="0" w:line="262" w:lineRule="auto"/>
        <w:rPr>
          <w:sz w:val="20"/>
          <w:szCs w:val="20"/>
          <w:color w:val="auto"/>
        </w:rPr>
      </w:pPr>
      <w:r>
        <w:rPr>
          <w:rFonts w:ascii="Times New Roman" w:cs="Times New Roman" w:eastAsia="Times New Roman" w:hAnsi="Times New Roman"/>
          <w:sz w:val="18"/>
          <w:szCs w:val="18"/>
          <w:color w:val="auto"/>
        </w:rPr>
        <w:t>(f)             The Company has established a compliance training program, the purpose of which is to reasonably assure that the Company, its assets, and the business of the Company, respectively are in compliance in all material respects with all Healthcare Laws. There are no material compliance-related complaints or material outstanding corrective actions.</w:t>
      </w:r>
    </w:p>
    <w:p>
      <w:pPr>
        <w:spacing w:after="0" w:line="176" w:lineRule="exact"/>
        <w:rPr>
          <w:sz w:val="20"/>
          <w:szCs w:val="20"/>
          <w:color w:val="auto"/>
        </w:rPr>
      </w:pPr>
    </w:p>
    <w:p>
      <w:pPr>
        <w:ind w:right="60" w:firstLine="1281"/>
        <w:spacing w:after="0" w:line="257" w:lineRule="auto"/>
        <w:rPr>
          <w:sz w:val="20"/>
          <w:szCs w:val="20"/>
          <w:color w:val="auto"/>
        </w:rPr>
      </w:pPr>
      <w:r>
        <w:rPr>
          <w:rFonts w:ascii="Times New Roman" w:cs="Times New Roman" w:eastAsia="Times New Roman" w:hAnsi="Times New Roman"/>
          <w:sz w:val="18"/>
          <w:szCs w:val="18"/>
          <w:color w:val="auto"/>
        </w:rPr>
        <w:t>(g)             All products or services marketed by or on behalf of the Company that are subject to the jurisdiction of Healthcare Laws are marketed in compliance in all material respects, with all applicable Healthcare Laws. The Company has a system in place for monitoring and recording all payments or other transfers of value to physicians and teaching hospitals and is, and has at all times since January 1, 2019, been in material compliance with all reporting and disclosure requirements under the Physician Payments Sunshine Act (42 U.S.C. Section 1320a-7h.</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5.24          </w:t>
      </w:r>
      <w:r>
        <w:rPr>
          <w:rFonts w:ascii="Times New Roman" w:cs="Times New Roman" w:eastAsia="Times New Roman" w:hAnsi="Times New Roman"/>
          <w:sz w:val="18"/>
          <w:szCs w:val="18"/>
          <w:u w:val="single" w:color="auto"/>
          <w:color w:val="auto"/>
        </w:rPr>
        <w:t>  Insurance Regulatory Matters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360" w:firstLine="1281"/>
        <w:spacing w:after="0" w:line="277" w:lineRule="auto"/>
        <w:rPr>
          <w:sz w:val="20"/>
          <w:szCs w:val="20"/>
          <w:color w:val="auto"/>
        </w:rPr>
      </w:pPr>
      <w:r>
        <w:rPr>
          <w:rFonts w:ascii="Times New Roman" w:cs="Times New Roman" w:eastAsia="Times New Roman" w:hAnsi="Times New Roman"/>
          <w:sz w:val="18"/>
          <w:szCs w:val="18"/>
          <w:color w:val="auto"/>
        </w:rPr>
        <w:t>(a)             The Company is, and at all times since January 1, 2019, has been, in compliance with all applicable insurance Laws (other than Healthcare Laws), except for such non-compliance which would not constitute a Material Adverse Effect.</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62" w:name="page63"/>
    <w:bookmarkEnd w:id="62"/>
    <w:p>
      <w:pPr>
        <w:jc w:val="both"/>
        <w:ind w:right="140" w:firstLine="1281"/>
        <w:spacing w:after="0" w:line="262" w:lineRule="auto"/>
        <w:rPr>
          <w:sz w:val="20"/>
          <w:szCs w:val="20"/>
          <w:color w:val="auto"/>
        </w:rPr>
      </w:pPr>
      <w:r>
        <w:rPr>
          <w:rFonts w:ascii="Times New Roman" w:cs="Times New Roman" w:eastAsia="Times New Roman" w:hAnsi="Times New Roman"/>
          <w:sz w:val="18"/>
          <w:szCs w:val="18"/>
          <w:color w:val="auto"/>
        </w:rPr>
        <w:t xml:space="preserve">(b)             Without limiting the generality of </w:t>
      </w:r>
      <w:r>
        <w:rPr>
          <w:rFonts w:ascii="Times New Roman" w:cs="Times New Roman" w:eastAsia="Times New Roman" w:hAnsi="Times New Roman"/>
          <w:sz w:val="18"/>
          <w:szCs w:val="18"/>
          <w:u w:val="single" w:color="auto"/>
          <w:color w:val="auto"/>
        </w:rPr>
        <w:t>Section 5.24(a)</w:t>
      </w:r>
      <w:r>
        <w:rPr>
          <w:rFonts w:ascii="Times New Roman" w:cs="Times New Roman" w:eastAsia="Times New Roman" w:hAnsi="Times New Roman"/>
          <w:sz w:val="18"/>
          <w:szCs w:val="18"/>
          <w:color w:val="auto"/>
        </w:rPr>
        <w:t>, there is no Action, or proceeding pending or, to the knowledge of the Company, threatened in writing against the Company alleging a violation of insurance Laws (other than Healthcare Laws), that would reasonably be expected to result in suspension or revocation of any Permit.</w:t>
      </w:r>
    </w:p>
    <w:p>
      <w:pPr>
        <w:spacing w:after="0" w:line="176" w:lineRule="exact"/>
        <w:rPr>
          <w:sz w:val="20"/>
          <w:szCs w:val="20"/>
          <w:color w:val="auto"/>
        </w:rPr>
      </w:pPr>
    </w:p>
    <w:p>
      <w:pPr>
        <w:ind w:right="80" w:firstLine="640"/>
        <w:spacing w:after="0" w:line="253" w:lineRule="auto"/>
        <w:rPr>
          <w:sz w:val="20"/>
          <w:szCs w:val="20"/>
          <w:color w:val="auto"/>
        </w:rPr>
      </w:pPr>
      <w:r>
        <w:rPr>
          <w:rFonts w:ascii="Times New Roman" w:cs="Times New Roman" w:eastAsia="Times New Roman" w:hAnsi="Times New Roman"/>
          <w:sz w:val="18"/>
          <w:szCs w:val="18"/>
          <w:color w:val="auto"/>
        </w:rPr>
        <w:t>Section 5.25          </w:t>
      </w:r>
      <w:r>
        <w:rPr>
          <w:rFonts w:ascii="Times New Roman" w:cs="Times New Roman" w:eastAsia="Times New Roman" w:hAnsi="Times New Roman"/>
          <w:sz w:val="18"/>
          <w:szCs w:val="18"/>
          <w:u w:val="single" w:color="auto"/>
          <w:color w:val="auto"/>
        </w:rPr>
        <w:t>  Related Party Transactions</w:t>
      </w:r>
      <w:r>
        <w:rPr>
          <w:rFonts w:ascii="Times New Roman" w:cs="Times New Roman" w:eastAsia="Times New Roman" w:hAnsi="Times New Roman"/>
          <w:sz w:val="18"/>
          <w:szCs w:val="18"/>
          <w:color w:val="auto"/>
        </w:rPr>
        <w:t xml:space="preserve">. Except for the Contracts set forth on </w:t>
      </w:r>
      <w:r>
        <w:rPr>
          <w:rFonts w:ascii="Times New Roman" w:cs="Times New Roman" w:eastAsia="Times New Roman" w:hAnsi="Times New Roman"/>
          <w:sz w:val="18"/>
          <w:szCs w:val="18"/>
          <w:u w:val="single" w:color="auto"/>
          <w:color w:val="auto"/>
        </w:rPr>
        <w:t>Schedule 5.25</w:t>
      </w:r>
      <w:r>
        <w:rPr>
          <w:rFonts w:ascii="Times New Roman" w:cs="Times New Roman" w:eastAsia="Times New Roman" w:hAnsi="Times New Roman"/>
          <w:sz w:val="18"/>
          <w:szCs w:val="18"/>
          <w:color w:val="auto"/>
        </w:rPr>
        <w:t xml:space="preserve">, there are no Contracts between the Company, on the one hand, and any Affiliate, officer or director of the Company, on the other hand, except in each case, for (a) employment agreements, fringe benefits and other compensation paid to directors, officers and employees consistent with previously established policies, (b) reimbursements of expenses incurred in connection with their employment or service (excluding from clause (a) and this clause (b) any loans made by the Company to any officer, director, employee, member or stockholder and all related arrangements, including any pledge arrangements) and (c) amounts paid pursuant to Company Benefit Plans set forth on </w:t>
      </w:r>
      <w:r>
        <w:rPr>
          <w:rFonts w:ascii="Times New Roman" w:cs="Times New Roman" w:eastAsia="Times New Roman" w:hAnsi="Times New Roman"/>
          <w:sz w:val="18"/>
          <w:szCs w:val="18"/>
          <w:u w:val="single" w:color="auto"/>
          <w:color w:val="auto"/>
        </w:rPr>
        <w:t>Schedule 5.12(a)</w:t>
      </w:r>
      <w:r>
        <w:rPr>
          <w:rFonts w:ascii="Times New Roman" w:cs="Times New Roman" w:eastAsia="Times New Roman" w:hAnsi="Times New Roman"/>
          <w:sz w:val="18"/>
          <w:szCs w:val="18"/>
          <w:color w:val="auto"/>
        </w:rPr>
        <w:t xml:space="preserve"> (clauses (a) through (c) collectively, the “</w:t>
      </w:r>
      <w:r>
        <w:rPr>
          <w:rFonts w:ascii="Times New Roman" w:cs="Times New Roman" w:eastAsia="Times New Roman" w:hAnsi="Times New Roman"/>
          <w:sz w:val="18"/>
          <w:szCs w:val="18"/>
          <w:u w:val="single" w:color="auto"/>
          <w:color w:val="auto"/>
        </w:rPr>
        <w:t>Ancillary Related Party Arrangements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60" w:firstLine="640"/>
        <w:spacing w:after="0" w:line="277" w:lineRule="auto"/>
        <w:rPr>
          <w:sz w:val="20"/>
          <w:szCs w:val="20"/>
          <w:color w:val="auto"/>
        </w:rPr>
      </w:pPr>
      <w:r>
        <w:rPr>
          <w:rFonts w:ascii="Times New Roman" w:cs="Times New Roman" w:eastAsia="Times New Roman" w:hAnsi="Times New Roman"/>
          <w:sz w:val="17"/>
          <w:szCs w:val="17"/>
          <w:color w:val="auto"/>
        </w:rPr>
        <w:t>Section 5.26          </w:t>
      </w:r>
      <w:r>
        <w:rPr>
          <w:rFonts w:ascii="Times New Roman" w:cs="Times New Roman" w:eastAsia="Times New Roman" w:hAnsi="Times New Roman"/>
          <w:sz w:val="17"/>
          <w:szCs w:val="17"/>
          <w:u w:val="single" w:color="auto"/>
          <w:color w:val="auto"/>
        </w:rPr>
        <w:t>  Information Supplied</w:t>
      </w:r>
      <w:r>
        <w:rPr>
          <w:rFonts w:ascii="Times New Roman" w:cs="Times New Roman" w:eastAsia="Times New Roman" w:hAnsi="Times New Roman"/>
          <w:sz w:val="17"/>
          <w:szCs w:val="17"/>
          <w:color w:val="auto"/>
        </w:rPr>
        <w:t>. None of the information relating to the Company supplied or to be supplied by the Company, or by any other Person acting on behalf of the Company, in writing specifically for inclusion in the Registration Statement will, as of the date the Registration Statement (or any amendment or supplement thereto) is first filed with the SEC or when first mailed to Acquiror’s stockholders, contain any untrue statement of a material fact or omit to state a material fact necessary to make the statements therein, in light of the circumstances under which they were made, not misleading.</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5.27          </w:t>
      </w:r>
      <w:r>
        <w:rPr>
          <w:rFonts w:ascii="Times New Roman" w:cs="Times New Roman" w:eastAsia="Times New Roman" w:hAnsi="Times New Roman"/>
          <w:sz w:val="18"/>
          <w:szCs w:val="18"/>
          <w:u w:val="single" w:color="auto"/>
          <w:color w:val="auto"/>
        </w:rPr>
        <w:t>  Government Contracts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40" w:firstLine="1281"/>
        <w:spacing w:after="0" w:line="257" w:lineRule="auto"/>
        <w:rPr>
          <w:sz w:val="20"/>
          <w:szCs w:val="20"/>
          <w:color w:val="auto"/>
        </w:rPr>
      </w:pPr>
      <w:r>
        <w:rPr>
          <w:rFonts w:ascii="Times New Roman" w:cs="Times New Roman" w:eastAsia="Times New Roman" w:hAnsi="Times New Roman"/>
          <w:sz w:val="18"/>
          <w:szCs w:val="18"/>
          <w:color w:val="auto"/>
        </w:rPr>
        <w:t>(a)             The Company has not materially breached or violated any Law, certification, representation, clause, provision or requirement pertaining to any Government Contract nor received notice that the Company (i) has materially breached or violated any Law, certification, representation, clause or provision, (ii) is in material breach of any Government Contract or Government Bid, or (iii) is subject to any material cost disallowance, withhold, offset, overpayment or credit requested by or on behalf of a Governmental Authority.</w:t>
      </w:r>
    </w:p>
    <w:p>
      <w:pPr>
        <w:spacing w:after="0" w:line="181" w:lineRule="exact"/>
        <w:rPr>
          <w:sz w:val="20"/>
          <w:szCs w:val="20"/>
          <w:color w:val="auto"/>
        </w:rPr>
      </w:pPr>
    </w:p>
    <w:p>
      <w:pPr>
        <w:ind w:right="720" w:firstLine="1281"/>
        <w:spacing w:after="0" w:line="277" w:lineRule="auto"/>
        <w:rPr>
          <w:sz w:val="20"/>
          <w:szCs w:val="20"/>
          <w:color w:val="auto"/>
        </w:rPr>
      </w:pPr>
      <w:r>
        <w:rPr>
          <w:rFonts w:ascii="Times New Roman" w:cs="Times New Roman" w:eastAsia="Times New Roman" w:hAnsi="Times New Roman"/>
          <w:sz w:val="18"/>
          <w:szCs w:val="18"/>
          <w:color w:val="auto"/>
        </w:rPr>
        <w:t>(b)            Since January 1, 2019, the Company has not received written notice of termination, cure notice, show cause notice or other indication of termination pertaining to any Government Contract.</w:t>
      </w:r>
    </w:p>
    <w:p>
      <w:pPr>
        <w:spacing w:after="0" w:line="163" w:lineRule="exact"/>
        <w:rPr>
          <w:sz w:val="20"/>
          <w:szCs w:val="20"/>
          <w:color w:val="auto"/>
        </w:rPr>
      </w:pPr>
    </w:p>
    <w:p>
      <w:pPr>
        <w:ind w:right="400" w:firstLine="1281"/>
        <w:spacing w:after="0" w:line="273" w:lineRule="auto"/>
        <w:rPr>
          <w:sz w:val="20"/>
          <w:szCs w:val="20"/>
          <w:color w:val="auto"/>
        </w:rPr>
      </w:pPr>
      <w:r>
        <w:rPr>
          <w:rFonts w:ascii="Times New Roman" w:cs="Times New Roman" w:eastAsia="Times New Roman" w:hAnsi="Times New Roman"/>
          <w:sz w:val="17"/>
          <w:szCs w:val="17"/>
          <w:color w:val="auto"/>
        </w:rPr>
        <w:t>(c)             With respect to each Government Contract and Government Bid: (i) all pricing discounts have been properly reported to and credited to the customer; (ii) the Company has not received any notice of any interruption or material decrease in the purchasing of products or services;</w:t>
      </w:r>
    </w:p>
    <w:p>
      <w:pPr>
        <w:spacing w:after="0" w:line="1" w:lineRule="exact"/>
        <w:rPr>
          <w:sz w:val="20"/>
          <w:szCs w:val="20"/>
          <w:color w:val="auto"/>
        </w:rPr>
      </w:pPr>
    </w:p>
    <w:p>
      <w:pPr>
        <w:ind w:firstLine="7"/>
        <w:spacing w:after="0" w:line="249" w:lineRule="auto"/>
        <w:tabs>
          <w:tab w:leader="none" w:pos="3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fully expects and intends to perform all material obligations thereunder and the Company has or will obtain all Governmental Authority authorizations and all third-party certifications and approvals required for such performance; (iv) neither the Company, nor to the knowledge of the Company, any of its officers, or employees have had access to confidential or non-public information to which they were not lawfully entitled; and (v) neither the Company nor to the knowledge of the Company, any of its employees, consultants or independent contractors has violated any requirements associated with offers of employment or the employment of current or former officials or employees of a Governmental Authority.</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            Since January 1, 2019, the Company has not submitted certified cost or pricing data.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ind w:right="340" w:firstLine="1281"/>
        <w:spacing w:after="0" w:line="277" w:lineRule="auto"/>
        <w:rPr>
          <w:sz w:val="20"/>
          <w:szCs w:val="20"/>
          <w:color w:val="auto"/>
        </w:rPr>
      </w:pPr>
      <w:r>
        <w:rPr>
          <w:rFonts w:ascii="Times New Roman" w:cs="Times New Roman" w:eastAsia="Times New Roman" w:hAnsi="Times New Roman"/>
          <w:sz w:val="18"/>
          <w:szCs w:val="18"/>
          <w:color w:val="auto"/>
        </w:rPr>
        <w:t>(e)             All invoices and claims submitted for payment, reimbursement or adjustment submitted by Company were current, accurate and complete in all material respects as of their respective submission dates.</w:t>
      </w:r>
    </w:p>
    <w:p>
      <w:pPr>
        <w:spacing w:after="0" w:line="163" w:lineRule="exact"/>
        <w:rPr>
          <w:sz w:val="20"/>
          <w:szCs w:val="20"/>
          <w:color w:val="auto"/>
        </w:rPr>
      </w:pPr>
    </w:p>
    <w:p>
      <w:pPr>
        <w:ind w:right="140" w:firstLine="1281"/>
        <w:spacing w:after="0" w:line="257"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8"/>
          <w:szCs w:val="8"/>
          <w:color w:val="auto"/>
        </w:rPr>
        <w:t> </w:t>
      </w:r>
      <w:r>
        <w:rPr>
          <w:rFonts w:ascii="Times New Roman" w:cs="Times New Roman" w:eastAsia="Times New Roman" w:hAnsi="Times New Roman"/>
          <w:sz w:val="18"/>
          <w:szCs w:val="18"/>
          <w:color w:val="auto"/>
        </w:rPr>
        <w:t>        Neither the Company, nor any of its officers, senior management or employees acting on its behalf, have been debarred, suspended or excluded from participation in the award or performance of any Government Contract for any reason nor has any debarment, suspension or exclusion, investigation or audit, been threatened or initiated against the Company or, to the knowledge of the Company, any of their officers, senior management, or employees.</w:t>
      </w:r>
    </w:p>
    <w:p>
      <w:pPr>
        <w:spacing w:after="0" w:line="181" w:lineRule="exact"/>
        <w:rPr>
          <w:sz w:val="20"/>
          <w:szCs w:val="20"/>
          <w:color w:val="auto"/>
        </w:rPr>
      </w:pPr>
    </w:p>
    <w:p>
      <w:pPr>
        <w:ind w:firstLine="1281"/>
        <w:spacing w:after="0" w:line="262" w:lineRule="auto"/>
        <w:rPr>
          <w:sz w:val="20"/>
          <w:szCs w:val="20"/>
          <w:color w:val="auto"/>
        </w:rPr>
      </w:pPr>
      <w:r>
        <w:rPr>
          <w:rFonts w:ascii="Times New Roman" w:cs="Times New Roman" w:eastAsia="Times New Roman" w:hAnsi="Times New Roman"/>
          <w:sz w:val="18"/>
          <w:szCs w:val="18"/>
          <w:color w:val="auto"/>
        </w:rPr>
        <w:t>(g)             Neither the Company, nor any of its officers, senior management, or employees is or since January 1, 2019 has been under or subject to any administrative, civil or criminal investigation, indictment, information lawsuit, subpoena, document request, administrative proceeding, or audit pertaining to an alleged or potential violation of any requirement, regulation or Law applicable to any Government Contract.</w:t>
      </w:r>
    </w:p>
    <w:p>
      <w:pPr>
        <w:spacing w:after="0" w:line="176" w:lineRule="exact"/>
        <w:rPr>
          <w:sz w:val="20"/>
          <w:szCs w:val="20"/>
          <w:color w:val="auto"/>
        </w:rPr>
      </w:pPr>
    </w:p>
    <w:p>
      <w:pPr>
        <w:jc w:val="both"/>
        <w:ind w:right="500" w:firstLine="1281"/>
        <w:spacing w:after="0" w:line="262" w:lineRule="auto"/>
        <w:rPr>
          <w:sz w:val="20"/>
          <w:szCs w:val="20"/>
          <w:color w:val="auto"/>
        </w:rPr>
      </w:pPr>
      <w:r>
        <w:rPr>
          <w:rFonts w:ascii="Times New Roman" w:cs="Times New Roman" w:eastAsia="Times New Roman" w:hAnsi="Times New Roman"/>
          <w:sz w:val="18"/>
          <w:szCs w:val="18"/>
          <w:color w:val="auto"/>
        </w:rPr>
        <w:t>(h)             Since January 1, 2019, other than in the ordinary course of business, the Company has not conducted or initiated any internal investigation, made a voluntary disclosure or been under any obligation to disclose to any Governmental Authority, or any other Person, any alleged or potential irregularity, misstatement or omission arising under or relating to a Government Contract or Government Bid.</w:t>
      </w:r>
    </w:p>
    <w:p>
      <w:pPr>
        <w:spacing w:after="0" w:line="176" w:lineRule="exact"/>
        <w:rPr>
          <w:sz w:val="20"/>
          <w:szCs w:val="20"/>
          <w:color w:val="auto"/>
        </w:rPr>
      </w:pPr>
    </w:p>
    <w:p>
      <w:pPr>
        <w:ind w:right="120" w:firstLine="1281"/>
        <w:spacing w:after="0" w:line="277" w:lineRule="auto"/>
        <w:rPr>
          <w:sz w:val="20"/>
          <w:szCs w:val="20"/>
          <w:color w:val="auto"/>
        </w:rPr>
      </w:pPr>
      <w:r>
        <w:rPr>
          <w:rFonts w:ascii="Times New Roman" w:cs="Times New Roman" w:eastAsia="Times New Roman" w:hAnsi="Times New Roman"/>
          <w:sz w:val="18"/>
          <w:szCs w:val="18"/>
          <w:color w:val="auto"/>
        </w:rPr>
        <w:t>(i)              The Company maintains adequate systems of internal controls appropriate for its operations that are in material compliance with all relevant and applicable requirements of the Company’s Government Contracts.</w:t>
      </w:r>
    </w:p>
    <w:p>
      <w:pPr>
        <w:spacing w:after="0" w:line="163" w:lineRule="exact"/>
        <w:rPr>
          <w:sz w:val="20"/>
          <w:szCs w:val="20"/>
          <w:color w:val="auto"/>
        </w:rPr>
      </w:pPr>
    </w:p>
    <w:p>
      <w:pPr>
        <w:ind w:right="160" w:firstLine="1281"/>
        <w:spacing w:after="0" w:line="277" w:lineRule="auto"/>
        <w:rPr>
          <w:sz w:val="20"/>
          <w:szCs w:val="20"/>
          <w:color w:val="auto"/>
        </w:rPr>
      </w:pPr>
      <w:r>
        <w:rPr>
          <w:rFonts w:ascii="Times New Roman" w:cs="Times New Roman" w:eastAsia="Times New Roman" w:hAnsi="Times New Roman"/>
          <w:sz w:val="18"/>
          <w:szCs w:val="18"/>
          <w:color w:val="auto"/>
        </w:rPr>
        <w:t>(j)              To the knowledge of the Company, there are no outstanding or unsettled allegations of fraud, false claims or overpayments nor any investigations or audits by any Governmental Authority with regard to the Company's Government Contracts.</w:t>
      </w:r>
    </w:p>
    <w:p>
      <w:pPr>
        <w:spacing w:after="0" w:line="163" w:lineRule="exact"/>
        <w:rPr>
          <w:sz w:val="20"/>
          <w:szCs w:val="20"/>
          <w:color w:val="auto"/>
        </w:rPr>
      </w:pPr>
    </w:p>
    <w:p>
      <w:pPr>
        <w:ind w:right="320" w:firstLine="1281"/>
        <w:spacing w:after="0" w:line="277" w:lineRule="auto"/>
        <w:rPr>
          <w:sz w:val="20"/>
          <w:szCs w:val="20"/>
          <w:color w:val="auto"/>
        </w:rPr>
      </w:pPr>
      <w:r>
        <w:rPr>
          <w:rFonts w:ascii="Times New Roman" w:cs="Times New Roman" w:eastAsia="Times New Roman" w:hAnsi="Times New Roman"/>
          <w:sz w:val="18"/>
          <w:szCs w:val="18"/>
          <w:color w:val="auto"/>
        </w:rPr>
        <w:t>(k)             The Company has complied in all material respects with the U.S. Department of Defense requirements for safeguarding covered defense information and cyber incident reporting.</w:t>
      </w:r>
    </w:p>
    <w:p>
      <w:pPr>
        <w:spacing w:after="0" w:line="163" w:lineRule="exact"/>
        <w:rPr>
          <w:sz w:val="20"/>
          <w:szCs w:val="20"/>
          <w:color w:val="auto"/>
        </w:rPr>
      </w:pPr>
    </w:p>
    <w:p>
      <w:pPr>
        <w:ind w:right="40" w:firstLine="1281"/>
        <w:spacing w:after="0" w:line="257" w:lineRule="auto"/>
        <w:rPr>
          <w:sz w:val="20"/>
          <w:szCs w:val="20"/>
          <w:color w:val="auto"/>
        </w:rPr>
      </w:pPr>
      <w:r>
        <w:rPr>
          <w:rFonts w:ascii="Times New Roman" w:cs="Times New Roman" w:eastAsia="Times New Roman" w:hAnsi="Times New Roman"/>
          <w:sz w:val="18"/>
          <w:szCs w:val="18"/>
          <w:color w:val="auto"/>
        </w:rPr>
        <w:t>(l)              All material representations, certifications and statements executed, acknowledged or submitted by or on behalf of the Company to a Governmental Authority or any other Person in connection with any Government Contract, since January 1, 2019 are and have always been current, accurate and complete in all material respects as of their respective effective dates and the Company has provided any reasonably required updates to such representations, certifications and statements.</w:t>
      </w:r>
    </w:p>
    <w:p>
      <w:pPr>
        <w:spacing w:after="0" w:line="181" w:lineRule="exact"/>
        <w:rPr>
          <w:sz w:val="20"/>
          <w:szCs w:val="20"/>
          <w:color w:val="auto"/>
        </w:rPr>
      </w:pPr>
    </w:p>
    <w:p>
      <w:pPr>
        <w:ind w:right="20" w:firstLine="1281"/>
        <w:spacing w:after="0" w:line="257" w:lineRule="auto"/>
        <w:rPr>
          <w:sz w:val="20"/>
          <w:szCs w:val="20"/>
          <w:color w:val="auto"/>
        </w:rPr>
      </w:pPr>
      <w:r>
        <w:rPr>
          <w:rFonts w:ascii="Times New Roman" w:cs="Times New Roman" w:eastAsia="Times New Roman" w:hAnsi="Times New Roman"/>
          <w:sz w:val="18"/>
          <w:szCs w:val="18"/>
          <w:color w:val="auto"/>
        </w:rPr>
        <w:t>(m)            Neither the Company, nor, to the knowledge of the Company, any of its officers, directors, members, senior management, or employees acting on its behalf have (i) used any funds of the Company to offer or provide any kickback, bribe, or unlawful gift or gratuity, or (ii) to the knowledge of the Company, made any unlawful expenditures relating to political activity (in each case (i) or (ii), an “</w:t>
      </w:r>
      <w:r>
        <w:rPr>
          <w:rFonts w:ascii="Times New Roman" w:cs="Times New Roman" w:eastAsia="Times New Roman" w:hAnsi="Times New Roman"/>
          <w:sz w:val="18"/>
          <w:szCs w:val="18"/>
          <w:u w:val="single" w:color="auto"/>
          <w:color w:val="auto"/>
        </w:rPr>
        <w:t>Unlawful Payment</w:t>
      </w:r>
      <w:r>
        <w:rPr>
          <w:rFonts w:ascii="Times New Roman" w:cs="Times New Roman" w:eastAsia="Times New Roman" w:hAnsi="Times New Roman"/>
          <w:sz w:val="18"/>
          <w:szCs w:val="18"/>
          <w:color w:val="auto"/>
        </w:rPr>
        <w:t>”). The Company has not received notice of any Unlawful Payment and the Company has controls to detect and prevent, if possible, any such Unlawful Payments.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             There are no outstanding material claims or disputes with the Company arising under or relating to any Government Contract.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jc w:val="both"/>
        <w:ind w:right="80" w:firstLine="1281"/>
        <w:spacing w:after="0" w:line="257" w:lineRule="auto"/>
        <w:rPr>
          <w:sz w:val="20"/>
          <w:szCs w:val="20"/>
          <w:color w:val="auto"/>
        </w:rPr>
      </w:pPr>
      <w:r>
        <w:rPr>
          <w:rFonts w:ascii="Times New Roman" w:cs="Times New Roman" w:eastAsia="Times New Roman" w:hAnsi="Times New Roman"/>
          <w:sz w:val="18"/>
          <w:szCs w:val="18"/>
          <w:color w:val="auto"/>
        </w:rPr>
        <w:t>(o)             The Company has taken all necessary steps to preserve and protect, in all material respects, their rights in and title to all Intellectual Property delivered, deliverable or otherwise provided directly or indirectly through any other Person to any Governmental Authority in connection with any Government Contract, including (i) providing all notices required in connection with the development of any patentable invention and (ii) properly asserted any restricted, limited or government purpose rights in connection with the delivery of any data.</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5.28          </w:t>
      </w:r>
      <w:r>
        <w:rPr>
          <w:rFonts w:ascii="Times New Roman" w:cs="Times New Roman" w:eastAsia="Times New Roman" w:hAnsi="Times New Roman"/>
          <w:sz w:val="18"/>
          <w:szCs w:val="18"/>
          <w:u w:val="single" w:color="auto"/>
          <w:color w:val="auto"/>
        </w:rPr>
        <w:t>  FDA Matters</w:t>
      </w:r>
      <w:r>
        <w:rPr>
          <w:rFonts w:ascii="Times New Roman" w:cs="Times New Roman" w:eastAsia="Times New Roman" w:hAnsi="Times New Roman"/>
          <w:sz w:val="18"/>
          <w:szCs w:val="18"/>
          <w:color w:val="auto"/>
        </w:rPr>
        <w:t xml:space="preserve">. Without limiting the generality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20" w:firstLine="1281"/>
        <w:spacing w:after="0" w:line="257" w:lineRule="auto"/>
        <w:rPr>
          <w:sz w:val="20"/>
          <w:szCs w:val="20"/>
          <w:color w:val="auto"/>
        </w:rPr>
      </w:pPr>
      <w:r>
        <w:rPr>
          <w:rFonts w:ascii="Times New Roman" w:cs="Times New Roman" w:eastAsia="Times New Roman" w:hAnsi="Times New Roman"/>
          <w:sz w:val="18"/>
          <w:szCs w:val="18"/>
          <w:color w:val="auto"/>
        </w:rPr>
        <w:t>(a)             The Company is, and since January 1, 2019 at all times has been, in compliance in all material respects with the United States Federal Food, Drug, and Cosmetic Act, 21 U.S.C. § 301 et seq., and applicable regulations, as amended (collectively, the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including the rules and regulations of the U.S. Food and Drug Administration (the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promulgated thereunder, and similar applicable Laws in any State, municipality, or non-U.S. jurisdiction where the Company is doing business.</w:t>
      </w:r>
    </w:p>
    <w:p>
      <w:pPr>
        <w:spacing w:after="0" w:line="181" w:lineRule="exact"/>
        <w:rPr>
          <w:sz w:val="20"/>
          <w:szCs w:val="20"/>
          <w:color w:val="auto"/>
        </w:rPr>
      </w:pPr>
    </w:p>
    <w:p>
      <w:pPr>
        <w:ind w:right="300" w:firstLine="1281"/>
        <w:spacing w:after="0" w:line="271" w:lineRule="auto"/>
        <w:rPr>
          <w:sz w:val="20"/>
          <w:szCs w:val="20"/>
          <w:color w:val="auto"/>
        </w:rPr>
      </w:pPr>
      <w:r>
        <w:rPr>
          <w:rFonts w:ascii="Times New Roman" w:cs="Times New Roman" w:eastAsia="Times New Roman" w:hAnsi="Times New Roman"/>
          <w:sz w:val="17"/>
          <w:szCs w:val="17"/>
          <w:color w:val="auto"/>
        </w:rPr>
        <w:t>(b)             As to each product subject to the FDCA or similar Law in any State, municipality, or non-U.S. jurisdiction that is developed, manufactured, manufactured for, tested, distributed, and/or marketed by the Company (a “</w:t>
      </w:r>
      <w:r>
        <w:rPr>
          <w:rFonts w:ascii="Times New Roman" w:cs="Times New Roman" w:eastAsia="Times New Roman" w:hAnsi="Times New Roman"/>
          <w:sz w:val="17"/>
          <w:szCs w:val="17"/>
          <w:u w:val="single" w:color="auto"/>
          <w:color w:val="auto"/>
        </w:rPr>
        <w:t>Company Product</w:t>
      </w:r>
      <w:r>
        <w:rPr>
          <w:rFonts w:ascii="Times New Roman" w:cs="Times New Roman" w:eastAsia="Times New Roman" w:hAnsi="Times New Roman"/>
          <w:sz w:val="17"/>
          <w:szCs w:val="17"/>
          <w:color w:val="auto"/>
        </w:rPr>
        <w:t>”), each such Company Product is being, and since January 1, 2019 has been, developed, manufactured, manufactured for, labeled, tested, distributed, and/or marketed in material compliance with all applicable requirements under the FDCA and similar laws, including those relating to investigational use, approval, or premarket clearance, current good manufacturing practices, labeling, and Quality System Regulation, as defined in 21 C.F.R. Parts 4, 211, and 820 (as applicable), advertising, promotion, continuing medical education, recordkeeping, training, medical device reporting, adverse event reporting, and filing of other reports and security.</w:t>
      </w:r>
    </w:p>
    <w:p>
      <w:pPr>
        <w:spacing w:after="0" w:line="170" w:lineRule="exact"/>
        <w:rPr>
          <w:sz w:val="20"/>
          <w:szCs w:val="20"/>
          <w:color w:val="auto"/>
        </w:rPr>
      </w:pPr>
    </w:p>
    <w:p>
      <w:pPr>
        <w:ind w:right="80" w:firstLine="1281"/>
        <w:spacing w:after="0" w:line="257" w:lineRule="auto"/>
        <w:rPr>
          <w:sz w:val="20"/>
          <w:szCs w:val="20"/>
          <w:color w:val="auto"/>
        </w:rPr>
      </w:pPr>
      <w:r>
        <w:rPr>
          <w:rFonts w:ascii="Times New Roman" w:cs="Times New Roman" w:eastAsia="Times New Roman" w:hAnsi="Times New Roman"/>
          <w:sz w:val="18"/>
          <w:szCs w:val="18"/>
          <w:color w:val="auto"/>
        </w:rPr>
        <w:t xml:space="preserve">(c)             Except as set forth on </w:t>
      </w:r>
      <w:r>
        <w:rPr>
          <w:rFonts w:ascii="Times New Roman" w:cs="Times New Roman" w:eastAsia="Times New Roman" w:hAnsi="Times New Roman"/>
          <w:sz w:val="18"/>
          <w:szCs w:val="18"/>
          <w:u w:val="single" w:color="auto"/>
          <w:color w:val="auto"/>
        </w:rPr>
        <w:t>Schedule 5.28(c)</w:t>
      </w:r>
      <w:r>
        <w:rPr>
          <w:rFonts w:ascii="Times New Roman" w:cs="Times New Roman" w:eastAsia="Times New Roman" w:hAnsi="Times New Roman"/>
          <w:sz w:val="18"/>
          <w:szCs w:val="18"/>
          <w:color w:val="auto"/>
        </w:rPr>
        <w:t>, the Company has not received any written communication (including emails) from FDA or any other Governmental Authority as of the Agreement Date (i) contesting the investigational use of, premarket clearance or approval of, uses of, or the labeling and promotion of any Company Product, or (ii) otherwise alleging any violation of the FDCA or any similar Law as applicable to any Company Product.</w:t>
      </w:r>
    </w:p>
    <w:p>
      <w:pPr>
        <w:spacing w:after="0" w:line="181" w:lineRule="exact"/>
        <w:rPr>
          <w:sz w:val="20"/>
          <w:szCs w:val="20"/>
          <w:color w:val="auto"/>
        </w:rPr>
      </w:pPr>
    </w:p>
    <w:p>
      <w:pPr>
        <w:ind w:right="40" w:firstLine="1281"/>
        <w:spacing w:after="0" w:line="262" w:lineRule="auto"/>
        <w:rPr>
          <w:sz w:val="20"/>
          <w:szCs w:val="20"/>
          <w:color w:val="auto"/>
        </w:rPr>
      </w:pPr>
      <w:r>
        <w:rPr>
          <w:rFonts w:ascii="Times New Roman" w:cs="Times New Roman" w:eastAsia="Times New Roman" w:hAnsi="Times New Roman"/>
          <w:sz w:val="18"/>
          <w:szCs w:val="18"/>
          <w:color w:val="auto"/>
        </w:rPr>
        <w:t>(d)             No Company Product (i) is currently under consideration by the Company for recall, withdrawal, suspension, seizure, or discontinuance, or (ii) has been recalled, subjected to a product advisory notice, withdrawn, suspended, seized, or discontinued (other than for commercial or other business reasons) by the Company, whether voluntarily or otherwise.</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(e)             The Company has not received any written communication (including emails) that the FDA or any similar Governmental Authority</w:t>
      </w:r>
    </w:p>
    <w:p>
      <w:pPr>
        <w:spacing w:after="0" w:line="37" w:lineRule="exact"/>
        <w:rPr>
          <w:sz w:val="20"/>
          <w:szCs w:val="20"/>
          <w:color w:val="auto"/>
        </w:rPr>
      </w:pPr>
    </w:p>
    <w:p>
      <w:pPr>
        <w:ind w:firstLine="7"/>
        <w:spacing w:after="0" w:line="249" w:lineRule="auto"/>
        <w:tabs>
          <w:tab w:leader="none" w:pos="2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withhold or materially condition its approval or clearance of any Company Product; (ii) has commenced, or has threatened to initiate, any action to withdraw its approval or clearance of any Company Product; (iii) has requested the recall, withdrawal, suspension, seizure, or discontinuance of any Company Product; (iv) has commenced, or has threatened to initiate, any action to enjoin the manufacture, sale, or distribution of any Company Product or the operations of the Company; or (v) has commenced, or has threatened to initiate, any civil or criminal action or proceeding against the Company or any of its respective officers, employees, or agents.</w:t>
      </w:r>
    </w:p>
    <w:p>
      <w:pPr>
        <w:spacing w:after="0" w:line="188" w:lineRule="exact"/>
        <w:rPr>
          <w:sz w:val="20"/>
          <w:szCs w:val="20"/>
          <w:color w:val="auto"/>
        </w:rPr>
      </w:pPr>
    </w:p>
    <w:p>
      <w:pPr>
        <w:ind w:right="60" w:firstLine="1281"/>
        <w:spacing w:after="0" w:line="257"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8"/>
          <w:szCs w:val="8"/>
          <w:color w:val="auto"/>
        </w:rPr>
        <w:t> </w:t>
      </w:r>
      <w:r>
        <w:rPr>
          <w:rFonts w:ascii="Times New Roman" w:cs="Times New Roman" w:eastAsia="Times New Roman" w:hAnsi="Times New Roman"/>
          <w:sz w:val="18"/>
          <w:szCs w:val="18"/>
          <w:color w:val="auto"/>
        </w:rPr>
        <w:t>        As to each medical device (as that term is defined under the FDCA) for which a premarket approval application, premarket notification, investigational device exemption has been submitted, approved, or cleared for sale and distribution in the United States, the Company is in material compliance with 21 U.S.C. §§ 360, 360c, 360d, 360e, 360e-1, 360g, 360h, 360i and 360j and 21 C.F.R. Parts 803, 807, 812, 814, 820, 821, and 822, respectively, or similar state law, as applicable to the Company’s medical devices.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5" w:name="page66"/>
    <w:bookmarkEnd w:id="65"/>
    <w:p>
      <w:pPr>
        <w:ind w:right="40" w:firstLine="1281"/>
        <w:spacing w:after="0" w:line="262" w:lineRule="auto"/>
        <w:rPr>
          <w:sz w:val="20"/>
          <w:szCs w:val="20"/>
          <w:color w:val="auto"/>
        </w:rPr>
      </w:pPr>
      <w:r>
        <w:rPr>
          <w:rFonts w:ascii="Times New Roman" w:cs="Times New Roman" w:eastAsia="Times New Roman" w:hAnsi="Times New Roman"/>
          <w:sz w:val="18"/>
          <w:szCs w:val="18"/>
          <w:color w:val="auto"/>
        </w:rPr>
        <w:t>(g)             No medical device or component of a medical device that is material to the Company’s ability to carry out its business or operations as currently conducted is (i) adulterated within the meaning of 21 U.S.C. § 351 (or similar Law), (ii) misbranded within the meaning of 21 U.S.C. § 352 (or similar Law), or (iii) in violation of 21 U.S.C. §§ 360 or 360e (or similar Law).</w:t>
      </w:r>
    </w:p>
    <w:p>
      <w:pPr>
        <w:spacing w:after="0" w:line="176" w:lineRule="exact"/>
        <w:rPr>
          <w:sz w:val="20"/>
          <w:szCs w:val="20"/>
          <w:color w:val="auto"/>
        </w:rPr>
      </w:pPr>
    </w:p>
    <w:p>
      <w:pPr>
        <w:ind w:right="20" w:firstLine="1281"/>
        <w:spacing w:after="0" w:line="254" w:lineRule="auto"/>
        <w:rPr>
          <w:sz w:val="20"/>
          <w:szCs w:val="20"/>
          <w:color w:val="auto"/>
        </w:rPr>
      </w:pPr>
      <w:r>
        <w:rPr>
          <w:rFonts w:ascii="Times New Roman" w:cs="Times New Roman" w:eastAsia="Times New Roman" w:hAnsi="Times New Roman"/>
          <w:sz w:val="18"/>
          <w:szCs w:val="18"/>
          <w:color w:val="auto"/>
        </w:rPr>
        <w:t>(h)             The Company has not made an untrue, materially misleading, or fraudulent statement of material fact to the FDA, failed to disclose a material fact required to be disclosed to the FDA, or committed an act, made a statement, or failed to make a statement that, at the time such disclosure was made or required to be made, could reasonably be expected to provide a basis for the FDA or any other Governmental Authority to invoke its policy respecting “Fraud, Untrue Statements of Material Facts, Bribery, and Illegal Gratuities,” set forth in FDA Compliance Policy Guide 120.100, or its policy on “Health Fraud – Factors in Considering Regulatory Action,” set forth in FDA Compliance Policy Guide 120.500, or any similar policies.</w:t>
      </w:r>
    </w:p>
    <w:p>
      <w:pPr>
        <w:spacing w:after="0" w:line="186" w:lineRule="exact"/>
        <w:rPr>
          <w:sz w:val="20"/>
          <w:szCs w:val="20"/>
          <w:color w:val="auto"/>
        </w:rPr>
      </w:pPr>
    </w:p>
    <w:p>
      <w:pPr>
        <w:ind w:right="80" w:firstLine="1281"/>
        <w:spacing w:after="0" w:line="262" w:lineRule="auto"/>
        <w:rPr>
          <w:sz w:val="20"/>
          <w:szCs w:val="20"/>
          <w:color w:val="auto"/>
        </w:rPr>
      </w:pPr>
      <w:r>
        <w:rPr>
          <w:rFonts w:ascii="Times New Roman" w:cs="Times New Roman" w:eastAsia="Times New Roman" w:hAnsi="Times New Roman"/>
          <w:sz w:val="18"/>
          <w:szCs w:val="18"/>
          <w:color w:val="auto"/>
        </w:rPr>
        <w:t>(i)              To the knowledge of the Company, there are no facts, circumstances, or conditions that would reasonably be expected to form the basis for any investigation, suit, claim, action, or proceeding against or affecting the current business or operations of the Company and relating to or arising under the FDCA.</w:t>
      </w:r>
    </w:p>
    <w:p>
      <w:pPr>
        <w:spacing w:after="0" w:line="176" w:lineRule="exact"/>
        <w:rPr>
          <w:sz w:val="20"/>
          <w:szCs w:val="20"/>
          <w:color w:val="auto"/>
        </w:rPr>
      </w:pPr>
    </w:p>
    <w:p>
      <w:pPr>
        <w:ind w:right="40" w:firstLine="1281"/>
        <w:spacing w:after="0" w:line="257" w:lineRule="auto"/>
        <w:rPr>
          <w:sz w:val="20"/>
          <w:szCs w:val="20"/>
          <w:color w:val="auto"/>
        </w:rPr>
      </w:pPr>
      <w:r>
        <w:rPr>
          <w:rFonts w:ascii="Times New Roman" w:cs="Times New Roman" w:eastAsia="Times New Roman" w:hAnsi="Times New Roman"/>
          <w:sz w:val="18"/>
          <w:szCs w:val="18"/>
          <w:color w:val="auto"/>
        </w:rPr>
        <w:t>(j)              No officer or director of the Company, and to the knowledge of the Company, no Company employee, has ever been convicted of any felony under any Law for conduct relating to the development, testing, or approval of any drug product or device, including, without limitation, the preparation or submission of a new drug application, abbreviated new drug application, device 510(k) notification, device premarket approval application, or biologics license application.</w:t>
      </w:r>
    </w:p>
    <w:p>
      <w:pPr>
        <w:spacing w:after="0" w:line="181" w:lineRule="exact"/>
        <w:rPr>
          <w:sz w:val="20"/>
          <w:szCs w:val="20"/>
          <w:color w:val="auto"/>
        </w:rPr>
      </w:pPr>
    </w:p>
    <w:p>
      <w:pPr>
        <w:ind w:right="80" w:firstLine="1281"/>
        <w:spacing w:after="0" w:line="262" w:lineRule="auto"/>
        <w:rPr>
          <w:sz w:val="20"/>
          <w:szCs w:val="20"/>
          <w:color w:val="auto"/>
        </w:rPr>
      </w:pPr>
      <w:r>
        <w:rPr>
          <w:rFonts w:ascii="Times New Roman" w:cs="Times New Roman" w:eastAsia="Times New Roman" w:hAnsi="Times New Roman"/>
          <w:sz w:val="18"/>
          <w:szCs w:val="18"/>
          <w:color w:val="auto"/>
        </w:rPr>
        <w:t>(k)             To the knowledge of the Company, none of the FDA, Drug Enforcement Administration, or other Governmental Authority has issued any Warning Letter, Untitled Letter, Notice of Violation, enforcement proceeding, or other correspondence stating or indicating that the Company has violated any Laws in any material respect.</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ACQUIROR PARTIES</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Except (i) as set forth in the Schedules to this Agreement dated as of the date of this Agreement (each of which, subject to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qualifies</w:t>
      </w:r>
    </w:p>
    <w:p>
      <w:pPr>
        <w:spacing w:after="0" w:line="25" w:lineRule="exact"/>
        <w:rPr>
          <w:sz w:val="20"/>
          <w:szCs w:val="20"/>
          <w:color w:val="auto"/>
        </w:rPr>
      </w:pPr>
    </w:p>
    <w:p>
      <w:pPr>
        <w:ind w:firstLine="7"/>
        <w:spacing w:after="0" w:line="248" w:lineRule="auto"/>
        <w:tabs>
          <w:tab w:leader="none" w:pos="2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correspondingly numbered representation, warranty or covenant if specified therein and (b) such other representations, warranties or covenants where its relevance as an exception to (or disclosure for purposes of) such other representation, warranty or covenant is reasonably apparent on its face) or (ii) in the SEC Reports filed or furnished by Acquiror prior to the date hereof (excluding (a) any disclosures in such SEC Reports under the headings “Risk Factors,” “Forward-Looking Statements” or “Qualitative Disclosures About Market Risk” and other disclosures that are predictive, cautionary or forward looking in nature and (b) any exhibits or other documents appended thereto) (it being acknowledged that nothing disclosed in such filings will be deemed to modify or qualify the representations and warranties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each Acquiror Party represents and warrants to the Company as follows:</w:t>
      </w:r>
    </w:p>
    <w:p>
      <w:pPr>
        <w:spacing w:after="0" w:line="192" w:lineRule="exact"/>
        <w:rPr>
          <w:sz w:val="20"/>
          <w:szCs w:val="20"/>
          <w:color w:val="auto"/>
        </w:rPr>
      </w:pPr>
    </w:p>
    <w:p>
      <w:pPr>
        <w:ind w:right="80" w:firstLine="640"/>
        <w:spacing w:after="0" w:line="267" w:lineRule="auto"/>
        <w:rPr>
          <w:sz w:val="20"/>
          <w:szCs w:val="20"/>
          <w:color w:val="auto"/>
        </w:rPr>
      </w:pPr>
      <w:r>
        <w:rPr>
          <w:rFonts w:ascii="Times New Roman" w:cs="Times New Roman" w:eastAsia="Times New Roman" w:hAnsi="Times New Roman"/>
          <w:sz w:val="17"/>
          <w:szCs w:val="17"/>
          <w:color w:val="auto"/>
        </w:rPr>
        <w:t>Section 6.01          </w:t>
      </w:r>
      <w:r>
        <w:rPr>
          <w:rFonts w:ascii="Times New Roman" w:cs="Times New Roman" w:eastAsia="Times New Roman" w:hAnsi="Times New Roman"/>
          <w:sz w:val="17"/>
          <w:szCs w:val="17"/>
          <w:u w:val="single" w:color="auto"/>
          <w:color w:val="auto"/>
        </w:rPr>
        <w:t>  Corporate Organization</w:t>
      </w:r>
      <w:r>
        <w:rPr>
          <w:rFonts w:ascii="Times New Roman" w:cs="Times New Roman" w:eastAsia="Times New Roman" w:hAnsi="Times New Roman"/>
          <w:sz w:val="17"/>
          <w:szCs w:val="17"/>
          <w:color w:val="auto"/>
        </w:rPr>
        <w:t>. Each of Acquiror and Merger Sub is duly incorporated and is validly existing as a corporation in good standing under the Laws of Delaware and has the corporate power and authority to own, lease or operate its assets and properties and to conduct its business as it is now being conducted. Other than Merger Sub, Acquiror has no Subsidiaries. Merger Sub has no Subsidiaries. The copies of the organizational documents of each of the Acquiror Parties previously delivered by Acquiror to the Company are true, correct and complete and are in effect as of the date of this Agreement. Each of the Acquiror Parties is, and at all times has been, in compliance in all material respects with all restrictions, covenants, terms and provisions set forth in its respective organizational documents. Each of the Acquiror Parties is duly licensed or qualified and in good standing as a foreign corporation or foreign limited liability company, as applicable, in all jurisdictions in which its ownership of property or the character of its activities is such as to require it to be so licensed or qualified, except where failure to be so licensed or qualified has not and would not, individually or in the aggregate, reasonably be expected to have a material adverse effect on the ability of the Acquiror Parties to enter into this Agreement or consummate the Transactions. The Acquiror Parties are currently not in material violation of any of the provisions of its governing documents.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6" w:name="page67"/>
    <w:bookmarkEnd w:id="66"/>
    <w:p>
      <w:pPr>
        <w:ind w:left="640"/>
        <w:spacing w:after="0"/>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Due Authorization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50" w:lineRule="auto"/>
        <w:rPr>
          <w:sz w:val="20"/>
          <w:szCs w:val="20"/>
          <w:color w:val="auto"/>
        </w:rPr>
      </w:pPr>
      <w:r>
        <w:rPr>
          <w:rFonts w:ascii="Times New Roman" w:cs="Times New Roman" w:eastAsia="Times New Roman" w:hAnsi="Times New Roman"/>
          <w:sz w:val="18"/>
          <w:szCs w:val="18"/>
          <w:color w:val="auto"/>
        </w:rPr>
        <w:t>(a)             Each of the Acquiror Parties has all requisite corporate or entity power and authority to execute and deliver this Agreement and each Transaction Agreement to which it is a party and, upon receipt of the Acquiror Stockholder Approval, to perform its obligations hereunder and thereunder and to consummate the Transactions. The execution, delivery and performance of this Agreement and such Transaction Agreements and the consummation of the Transactions have been duly, validly and authorized and approved by the board of directors or equivalent governing body of the applicable Acquiror Party and, except for the Acquiror Stockholder Approval, no other corporate or equivalent proceeding on the part of any Acquiror Party is necessary to authorize this Agreement or such Transaction Agreements or any Acquiror Party’s performance hereunder or thereunder. This Agreement has been, and each such Transaction Agreement to which such Acquiror Party will be party, duly and validly executed and delivered by such Acquiror Party and, assuming due authorization and execution by each other Party hereto and thereto, this Agreement constitutes, and each such Transaction Agreement to which such Acquiror Party will be party, will constitute a legal, valid and binding obligation of such Acquiror Party, enforceable against each Acquiror Party in accordance with its terms, subject to the Enforceability Exceptions.</w:t>
      </w:r>
    </w:p>
    <w:p>
      <w:pPr>
        <w:spacing w:after="0" w:line="192" w:lineRule="exact"/>
        <w:rPr>
          <w:sz w:val="20"/>
          <w:szCs w:val="20"/>
          <w:color w:val="auto"/>
        </w:rPr>
      </w:pPr>
    </w:p>
    <w:p>
      <w:pPr>
        <w:ind w:right="40" w:firstLine="1281"/>
        <w:spacing w:after="0" w:line="254" w:lineRule="auto"/>
        <w:rPr>
          <w:sz w:val="20"/>
          <w:szCs w:val="20"/>
          <w:color w:val="auto"/>
        </w:rPr>
      </w:pPr>
      <w:r>
        <w:rPr>
          <w:rFonts w:ascii="Times New Roman" w:cs="Times New Roman" w:eastAsia="Times New Roman" w:hAnsi="Times New Roman"/>
          <w:sz w:val="18"/>
          <w:szCs w:val="18"/>
          <w:color w:val="auto"/>
        </w:rPr>
        <w:t xml:space="preserve">(b)            At a meeting duly called and held, the board of directors of Acquiror has: (i) determined that this Agreement and the Transaction are fair to and in the best interests of Acquiror’s stockholders; (ii) determined that the fair market value of the Company is equal to at least 80% of the net assets held in the Trust Account (excluding the amount of any deferred underwriting discount held in the Trust Account and net of taxes payable) as of the date hereof; (iii) approved the Transactions as a Business Combination; and (iv) resolved to recommend to the stockholders of Acquiror approval of the Transactions, subject to a Change in Recommendation as set forth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00" w:firstLine="640"/>
        <w:spacing w:after="0" w:line="266" w:lineRule="auto"/>
        <w:rPr>
          <w:sz w:val="20"/>
          <w:szCs w:val="20"/>
          <w:color w:val="auto"/>
        </w:rPr>
      </w:pPr>
      <w:r>
        <w:rPr>
          <w:rFonts w:ascii="Times New Roman" w:cs="Times New Roman" w:eastAsia="Times New Roman" w:hAnsi="Times New Roman"/>
          <w:sz w:val="17"/>
          <w:szCs w:val="17"/>
          <w:color w:val="auto"/>
        </w:rPr>
        <w:t>Section 6.03          </w:t>
      </w:r>
      <w:r>
        <w:rPr>
          <w:rFonts w:ascii="Times New Roman" w:cs="Times New Roman" w:eastAsia="Times New Roman" w:hAnsi="Times New Roman"/>
          <w:sz w:val="17"/>
          <w:szCs w:val="17"/>
          <w:u w:val="single" w:color="auto"/>
          <w:color w:val="auto"/>
        </w:rPr>
        <w:t>  No Conflict</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6.03</w:t>
      </w:r>
      <w:r>
        <w:rPr>
          <w:rFonts w:ascii="Times New Roman" w:cs="Times New Roman" w:eastAsia="Times New Roman" w:hAnsi="Times New Roman"/>
          <w:sz w:val="17"/>
          <w:szCs w:val="17"/>
          <w:color w:val="auto"/>
        </w:rPr>
        <w:t>, the execution, delivery and performance of this Agreement and any Transaction Agreement to which any Acquiror Party is a party by such Acquiror Party and, upon receipt of the Acquiror Stockholder Approval, the consummation of the Transactions do not and will not (a) conflict with or violate any provision of, or result in the breach of the Acquiror Organizational Documents or any organizational documents of any Subsidiaries of Acquiror, (b) conflict with or result in any violation of any provision of any Law or Governmental Order applicable to Acquiror, any Subsidiaries of Acquiror or any of their respective properties or assets, (c) violate, conflict with, result in a breach of any provision of or the loss of any benefit under, constitute a default (or an event which, with notice or lapse of time, or both, would constitute a default) under, or result in the termination or acceleration of, or a right of termination, cancellation, modification, acceleration or amendment under, accelerate the performance required by, or result in the acceleration or trigger of any payment, posting of collateral (or right to require the posting of collateral), time of payment, vesting or increase in the amount of any compensation or benefit payable pursuant to, any of the terms, conditions or provisions of any Contract to which Acquiror or any Subsidiaries of Acquiror is a party or by which any of their respective assets or properties may be bound or affected, including Acquiror Material Contracts, or (d) result in the creation of any Lien upon any of the properties or assets of Acquiror or any Subsidiaries of Acquiror.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p>
      <w:pPr>
        <w:ind w:firstLine="640"/>
        <w:spacing w:after="0" w:line="251" w:lineRule="auto"/>
        <w:rPr>
          <w:sz w:val="20"/>
          <w:szCs w:val="20"/>
          <w:color w:val="auto"/>
        </w:rPr>
      </w:pPr>
      <w:r>
        <w:rPr>
          <w:rFonts w:ascii="Times New Roman" w:cs="Times New Roman" w:eastAsia="Times New Roman" w:hAnsi="Times New Roman"/>
          <w:sz w:val="18"/>
          <w:szCs w:val="18"/>
          <w:color w:val="auto"/>
        </w:rPr>
        <w:t>Section 6.04          </w:t>
      </w:r>
      <w:r>
        <w:rPr>
          <w:rFonts w:ascii="Times New Roman" w:cs="Times New Roman" w:eastAsia="Times New Roman" w:hAnsi="Times New Roman"/>
          <w:sz w:val="18"/>
          <w:szCs w:val="18"/>
          <w:u w:val="single" w:color="auto"/>
          <w:color w:val="auto"/>
        </w:rPr>
        <w:t>  Litigation and Proceedings</w:t>
      </w:r>
      <w:r>
        <w:rPr>
          <w:rFonts w:ascii="Times New Roman" w:cs="Times New Roman" w:eastAsia="Times New Roman" w:hAnsi="Times New Roman"/>
          <w:sz w:val="18"/>
          <w:szCs w:val="18"/>
          <w:color w:val="auto"/>
        </w:rPr>
        <w:t xml:space="preserve">. There are no pending or, to the knowledge of Acquiror, threatened in writing, Actions and, to the knowledge of Acquiror, there are no pending or threatened investigations, in each case, against any Acquiror Party, or otherwise affecting any Acquiror Party or their respective assets, including any condemnation or similar proceedings, which, if determined adversely, could, individually or in the aggregate, reasonably be expected to have a material adverse effect on the ability of any of the Acquiror Parties to enter into and perform their respective obligations under this Agreement or any Transaction Agreement to which any of the Acquiror Parties is a party, as applicable. There is no outstanding Governmental Order imposed upon the Acquiror Parties, nor are any assets of the Acquiror Parties’ respective businesses bound or subject to any Governmental Order the violation of which would, individually or in the aggregate, reasonably be expected to be material to Acquiror. Except as set forth on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 since its inception, the Acquiror Parties have not received any written notice of or have been charged with violation of any Laws.</w:t>
      </w:r>
    </w:p>
    <w:p>
      <w:pPr>
        <w:spacing w:after="0" w:line="190" w:lineRule="exact"/>
        <w:rPr>
          <w:sz w:val="20"/>
          <w:szCs w:val="20"/>
          <w:color w:val="auto"/>
        </w:rPr>
      </w:pPr>
    </w:p>
    <w:p>
      <w:pPr>
        <w:ind w:right="100" w:firstLine="640"/>
        <w:spacing w:after="0" w:line="254" w:lineRule="auto"/>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u w:val="single" w:color="auto"/>
          <w:color w:val="auto"/>
        </w:rPr>
        <w:t>  Governmental Authorities; Consents</w:t>
      </w:r>
      <w:r>
        <w:rPr>
          <w:rFonts w:ascii="Times New Roman" w:cs="Times New Roman" w:eastAsia="Times New Roman" w:hAnsi="Times New Roman"/>
          <w:sz w:val="18"/>
          <w:szCs w:val="18"/>
          <w:color w:val="auto"/>
        </w:rPr>
        <w:t>. No consent, approval or authorization of, or designation, declaration or filing with, any Governmental Authority is required on the part of any Acquiror Party with respect to the execution or delivery of this Agreement by each Acquiror Party or any Transaction Agreement to which any of the Acquiror Parties is a party, as applicable, or the consummation of the Transactions, except for applicable requirements of the HSR Act (and the expiration of the required waiting period thereunder) and other applicable requirements of Securities Laws and Nasdaq.</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6.06          </w:t>
      </w:r>
      <w:r>
        <w:rPr>
          <w:rFonts w:ascii="Times New Roman" w:cs="Times New Roman" w:eastAsia="Times New Roman" w:hAnsi="Times New Roman"/>
          <w:sz w:val="18"/>
          <w:szCs w:val="18"/>
          <w:u w:val="single" w:color="auto"/>
          <w:color w:val="auto"/>
        </w:rPr>
        <w:t>  Financial Ability; Trust Account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64" w:lineRule="auto"/>
        <w:rPr>
          <w:sz w:val="20"/>
          <w:szCs w:val="20"/>
          <w:color w:val="auto"/>
        </w:rPr>
      </w:pPr>
      <w:r>
        <w:rPr>
          <w:rFonts w:ascii="Times New Roman" w:cs="Times New Roman" w:eastAsia="Times New Roman" w:hAnsi="Times New Roman"/>
          <w:sz w:val="17"/>
          <w:szCs w:val="17"/>
          <w:color w:val="auto"/>
        </w:rPr>
        <w:t>(a)             As of the date hereof, there is at least $250,000,000 invested in a trust account (the “</w:t>
      </w:r>
      <w:r>
        <w:rPr>
          <w:rFonts w:ascii="Times New Roman" w:cs="Times New Roman" w:eastAsia="Times New Roman" w:hAnsi="Times New Roman"/>
          <w:sz w:val="17"/>
          <w:szCs w:val="17"/>
          <w:u w:val="single" w:color="auto"/>
          <w:color w:val="auto"/>
        </w:rPr>
        <w:t>Trust Account</w:t>
      </w:r>
      <w:r>
        <w:rPr>
          <w:rFonts w:ascii="Times New Roman" w:cs="Times New Roman" w:eastAsia="Times New Roman" w:hAnsi="Times New Roman"/>
          <w:sz w:val="17"/>
          <w:szCs w:val="17"/>
          <w:color w:val="auto"/>
        </w:rPr>
        <w:t>”), maintained by Continental Stock Transfer &amp; Trust Company, a New York corporation, acting as trustee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pursuant to the Investment Management Trust Agreement, dated December 17, 2020, by and between Acquiror and the Trustee on file with the SEC Reports of Acquiror as of the date of this Agreement (the “</w:t>
      </w:r>
      <w:r>
        <w:rPr>
          <w:rFonts w:ascii="Times New Roman" w:cs="Times New Roman" w:eastAsia="Times New Roman" w:hAnsi="Times New Roman"/>
          <w:sz w:val="17"/>
          <w:szCs w:val="17"/>
          <w:u w:val="single" w:color="auto"/>
          <w:color w:val="auto"/>
        </w:rPr>
        <w:t>Trust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The Trust Agreement has not been amended or modified and is a valid and binding obligation of Acquiror and is in full force and effect and is enforceable in accordance with its terms. Prior to the Closing, none of the funds held in the Trust Account may be released except in accordance with the Trust Agreement, Acquiror Organizational Documents and Acquiror’s final prospectus filed with the SEC (File No. 001-39813) on December 21, 2020 (the “</w:t>
      </w:r>
      <w:r>
        <w:rPr>
          <w:rFonts w:ascii="Times New Roman" w:cs="Times New Roman" w:eastAsia="Times New Roman" w:hAnsi="Times New Roman"/>
          <w:sz w:val="17"/>
          <w:szCs w:val="17"/>
          <w:u w:val="single" w:color="auto"/>
          <w:color w:val="auto"/>
        </w:rPr>
        <w:t>Acquiror Final Prospectus</w:t>
      </w:r>
      <w:r>
        <w:rPr>
          <w:rFonts w:ascii="Times New Roman" w:cs="Times New Roman" w:eastAsia="Times New Roman" w:hAnsi="Times New Roman"/>
          <w:sz w:val="17"/>
          <w:szCs w:val="17"/>
          <w:color w:val="auto"/>
        </w:rPr>
        <w:t>”). Amounts in the Trust Account are invested in United States Government securities or in money market funds meeting certain conditions under Rule 2a-7 promulgated under the Investment Company Act of 1940, as amended. Acquiror has performed all material obligations required to be performed by it to date under, and is not in material default, breach or delinquent in performance or any other respect (claimed or actual) in connection with, the Trust Agreement, and no event has occurred which, with due notice or lapse of time or both, would constitute such a default or breach thereunder. As of the date hereof, there are no claims or proceedings pending with respect to the Trust Account. Since December 21, 2020, Acquiror has not released any money from the Trust Account (other than interest income earned on the principal held in the Trust Account as permitted by the Trust Agreement). As of the Effective Time, the obligations of Acquiror to dissolve or liquidate pursuant to the Acquiror Organizational Documents shall terminate, and, as of the Effective Time, Acquiror shall have no obligation whatsoever pursuant to the Acquiror Organizational Documents to dissolve and liquidate the assets of Acquiror by reason of the consummation of the Transactions. To the knowledge of Acquiror, as of the date hereof, following the Effective Time, no stockholder of Acquiror shall be entitled to receive any amount from the Trust Account except to the extent such stockholder shall have elected to tender its shares of Acquiror Class A Common Stock for redemption pursuant to the Acquiror Stockholder Redemption (or pursuant to any redemption required in accordance with the extension of the Acquiror’s deadline to consummate its Business Combination). As of the date hereof, there are no separate Contracts, side letters or other arrangements or understandings (whether written or unwritten, express or implied) that would cause the description of the Trust Agreement in the SEC Reports to be inaccurate or that would entitle any Person (other than (i) pursuant to the Acquiror Stockholder Redemption, or (ii) for the payment of Acquiror Transaction Expenses) to any portion of the proceeds in the Trust Account following the Effective Time.</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68" w:name="page69"/>
    <w:bookmarkEnd w:id="68"/>
    <w:p>
      <w:pPr>
        <w:ind w:right="140" w:firstLine="1281"/>
        <w:spacing w:after="0" w:line="262" w:lineRule="auto"/>
        <w:rPr>
          <w:sz w:val="20"/>
          <w:szCs w:val="20"/>
          <w:color w:val="auto"/>
        </w:rPr>
      </w:pPr>
      <w:r>
        <w:rPr>
          <w:rFonts w:ascii="Times New Roman" w:cs="Times New Roman" w:eastAsia="Times New Roman" w:hAnsi="Times New Roman"/>
          <w:sz w:val="18"/>
          <w:szCs w:val="18"/>
          <w:color w:val="auto"/>
        </w:rPr>
        <w:t>(b)             As of the date hereof, assuming the accuracy of the representations and warranties of the Company contained herein and the compliance by the Company with its respective obligations hereunder, Acquiror has no reason to believe that any of the conditions to the use of funds in the Trust Account will not be satisfied or funds available in the Trust Account will not be available to Acquiror on the Closing Date.</w:t>
      </w:r>
    </w:p>
    <w:p>
      <w:pPr>
        <w:spacing w:after="0" w:line="176" w:lineRule="exact"/>
        <w:rPr>
          <w:sz w:val="20"/>
          <w:szCs w:val="20"/>
          <w:color w:val="auto"/>
        </w:rPr>
      </w:pPr>
    </w:p>
    <w:p>
      <w:pPr>
        <w:ind w:right="80" w:firstLine="640"/>
        <w:spacing w:after="0" w:line="262" w:lineRule="auto"/>
        <w:rPr>
          <w:sz w:val="20"/>
          <w:szCs w:val="20"/>
          <w:color w:val="auto"/>
        </w:rPr>
      </w:pPr>
      <w:r>
        <w:rPr>
          <w:rFonts w:ascii="Times New Roman" w:cs="Times New Roman" w:eastAsia="Times New Roman" w:hAnsi="Times New Roman"/>
          <w:sz w:val="18"/>
          <w:szCs w:val="18"/>
          <w:color w:val="auto"/>
        </w:rPr>
        <w:t>Section 6.07          </w:t>
      </w:r>
      <w:r>
        <w:rPr>
          <w:rFonts w:ascii="Times New Roman" w:cs="Times New Roman" w:eastAsia="Times New Roman" w:hAnsi="Times New Roman"/>
          <w:sz w:val="18"/>
          <w:szCs w:val="18"/>
          <w:u w:val="single" w:color="auto"/>
          <w:color w:val="auto"/>
        </w:rPr>
        <w:t>  Brokers’ Fees</w:t>
      </w:r>
      <w:r>
        <w:rPr>
          <w:rFonts w:ascii="Times New Roman" w:cs="Times New Roman" w:eastAsia="Times New Roman" w:hAnsi="Times New Roman"/>
          <w:sz w:val="18"/>
          <w:szCs w:val="18"/>
          <w:color w:val="auto"/>
        </w:rPr>
        <w:t xml:space="preserve">. Except for the fees described on </w:t>
      </w: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 xml:space="preserve"> (including the amounts owed with respect thereto), no broker, finder, investment banker or other Person is entitled to any brokerage fee, finders’ fee, underwriting fee, deferred underwriting fee commission or other similar payment in connection with the Transactions based upon arrangements made by Acquiror or any of its Affiliates, including the Sponsor.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6.08          </w:t>
      </w:r>
      <w:r>
        <w:rPr>
          <w:rFonts w:ascii="Times New Roman" w:cs="Times New Roman" w:eastAsia="Times New Roman" w:hAnsi="Times New Roman"/>
          <w:sz w:val="18"/>
          <w:szCs w:val="18"/>
          <w:u w:val="single" w:color="auto"/>
          <w:color w:val="auto"/>
        </w:rPr>
        <w:t>  SEC Reports; Financial Statements; Sarbanes-Oxley Act; Undisclosed Liabilities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48" w:lineRule="auto"/>
        <w:rPr>
          <w:sz w:val="20"/>
          <w:szCs w:val="20"/>
          <w:color w:val="auto"/>
        </w:rPr>
      </w:pPr>
      <w:r>
        <w:rPr>
          <w:rFonts w:ascii="Times New Roman" w:cs="Times New Roman" w:eastAsia="Times New Roman" w:hAnsi="Times New Roman"/>
          <w:sz w:val="18"/>
          <w:szCs w:val="18"/>
          <w:color w:val="auto"/>
        </w:rPr>
        <w:t xml:space="preserve">(a)             Except as set forth on </w:t>
      </w:r>
      <w:r>
        <w:rPr>
          <w:rFonts w:ascii="Times New Roman" w:cs="Times New Roman" w:eastAsia="Times New Roman" w:hAnsi="Times New Roman"/>
          <w:sz w:val="18"/>
          <w:szCs w:val="18"/>
          <w:u w:val="single" w:color="auto"/>
          <w:color w:val="auto"/>
        </w:rPr>
        <w:t>Schedule 6.08(a)</w:t>
      </w:r>
      <w:r>
        <w:rPr>
          <w:rFonts w:ascii="Times New Roman" w:cs="Times New Roman" w:eastAsia="Times New Roman" w:hAnsi="Times New Roman"/>
          <w:sz w:val="18"/>
          <w:szCs w:val="18"/>
          <w:color w:val="auto"/>
        </w:rPr>
        <w:t>, Acquiror has filed in a timely manner all required registration statements, reports, schedules, forms, statements, prospectuses and other documents required to be filed by it with the SEC since December 17, 2020 (collectively, as they have been amended since the time of their filing and including all exhibits thereto,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Each of the SEC Reports, as of the respective date of its filing, and as of the date of any amendment, complied in all material respects with the applicable requirements of the Securities Act, the Exchange Act, the Sarbanes-Oxley Act and any rules and regulations promulgated thereunder applicable to the SEC Reports. Except for any changes (including any required revisions to or restatements of the Acquiror’s financial statements or the SEC Reports) to (i) the Acquiror’s historical accounting of the Acquiror Warrants as equity rather than as liabilities that was or may be required as a result of the Staff Statement on Accounting and Reporting Considerations for Warrants Issued by Special Purpose Acquisition Companies (“</w:t>
      </w:r>
      <w:r>
        <w:rPr>
          <w:rFonts w:ascii="Times New Roman" w:cs="Times New Roman" w:eastAsia="Times New Roman" w:hAnsi="Times New Roman"/>
          <w:sz w:val="18"/>
          <w:szCs w:val="18"/>
          <w:u w:val="single" w:color="auto"/>
          <w:color w:val="auto"/>
        </w:rPr>
        <w:t>SPACs</w:t>
      </w:r>
      <w:r>
        <w:rPr>
          <w:rFonts w:ascii="Times New Roman" w:cs="Times New Roman" w:eastAsia="Times New Roman" w:hAnsi="Times New Roman"/>
          <w:sz w:val="18"/>
          <w:szCs w:val="18"/>
          <w:color w:val="auto"/>
        </w:rPr>
        <w:t>”) that was issued by the SEC on April 12, 2021, and related guidance by the SEC or (ii) the Acquiror’s accounting or classification of Acquiror’s outstanding redeemable shares as temporary, as opposed to permanent, equity that was or may be required as a result of related statements by the SEC staff or recommendations or requirements of Acquiror’s auditors (clauses (i) and (ii), collectively, “</w:t>
      </w:r>
      <w:r>
        <w:rPr>
          <w:rFonts w:ascii="Times New Roman" w:cs="Times New Roman" w:eastAsia="Times New Roman" w:hAnsi="Times New Roman"/>
          <w:sz w:val="18"/>
          <w:szCs w:val="18"/>
          <w:u w:val="single" w:color="auto"/>
          <w:color w:val="auto"/>
        </w:rPr>
        <w:t>SEC SPAC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xml:space="preserve">”), none of the SEC Reports, as of their respective dates (or if amended or superseded by a filing prior to the date of this Agreement or the Closing Date, then on the date of such filing), contained any untrue statement of a material fact or omitted to state a material fact required to be stated therein or necessary in order to make the statements made therein, in light of the circumstances under which they were made, not misleading. Except as a result of the SEC SPAC Accounting Changes or as otherwise set forth on </w:t>
      </w:r>
      <w:r>
        <w:rPr>
          <w:rFonts w:ascii="Times New Roman" w:cs="Times New Roman" w:eastAsia="Times New Roman" w:hAnsi="Times New Roman"/>
          <w:sz w:val="18"/>
          <w:szCs w:val="18"/>
          <w:u w:val="single" w:color="auto"/>
          <w:color w:val="auto"/>
        </w:rPr>
        <w:t>Schedule 6.08(a)</w:t>
      </w:r>
      <w:r>
        <w:rPr>
          <w:rFonts w:ascii="Times New Roman" w:cs="Times New Roman" w:eastAsia="Times New Roman" w:hAnsi="Times New Roman"/>
          <w:sz w:val="18"/>
          <w:szCs w:val="18"/>
          <w:color w:val="auto"/>
        </w:rPr>
        <w:t>, the audited financial statements and unaudited interim financial statements (including, in each case, the notes and schedules thereto) included in the SEC Reports complied as to form in all material respects with the published rules and regulations of the SEC with respect thereto, were prepared in accordance with GAAP applied on a consistent basis during the periods involved (except as may be indicated therein or in the notes thereto and except with respect to unaudited statements as permitted by Form 10-Q of the SEC) and fairly present (subject, in the case of the unaudited interim financial statements included therein, to normal year-end adjustments and the absence of complete footnotes) in all material respects the financial position of Acquiror as of the respective dates thereof and the results of their operations and cash flows for the respective periods then ended. The Parties acknowledge and agree that any restatement, revision or other modification of the Acquiror’s financial statements or the SEC Reports as a result of any SEC SPAC Accounting Changes shall be deemed not material for purposes of this Agreement. The Public Certifications are each true as of their respective dates of filing.</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ind w:right="220" w:firstLine="1281"/>
        <w:spacing w:after="0" w:line="273" w:lineRule="auto"/>
        <w:rPr>
          <w:sz w:val="20"/>
          <w:szCs w:val="20"/>
          <w:color w:val="auto"/>
        </w:rPr>
      </w:pPr>
      <w:r>
        <w:rPr>
          <w:rFonts w:ascii="Times New Roman" w:cs="Times New Roman" w:eastAsia="Times New Roman" w:hAnsi="Times New Roman"/>
          <w:sz w:val="17"/>
          <w:szCs w:val="17"/>
          <w:color w:val="auto"/>
        </w:rPr>
        <w:t>(b)             Acquiror has established and maintains disclosure controls and procedures (as defined in Rule 13a-15 under the Exchange Act). Such disclosure controls and procedures are designed to ensure that material information relating to Acquiror is made known to Acquiror’s principal executive officer and its principal financial officer, particularly during the periods in which the periodic reports required under the Exchange Act are being prepared. To the knowledge of Acquiror, such disclosure controls and procedures are effective in timely alerting Acquiror’s principal executive officer and principal financial officer to material information required to be included in Acquiror’s periodic reports required under the Exchange Act.</w:t>
      </w:r>
    </w:p>
    <w:p>
      <w:pPr>
        <w:spacing w:after="0" w:line="169" w:lineRule="exact"/>
        <w:rPr>
          <w:sz w:val="20"/>
          <w:szCs w:val="20"/>
          <w:color w:val="auto"/>
        </w:rPr>
      </w:pPr>
    </w:p>
    <w:p>
      <w:pPr>
        <w:ind w:right="280" w:firstLine="1281"/>
        <w:spacing w:after="0" w:line="262" w:lineRule="auto"/>
        <w:rPr>
          <w:sz w:val="20"/>
          <w:szCs w:val="20"/>
          <w:color w:val="auto"/>
        </w:rPr>
      </w:pPr>
      <w:r>
        <w:rPr>
          <w:rFonts w:ascii="Times New Roman" w:cs="Times New Roman" w:eastAsia="Times New Roman" w:hAnsi="Times New Roman"/>
          <w:sz w:val="18"/>
          <w:szCs w:val="18"/>
          <w:color w:val="auto"/>
        </w:rPr>
        <w:t>(c)             Acquiror has established and maintained a system of internal controls financial reporting (as defined in Rule 13a-15 under the Exchange Act). To the knowledge of Acquiror, such internal controls are sufficient to provide reasonable assurance regarding the reliability of Acquiror’s financial reporting and the preparation of Acquiror’s financial statements for external purposes in accordance with GAAP.</w:t>
      </w:r>
    </w:p>
    <w:p>
      <w:pPr>
        <w:spacing w:after="0" w:line="176" w:lineRule="exact"/>
        <w:rPr>
          <w:sz w:val="20"/>
          <w:szCs w:val="20"/>
          <w:color w:val="auto"/>
        </w:rPr>
      </w:pPr>
    </w:p>
    <w:p>
      <w:pPr>
        <w:ind w:firstLine="1281"/>
        <w:spacing w:after="0" w:line="257" w:lineRule="auto"/>
        <w:rPr>
          <w:sz w:val="20"/>
          <w:szCs w:val="20"/>
          <w:color w:val="auto"/>
        </w:rPr>
      </w:pPr>
      <w:r>
        <w:rPr>
          <w:rFonts w:ascii="Times New Roman" w:cs="Times New Roman" w:eastAsia="Times New Roman" w:hAnsi="Times New Roman"/>
          <w:sz w:val="18"/>
          <w:szCs w:val="18"/>
          <w:color w:val="auto"/>
        </w:rPr>
        <w:t>(d)             Neither Acquiror (including any employee thereof) nor Acquiror’s independent auditors has identified or been made aware of (i) any significant deficiency or material weakness in the system of internal accounting controls utilized by Acquiror except as otherwise disclosed in the SEC Reports or (ii) any fraud, whether or not material, that involves Acquiror’s management or other employees who have a role in the preparation of financial statements or the internal accounting controls utilized by Acquiror.</w:t>
      </w:r>
    </w:p>
    <w:p>
      <w:pPr>
        <w:spacing w:after="0" w:line="181" w:lineRule="exact"/>
        <w:rPr>
          <w:sz w:val="20"/>
          <w:szCs w:val="20"/>
          <w:color w:val="auto"/>
        </w:rPr>
      </w:pPr>
    </w:p>
    <w:p>
      <w:pPr>
        <w:ind w:firstLine="1281"/>
        <w:spacing w:after="0" w:line="262" w:lineRule="auto"/>
        <w:rPr>
          <w:sz w:val="20"/>
          <w:szCs w:val="20"/>
          <w:color w:val="auto"/>
        </w:rPr>
      </w:pPr>
      <w:r>
        <w:rPr>
          <w:rFonts w:ascii="Times New Roman" w:cs="Times New Roman" w:eastAsia="Times New Roman" w:hAnsi="Times New Roman"/>
          <w:sz w:val="18"/>
          <w:szCs w:val="18"/>
          <w:color w:val="auto"/>
        </w:rPr>
        <w:t xml:space="preserve">(e)             Except as set forth on </w:t>
      </w:r>
      <w:r>
        <w:rPr>
          <w:rFonts w:ascii="Times New Roman" w:cs="Times New Roman" w:eastAsia="Times New Roman" w:hAnsi="Times New Roman"/>
          <w:sz w:val="18"/>
          <w:szCs w:val="18"/>
          <w:u w:val="single" w:color="auto"/>
          <w:color w:val="auto"/>
        </w:rPr>
        <w:t>Schedule 6.08(e)</w:t>
      </w:r>
      <w:r>
        <w:rPr>
          <w:rFonts w:ascii="Times New Roman" w:cs="Times New Roman" w:eastAsia="Times New Roman" w:hAnsi="Times New Roman"/>
          <w:sz w:val="18"/>
          <w:szCs w:val="18"/>
          <w:color w:val="auto"/>
        </w:rPr>
        <w:t xml:space="preserve">, to the knowledge of Acquiror, as of the date hereof, there are no outstanding SEC comments from the SEC with respect to the SEC Reports. Except as set forth on </w:t>
      </w:r>
      <w:r>
        <w:rPr>
          <w:rFonts w:ascii="Times New Roman" w:cs="Times New Roman" w:eastAsia="Times New Roman" w:hAnsi="Times New Roman"/>
          <w:sz w:val="18"/>
          <w:szCs w:val="18"/>
          <w:u w:val="single" w:color="auto"/>
          <w:color w:val="auto"/>
        </w:rPr>
        <w:t>Schedule 6.08(e)</w:t>
      </w:r>
      <w:r>
        <w:rPr>
          <w:rFonts w:ascii="Times New Roman" w:cs="Times New Roman" w:eastAsia="Times New Roman" w:hAnsi="Times New Roman"/>
          <w:sz w:val="18"/>
          <w:szCs w:val="18"/>
          <w:color w:val="auto"/>
        </w:rPr>
        <w:t>, to the knowledge of Acquiror, none of the SEC Reports filed on or prior to the date hereof is subject to ongoing SEC review or investigation as of the date hereof.</w:t>
      </w:r>
    </w:p>
    <w:p>
      <w:pPr>
        <w:spacing w:after="0" w:line="176" w:lineRule="exact"/>
        <w:rPr>
          <w:sz w:val="20"/>
          <w:szCs w:val="20"/>
          <w:color w:val="auto"/>
        </w:rPr>
      </w:pPr>
    </w:p>
    <w:p>
      <w:pPr>
        <w:ind w:right="180" w:firstLine="1281"/>
        <w:spacing w:after="0" w:line="254" w:lineRule="auto"/>
        <w:rPr>
          <w:sz w:val="20"/>
          <w:szCs w:val="20"/>
          <w:color w:val="auto"/>
        </w:rPr>
      </w:pPr>
      <w:r>
        <w:rPr>
          <w:rFonts w:ascii="Times New Roman" w:cs="Times New Roman" w:eastAsia="Times New Roman" w:hAnsi="Times New Roman"/>
          <w:sz w:val="18"/>
          <w:szCs w:val="18"/>
          <w:color w:val="auto"/>
        </w:rPr>
        <w:t>(f)              Except for any SEC SPAC Accounting Changes, and except as and to the extent reflected or reserved against in the Acquiror’s financial statements included in the SEC Reports, no Acquiror Party has incurred any liabilities of the type required to be reflected on a balance sheet in accordance with GAAP that are not adequately reflected or reserved on or provided for in the Acquiror’s financial statements included in the SEC Reports, other than liabilities of the type required to be reflected on a balance sheet in accordance with GAAP that have been incurred in the ordinary course of business since Acquiror’s last annual report on Form 10-K.</w:t>
      </w:r>
    </w:p>
    <w:p>
      <w:pPr>
        <w:spacing w:after="0" w:line="186" w:lineRule="exact"/>
        <w:rPr>
          <w:sz w:val="20"/>
          <w:szCs w:val="20"/>
          <w:color w:val="auto"/>
        </w:rPr>
      </w:pPr>
    </w:p>
    <w:p>
      <w:pPr>
        <w:jc w:val="both"/>
        <w:ind w:right="100" w:firstLine="1281"/>
        <w:spacing w:after="0" w:line="262" w:lineRule="auto"/>
        <w:rPr>
          <w:sz w:val="20"/>
          <w:szCs w:val="20"/>
          <w:color w:val="auto"/>
        </w:rPr>
      </w:pPr>
      <w:r>
        <w:rPr>
          <w:rFonts w:ascii="Times New Roman" w:cs="Times New Roman" w:eastAsia="Times New Roman" w:hAnsi="Times New Roman"/>
          <w:sz w:val="18"/>
          <w:szCs w:val="18"/>
          <w:color w:val="auto"/>
        </w:rPr>
        <w:t>(g)             Each director and executive officer of Acquiror has filed with the SEC on a timely basis all statements required by Section 16(a) of the Exchange Act and the rules and regulations promulgated thereunder. Acquiror has not taken any action prohibited by Section 402 of the Sarbanes-Oxley Act.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0" w:name="page71"/>
    <w:bookmarkEnd w:id="70"/>
    <w:p>
      <w:pPr>
        <w:ind w:left="640"/>
        <w:spacing w:after="0"/>
        <w:rPr>
          <w:sz w:val="20"/>
          <w:szCs w:val="20"/>
          <w:color w:val="auto"/>
        </w:rPr>
      </w:pPr>
      <w:r>
        <w:rPr>
          <w:rFonts w:ascii="Times New Roman" w:cs="Times New Roman" w:eastAsia="Times New Roman" w:hAnsi="Times New Roman"/>
          <w:sz w:val="18"/>
          <w:szCs w:val="18"/>
          <w:color w:val="auto"/>
        </w:rPr>
        <w:t>Section 6.09          </w:t>
      </w:r>
      <w:r>
        <w:rPr>
          <w:rFonts w:ascii="Times New Roman" w:cs="Times New Roman" w:eastAsia="Times New Roman" w:hAnsi="Times New Roman"/>
          <w:sz w:val="18"/>
          <w:szCs w:val="18"/>
          <w:u w:val="single" w:color="auto"/>
          <w:color w:val="auto"/>
        </w:rPr>
        <w:t>  Business Activities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1281"/>
        <w:spacing w:after="0" w:line="252" w:lineRule="auto"/>
        <w:rPr>
          <w:sz w:val="20"/>
          <w:szCs w:val="20"/>
          <w:color w:val="auto"/>
        </w:rPr>
      </w:pPr>
      <w:r>
        <w:rPr>
          <w:rFonts w:ascii="Times New Roman" w:cs="Times New Roman" w:eastAsia="Times New Roman" w:hAnsi="Times New Roman"/>
          <w:sz w:val="18"/>
          <w:szCs w:val="18"/>
          <w:color w:val="auto"/>
        </w:rPr>
        <w:t>(a)             Since its incorporation, Acquiror has not conducted any business activities other than activities directed toward the accomplishment of a Business Combination. Except as set forth in the Acquiror Organizational Documents, there is no agreement, commitment, or Governmental Order binding upon Acquiror or to which Acquiror is a party which has or would reasonably be expected to have the effect of prohibiting or impairing any business practice of Acquiror or any acquisition of property by Acquiror or the conduct of business by Acquiror as currently conducted or as contemplated to be conducted as of the Closing. Merger Sub was formed solely for the purpose of engaging in the Transactions, has not conducted any business prior to the date hereof and has no assets, liabilities or obligations of any nature other than those incident to its formation and pursuant to this Agreement and any Transaction Agreement to which it is a party, as applicable, and the Transactions.</w:t>
      </w:r>
    </w:p>
    <w:p>
      <w:pPr>
        <w:spacing w:after="0" w:line="187" w:lineRule="exact"/>
        <w:rPr>
          <w:sz w:val="20"/>
          <w:szCs w:val="20"/>
          <w:color w:val="auto"/>
        </w:rPr>
      </w:pPr>
    </w:p>
    <w:p>
      <w:pPr>
        <w:ind w:right="260" w:firstLine="1281"/>
        <w:spacing w:after="0" w:line="277" w:lineRule="auto"/>
        <w:rPr>
          <w:sz w:val="20"/>
          <w:szCs w:val="20"/>
          <w:color w:val="auto"/>
        </w:rPr>
      </w:pPr>
      <w:r>
        <w:rPr>
          <w:rFonts w:ascii="Times New Roman" w:cs="Times New Roman" w:eastAsia="Times New Roman" w:hAnsi="Times New Roman"/>
          <w:sz w:val="17"/>
          <w:szCs w:val="17"/>
          <w:color w:val="auto"/>
        </w:rPr>
        <w:t>(b)             Acquiror does not own or have a right to acquire, directly or indirectly, any interest or investment (whether equity or debt) in any corporation, partnership, joint venture, business, trust or other entity. Except for this Agreement and the Transactions, neither Acquiror nor any of its Subsidiaries has any interests, rights, obligations or liabilities with respect to, or is party to, bound by or has its assets or property subject to, in each case whether directly or indirectly, any Contract or transaction which is, or could reasonably be interpreted as constituting, a Business Combination.</w:t>
      </w:r>
    </w:p>
    <w:p>
      <w:pPr>
        <w:spacing w:after="0" w:line="165" w:lineRule="exact"/>
        <w:rPr>
          <w:sz w:val="20"/>
          <w:szCs w:val="20"/>
          <w:color w:val="auto"/>
        </w:rPr>
      </w:pPr>
    </w:p>
    <w:p>
      <w:pPr>
        <w:ind w:right="20" w:firstLine="1281"/>
        <w:spacing w:after="0" w:line="271" w:lineRule="auto"/>
        <w:rPr>
          <w:sz w:val="20"/>
          <w:szCs w:val="20"/>
          <w:color w:val="auto"/>
        </w:rPr>
      </w:pPr>
      <w:r>
        <w:rPr>
          <w:rFonts w:ascii="Times New Roman" w:cs="Times New Roman" w:eastAsia="Times New Roman" w:hAnsi="Times New Roman"/>
          <w:sz w:val="17"/>
          <w:szCs w:val="17"/>
          <w:color w:val="auto"/>
        </w:rPr>
        <w:t xml:space="preserve">(c)             There is no liability, debt or obligation of or claim or judgment against Acquiror or its Subsidiaries, except for liabilities and obligations (i) reflected or reserved for on Acquiror’s consolidated balance sheet for the period ended June 30, 2022 or disclosed in the notes thereto (other than any such liabilities not reflected, reserved or disclosed as are not and would not be, in the aggregate, material to Acquiror and its Subsidiaries, taken as a whole), (ii) that have arisen since the date of Acquiror’s consolidated balance sheet for the period ended June 30, 2022 in the ordinary course of business of Acquiror and its Subsidiaries (other than any such liabilities as are not and would not be, in the aggregate, material to Acquiror and its Subsidiaries, taken as a whole), (iii) disclosed on </w:t>
      </w:r>
      <w:r>
        <w:rPr>
          <w:rFonts w:ascii="Times New Roman" w:cs="Times New Roman" w:eastAsia="Times New Roman" w:hAnsi="Times New Roman"/>
          <w:sz w:val="17"/>
          <w:szCs w:val="17"/>
          <w:u w:val="single" w:color="auto"/>
          <w:color w:val="auto"/>
        </w:rPr>
        <w:t>Schedule 6.09(c)</w:t>
      </w:r>
      <w:r>
        <w:rPr>
          <w:rFonts w:ascii="Times New Roman" w:cs="Times New Roman" w:eastAsia="Times New Roman" w:hAnsi="Times New Roman"/>
          <w:sz w:val="17"/>
          <w:szCs w:val="17"/>
          <w:color w:val="auto"/>
        </w:rPr>
        <w:t>, or (iv) incurred in connection with or contemplated by this Agreement and/or the Transactions.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1281"/>
        <w:spacing w:after="0" w:line="262" w:lineRule="auto"/>
        <w:rPr>
          <w:sz w:val="20"/>
          <w:szCs w:val="20"/>
          <w:color w:val="auto"/>
        </w:rPr>
      </w:pPr>
      <w:r>
        <w:rPr>
          <w:rFonts w:ascii="Times New Roman" w:cs="Times New Roman" w:eastAsia="Times New Roman" w:hAnsi="Times New Roman"/>
          <w:sz w:val="18"/>
          <w:szCs w:val="18"/>
          <w:color w:val="auto"/>
        </w:rPr>
        <w:t>(a)             All income and other material Tax Returns required by Law to be filed by the Acquiror have been filed, and all such Tax Returns are true, correct and complete in all material respects. All income and other material amounts of Taxes due and owing by the Acquiror (whether or not reflected on any Tax Return) have been timely paid to the appropriate Governmental Authority.</w:t>
      </w:r>
    </w:p>
    <w:p>
      <w:pPr>
        <w:spacing w:after="0" w:line="176" w:lineRule="exact"/>
        <w:rPr>
          <w:sz w:val="20"/>
          <w:szCs w:val="20"/>
          <w:color w:val="auto"/>
        </w:rPr>
      </w:pPr>
    </w:p>
    <w:p>
      <w:pPr>
        <w:ind w:firstLine="1281"/>
        <w:spacing w:after="0" w:line="257" w:lineRule="auto"/>
        <w:rPr>
          <w:sz w:val="20"/>
          <w:szCs w:val="20"/>
          <w:color w:val="auto"/>
        </w:rPr>
      </w:pPr>
      <w:r>
        <w:rPr>
          <w:rFonts w:ascii="Times New Roman" w:cs="Times New Roman" w:eastAsia="Times New Roman" w:hAnsi="Times New Roman"/>
          <w:sz w:val="18"/>
          <w:szCs w:val="18"/>
          <w:color w:val="auto"/>
        </w:rPr>
        <w:t>(b)             Acquiror has (i) withheld and deducted all material amounts of Taxes required to have been withheld or deducted by it in connection with amounts paid or owed to any employee, independent contractor, creditor, shareholder or any other third party, (ii) remitted, or will remit on a timely basis, such amounts to the appropriate Governmental Authority and (iii) complied in all material respects with applicable Law with respect to Tax withholding, including all reporting and record keeping requirements.</w:t>
      </w:r>
    </w:p>
    <w:p>
      <w:pPr>
        <w:spacing w:after="0" w:line="181" w:lineRule="exact"/>
        <w:rPr>
          <w:sz w:val="20"/>
          <w:szCs w:val="20"/>
          <w:color w:val="auto"/>
        </w:rPr>
      </w:pPr>
    </w:p>
    <w:p>
      <w:pPr>
        <w:jc w:val="both"/>
        <w:ind w:right="240" w:firstLine="1281"/>
        <w:spacing w:after="0" w:line="254" w:lineRule="auto"/>
        <w:rPr>
          <w:sz w:val="20"/>
          <w:szCs w:val="20"/>
          <w:color w:val="auto"/>
        </w:rPr>
      </w:pPr>
      <w:r>
        <w:rPr>
          <w:rFonts w:ascii="Times New Roman" w:cs="Times New Roman" w:eastAsia="Times New Roman" w:hAnsi="Times New Roman"/>
          <w:sz w:val="18"/>
          <w:szCs w:val="18"/>
          <w:color w:val="auto"/>
        </w:rPr>
        <w:t>(c)             Acquiror has not engaged in any audit, administrative proceeding or judicial proceeding with respect to Taxes. Acquiror has not received any written notice from a Governmental Authority of a dispute or claim with respect to Taxes, other than disputes or claims that have since been resolved, and to the knowledge of Acquiror, no such claims have been threatened. No written claim has been made, and to the knowledge of Acquiror, no oral claim has been made by any Governmental Authority in a jurisdiction where Acquiror does not file a Tax Return that Acquiror is or may be subject to Taxes by, or required to file Tax Returns in, that jurisdiction.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1" w:name="page72"/>
    <w:bookmarkEnd w:id="71"/>
    <w:p>
      <w:pPr>
        <w:ind w:right="240" w:firstLine="1281"/>
        <w:spacing w:after="0" w:line="262" w:lineRule="auto"/>
        <w:rPr>
          <w:sz w:val="20"/>
          <w:szCs w:val="20"/>
          <w:color w:val="auto"/>
        </w:rPr>
      </w:pPr>
      <w:r>
        <w:rPr>
          <w:rFonts w:ascii="Times New Roman" w:cs="Times New Roman" w:eastAsia="Times New Roman" w:hAnsi="Times New Roman"/>
          <w:sz w:val="18"/>
          <w:szCs w:val="18"/>
          <w:color w:val="auto"/>
        </w:rPr>
        <w:t>(d)             There are no outstanding agreements extending or waiving the statutory period of limitations applicable to any claim for, or the period for the collection or assessment or reassessment of, Taxes of Acquiror and no written request for any such waiver or extension is currently pending. No power of attorney with respect to Taxes has been granted with respect to the Company.</w:t>
      </w:r>
    </w:p>
    <w:p>
      <w:pPr>
        <w:spacing w:after="0" w:line="176" w:lineRule="exact"/>
        <w:rPr>
          <w:sz w:val="20"/>
          <w:szCs w:val="20"/>
          <w:color w:val="auto"/>
        </w:rPr>
      </w:pPr>
    </w:p>
    <w:p>
      <w:pPr>
        <w:ind w:right="140" w:firstLine="1281"/>
        <w:spacing w:after="0" w:line="277" w:lineRule="auto"/>
        <w:rPr>
          <w:sz w:val="20"/>
          <w:szCs w:val="20"/>
          <w:color w:val="auto"/>
        </w:rPr>
      </w:pPr>
      <w:r>
        <w:rPr>
          <w:rFonts w:ascii="Times New Roman" w:cs="Times New Roman" w:eastAsia="Times New Roman" w:hAnsi="Times New Roman"/>
          <w:sz w:val="18"/>
          <w:szCs w:val="18"/>
          <w:color w:val="auto"/>
        </w:rPr>
        <w:t>(e)             Acquiror has not been a party to any “listed transaction” within the meaning of Treasury Regulation Section 1.6011-4(b)(2) (or any similar or corresponding provision of state, local or non-U.S. Law).</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             There are no Liens with respect to Taxes on any of the assets of Acquiror, other than Permitted Liens.</w:t>
      </w:r>
    </w:p>
    <w:p>
      <w:pPr>
        <w:spacing w:after="0" w:line="220" w:lineRule="exact"/>
        <w:rPr>
          <w:sz w:val="20"/>
          <w:szCs w:val="20"/>
          <w:color w:val="auto"/>
        </w:rPr>
      </w:pPr>
    </w:p>
    <w:p>
      <w:pPr>
        <w:ind w:right="140" w:firstLine="1281"/>
        <w:spacing w:after="0" w:line="254" w:lineRule="auto"/>
        <w:rPr>
          <w:sz w:val="20"/>
          <w:szCs w:val="20"/>
          <w:color w:val="auto"/>
        </w:rPr>
      </w:pPr>
      <w:r>
        <w:rPr>
          <w:rFonts w:ascii="Times New Roman" w:cs="Times New Roman" w:eastAsia="Times New Roman" w:hAnsi="Times New Roman"/>
          <w:sz w:val="18"/>
          <w:szCs w:val="18"/>
          <w:color w:val="auto"/>
        </w:rPr>
        <w:t>(g)             Acquiror (i) has no liability for the Taxes of any Person (other than the Company) (i) as a result of being a member of an affiliated, combined, consolidated, unitary or other group for Tax purposes, including under Treasury Regulation Section 1.1502-6 (or any similar provision of state, local or non-U.S. Law), as a transferee or successor, Contract (other than liabilities pursuant to commercial contracts entered into in the ordinary course of business not primarily relating to Taxes), assumption or by operation of Law; and (ii) has never been a member of an affiliated, consolidated, combined or unitary group filing for U.S. federal, state or local income Tax purposes.</w:t>
      </w:r>
    </w:p>
    <w:p>
      <w:pPr>
        <w:spacing w:after="0" w:line="186" w:lineRule="exact"/>
        <w:rPr>
          <w:sz w:val="20"/>
          <w:szCs w:val="20"/>
          <w:color w:val="auto"/>
        </w:rPr>
      </w:pPr>
    </w:p>
    <w:p>
      <w:pPr>
        <w:ind w:right="540" w:firstLine="1281"/>
        <w:spacing w:after="0" w:line="262" w:lineRule="auto"/>
        <w:rPr>
          <w:sz w:val="20"/>
          <w:szCs w:val="20"/>
          <w:color w:val="auto"/>
        </w:rPr>
      </w:pPr>
      <w:r>
        <w:rPr>
          <w:rFonts w:ascii="Times New Roman" w:cs="Times New Roman" w:eastAsia="Times New Roman" w:hAnsi="Times New Roman"/>
          <w:sz w:val="18"/>
          <w:szCs w:val="18"/>
          <w:color w:val="auto"/>
        </w:rPr>
        <w:t>(h)             Acquiror is not a party to, or bound by, or has any obligation to any Governmental Authority or other Person under any Tax allocation, Tax sharing or Tax indemnification agreement or similar agreement or arrangement (except, in each case, pursuant to commercial contracts entered into in the ordinary course of business not primarily relating to Taxes).</w:t>
      </w:r>
    </w:p>
    <w:p>
      <w:pPr>
        <w:spacing w:after="0" w:line="176" w:lineRule="exact"/>
        <w:rPr>
          <w:sz w:val="20"/>
          <w:szCs w:val="20"/>
          <w:color w:val="auto"/>
        </w:rPr>
      </w:pPr>
    </w:p>
    <w:p>
      <w:pPr>
        <w:ind w:right="60" w:firstLine="1281"/>
        <w:spacing w:after="0" w:line="277" w:lineRule="auto"/>
        <w:rPr>
          <w:sz w:val="20"/>
          <w:szCs w:val="20"/>
          <w:color w:val="auto"/>
        </w:rPr>
      </w:pPr>
      <w:r>
        <w:rPr>
          <w:rFonts w:ascii="Times New Roman" w:cs="Times New Roman" w:eastAsia="Times New Roman" w:hAnsi="Times New Roman"/>
          <w:sz w:val="18"/>
          <w:szCs w:val="18"/>
          <w:color w:val="auto"/>
        </w:rPr>
        <w:t>(i)              To the knowledge of Acquiror, Acquiror has not taken any action (nor permitted any action to be taken), and is not aware of any fact or circumstance, that would reasonably be expected to prevent the Merger from qualifying for the Intended Tax Treatment.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As of the date hereof, the authorized capital stock of Acquiror consists of 111,000,000 shares of capital stock, including</w:t>
      </w:r>
    </w:p>
    <w:p>
      <w:pPr>
        <w:spacing w:after="0" w:line="25" w:lineRule="exact"/>
        <w:rPr>
          <w:sz w:val="20"/>
          <w:szCs w:val="20"/>
          <w:color w:val="auto"/>
        </w:rPr>
      </w:pPr>
    </w:p>
    <w:p>
      <w:pPr>
        <w:ind w:firstLine="7"/>
        <w:spacing w:after="0" w:line="248" w:lineRule="auto"/>
        <w:tabs>
          <w:tab w:leader="none" w:pos="2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Acquiror Class A Common Stock, (ii) 10,000,000 shares of Acquiror Class B Common Stock and (iii) 1,000,000 shares of preferred stock (“</w:t>
      </w:r>
      <w:r>
        <w:rPr>
          <w:rFonts w:ascii="Times New Roman" w:cs="Times New Roman" w:eastAsia="Times New Roman" w:hAnsi="Times New Roman"/>
          <w:sz w:val="18"/>
          <w:szCs w:val="18"/>
          <w:u w:val="single" w:color="auto"/>
          <w:color w:val="auto"/>
        </w:rPr>
        <w:t>Acquiror Preferred Stock</w:t>
      </w:r>
      <w:r>
        <w:rPr>
          <w:rFonts w:ascii="Times New Roman" w:cs="Times New Roman" w:eastAsia="Times New Roman" w:hAnsi="Times New Roman"/>
          <w:sz w:val="18"/>
          <w:szCs w:val="18"/>
          <w:color w:val="auto"/>
        </w:rPr>
        <w:t>”) of which (A) 25,000,000 shares of Acquiror Class A Common Stock are issued and outstanding as of the date of this Agreement, (B) 6,250,000 shares of Acquiror Class B Common Stock are issued and outstanding as of the date of this Agreement and (C) no shares of Acquiror Preferred Stock are issued and outstanding as of the date of this Agreement. All of the issued and outstanding shares of Acquiror Common Stock and Acquiror Warrants (i) have been duly authorized and validly issued and are fully paid and nonassessable, (ii) were issued in compliance in all material respects with (1) applicable Law, including federal and state securities Laws and (2) Acquiror’s Organizational Documents, (iii) were not issued in breach or violation of any preemptive rights or Contract and (iv) are fully vested and not otherwise subject to a substantial risk of forfeiture within the meaning of Code Section 83, except as disclosed in the SEC Reports with respect to certain Acquiror Common Stock held by the Sponsor. As of the date hereof, Acquiror has issued 13,266,666 Acquiror Warrants that entitle the holder thereof to purchase Acquiror Class A Common Stock at an exercise price of $11.50 per share on the terms and conditions set forth in the applicable warrant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2" w:name="page73"/>
    <w:bookmarkEnd w:id="72"/>
    <w:p>
      <w:pPr>
        <w:ind w:right="20" w:firstLine="1281"/>
        <w:spacing w:after="0" w:line="266" w:lineRule="auto"/>
        <w:rPr>
          <w:sz w:val="20"/>
          <w:szCs w:val="20"/>
          <w:color w:val="auto"/>
        </w:rPr>
      </w:pPr>
      <w:r>
        <w:rPr>
          <w:rFonts w:ascii="Times New Roman" w:cs="Times New Roman" w:eastAsia="Times New Roman" w:hAnsi="Times New Roman"/>
          <w:sz w:val="17"/>
          <w:szCs w:val="17"/>
          <w:color w:val="auto"/>
        </w:rPr>
        <w:t>(b)             Except for this Agreement, the Acquiror Warrants, the Convertible Sponsor Note (and the Acquiror Warrants issuable thereunder) and the Acquiror Class B Common Stock, as of the date hereof, there are (i) no subscriptions, calls, options, warrants, rights or other securities convertible into or exchangeable or exercisable for shares of Acquiror Common Stock or the equity interests of Acquiror, or any other Contracts to which Acquiror is a party or by which Acquiror is bound obligating Acquiror to issue or sell any shares of capital stock of, other equity interests in or debt securities of, Acquiror, and (ii) no equity equivalents, stock appreciation rights, phantom stock ownership interests or similar rights in Acquiror. Except for obligations related to the Acquiror Stockholder Redemptions disclosed in the SEC Reports or the Acquiror Organizational Documents, as of the date hereof, there are no outstanding contractual obligations of Acquiror to repurchase, redeem or otherwise acquire any securities or equity interests of Acquiror. There are no outstanding bonds, debentures, notes or other indebtedness of Acquiror having the right to vote (or convertible into, or exchangeable for, securities having the right to vote) on any matter for which Acquiror’s stockholders may vote. Except as disclosed in the SEC Reports, as of the date hereof, Acquiror is not a party to any shareholders agreement, voting agreement or registration rights agreement relating to Acquiror Common Stock or any other equity interests of Acquiror. As of the date hereof, there are no securities or instruments issued by or to which Acquiror is a party containing anti-dilution or similar provisions that would be triggered as a result of the issuance of securities under this Agreement that have not been, or will not be, waived on or prior to the Closing Date.</w:t>
      </w:r>
    </w:p>
    <w:p>
      <w:pPr>
        <w:spacing w:after="0" w:line="175" w:lineRule="exact"/>
        <w:rPr>
          <w:sz w:val="20"/>
          <w:szCs w:val="20"/>
          <w:color w:val="auto"/>
        </w:rPr>
      </w:pPr>
    </w:p>
    <w:p>
      <w:pPr>
        <w:ind w:firstLine="1281"/>
        <w:spacing w:after="0" w:line="262" w:lineRule="auto"/>
        <w:rPr>
          <w:sz w:val="20"/>
          <w:szCs w:val="20"/>
          <w:color w:val="auto"/>
        </w:rPr>
      </w:pPr>
      <w:r>
        <w:rPr>
          <w:rFonts w:ascii="Times New Roman" w:cs="Times New Roman" w:eastAsia="Times New Roman" w:hAnsi="Times New Roman"/>
          <w:sz w:val="18"/>
          <w:szCs w:val="18"/>
          <w:color w:val="auto"/>
        </w:rPr>
        <w:t>(c)             Acquiror is not a “foreign person” or a “foreign entity,” as defined in Section 721 of the Defense Production Act of 1950, as amended, including all implementing regulations thereof (the “DPA”). Acquiror is not controlled by a “foreign person,” as defined in the DPA. No national or subnational governments of a single foreign state has a “substantial interest” in Acquiror within the meaning of the DPA.</w:t>
      </w:r>
    </w:p>
    <w:p>
      <w:pPr>
        <w:spacing w:after="0" w:line="176" w:lineRule="exact"/>
        <w:rPr>
          <w:sz w:val="20"/>
          <w:szCs w:val="20"/>
          <w:color w:val="auto"/>
        </w:rPr>
      </w:pPr>
    </w:p>
    <w:p>
      <w:pPr>
        <w:ind w:right="60" w:firstLine="640"/>
        <w:spacing w:after="0" w:line="253" w:lineRule="auto"/>
        <w:rPr>
          <w:sz w:val="20"/>
          <w:szCs w:val="20"/>
          <w:color w:val="auto"/>
        </w:rPr>
      </w:pPr>
      <w:r>
        <w:rPr>
          <w:rFonts w:ascii="Times New Roman" w:cs="Times New Roman" w:eastAsia="Times New Roman" w:hAnsi="Times New Roman"/>
          <w:sz w:val="18"/>
          <w:szCs w:val="18"/>
          <w:color w:val="auto"/>
        </w:rPr>
        <w:t>Section 6.12          </w:t>
      </w:r>
      <w:r>
        <w:rPr>
          <w:rFonts w:ascii="Times New Roman" w:cs="Times New Roman" w:eastAsia="Times New Roman" w:hAnsi="Times New Roman"/>
          <w:sz w:val="18"/>
          <w:szCs w:val="18"/>
          <w:u w:val="single" w:color="auto"/>
          <w:color w:val="auto"/>
        </w:rPr>
        <w:t>  Nasdaq Stock Market Listing</w:t>
      </w:r>
      <w:r>
        <w:rPr>
          <w:rFonts w:ascii="Times New Roman" w:cs="Times New Roman" w:eastAsia="Times New Roman" w:hAnsi="Times New Roman"/>
          <w:sz w:val="18"/>
          <w:szCs w:val="18"/>
          <w:color w:val="auto"/>
        </w:rPr>
        <w:t>. The issued and outstanding Acquiror Units, Acquiror Class A Common Stock and Acquiror Warrants are each registered pursuant to Section 12(b) of the Exchange Act and are listed for trading on Nasdaq. As of the date of this Agreement, Acquiror is in compliance with the rules of Nasdaq and there is no Action pending or, to the knowledge of Acquiror, threatened in writing against Acquiror by Nasdaq or the SEC with respect to any intention by such entity to deregister the units of Acquiror, Acquiror Class A Common Stock or Acquiror Warrants or terminate the listing of the units of Acquiror, Acquiror Class A Common Stock or Acquiror Warrants on Nasdaq. Acquiror has not taken any action in an attempt to terminate the registration of the Acquiror Class A Common Stock or Acquiror Warrants under the Exchange Act.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6.13          </w:t>
      </w:r>
      <w:r>
        <w:rPr>
          <w:rFonts w:ascii="Times New Roman" w:cs="Times New Roman" w:eastAsia="Times New Roman" w:hAnsi="Times New Roman"/>
          <w:sz w:val="18"/>
          <w:szCs w:val="18"/>
          <w:u w:val="single" w:color="auto"/>
          <w:color w:val="auto"/>
        </w:rPr>
        <w:t>  [Reserved.]</w:t>
      </w:r>
    </w:p>
    <w:p>
      <w:pPr>
        <w:spacing w:after="0" w:line="220" w:lineRule="exact"/>
        <w:rPr>
          <w:sz w:val="20"/>
          <w:szCs w:val="20"/>
          <w:color w:val="auto"/>
        </w:rPr>
      </w:pPr>
    </w:p>
    <w:p>
      <w:pPr>
        <w:jc w:val="both"/>
        <w:ind w:right="200" w:firstLine="640"/>
        <w:spacing w:after="0" w:line="262" w:lineRule="auto"/>
        <w:rPr>
          <w:sz w:val="20"/>
          <w:szCs w:val="20"/>
          <w:color w:val="auto"/>
        </w:rPr>
      </w:pPr>
      <w:r>
        <w:rPr>
          <w:rFonts w:ascii="Times New Roman" w:cs="Times New Roman" w:eastAsia="Times New Roman" w:hAnsi="Times New Roman"/>
          <w:sz w:val="18"/>
          <w:szCs w:val="18"/>
          <w:color w:val="auto"/>
        </w:rPr>
        <w:t>Section 6.14          </w:t>
      </w:r>
      <w:r>
        <w:rPr>
          <w:rFonts w:ascii="Times New Roman" w:cs="Times New Roman" w:eastAsia="Times New Roman" w:hAnsi="Times New Roman"/>
          <w:sz w:val="18"/>
          <w:szCs w:val="18"/>
          <w:u w:val="single" w:color="auto"/>
          <w:color w:val="auto"/>
        </w:rPr>
        <w:t>  Related Party Transactions</w:t>
      </w:r>
      <w:r>
        <w:rPr>
          <w:rFonts w:ascii="Times New Roman" w:cs="Times New Roman" w:eastAsia="Times New Roman" w:hAnsi="Times New Roman"/>
          <w:sz w:val="18"/>
          <w:szCs w:val="18"/>
          <w:color w:val="auto"/>
        </w:rPr>
        <w:t xml:space="preserve">. Except (a) as set forth on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color w:val="auto"/>
        </w:rPr>
        <w:t>, or (b) agreements relating to equity ownership, including in connection with the Future PIPE Investment, there are no transactions, Contracts, side letters, arrangements or understandings between any Acquiror Party, on the one hand, and any director, officer, employee, shareholder, warrant holder or Affiliate of such Acquiror Party on the other hand.</w:t>
      </w:r>
    </w:p>
    <w:p>
      <w:pPr>
        <w:spacing w:after="0" w:line="176" w:lineRule="exact"/>
        <w:rPr>
          <w:sz w:val="20"/>
          <w:szCs w:val="20"/>
          <w:color w:val="auto"/>
        </w:rPr>
      </w:pPr>
    </w:p>
    <w:p>
      <w:pPr>
        <w:ind w:right="420" w:firstLine="640"/>
        <w:spacing w:after="0" w:line="262" w:lineRule="auto"/>
        <w:rPr>
          <w:sz w:val="20"/>
          <w:szCs w:val="20"/>
          <w:color w:val="auto"/>
        </w:rPr>
      </w:pPr>
      <w:r>
        <w:rPr>
          <w:rFonts w:ascii="Times New Roman" w:cs="Times New Roman" w:eastAsia="Times New Roman" w:hAnsi="Times New Roman"/>
          <w:sz w:val="18"/>
          <w:szCs w:val="18"/>
          <w:color w:val="auto"/>
        </w:rPr>
        <w:t>Section 6.15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color w:val="auto"/>
        </w:rPr>
        <w:t>. Neither Acquiror nor Merger Sub is an “investment company” or a Person directly or indirectly “controlled” by or acting on behalf of an “investment company,” in each case within the meaning of the Investment Company Act of 1940, as amended. Acquiror constitutes an “emerging growth company” within the meaning of the JOBS Act.</w:t>
      </w:r>
    </w:p>
    <w:p>
      <w:pPr>
        <w:spacing w:after="0" w:line="176" w:lineRule="exact"/>
        <w:rPr>
          <w:sz w:val="20"/>
          <w:szCs w:val="20"/>
          <w:color w:val="auto"/>
        </w:rPr>
      </w:pPr>
    </w:p>
    <w:p>
      <w:pPr>
        <w:ind w:right="40" w:firstLine="640"/>
        <w:spacing w:after="0" w:line="254" w:lineRule="auto"/>
        <w:rPr>
          <w:sz w:val="20"/>
          <w:szCs w:val="20"/>
          <w:color w:val="auto"/>
        </w:rPr>
      </w:pPr>
      <w:r>
        <w:rPr>
          <w:rFonts w:ascii="Times New Roman" w:cs="Times New Roman" w:eastAsia="Times New Roman" w:hAnsi="Times New Roman"/>
          <w:sz w:val="18"/>
          <w:szCs w:val="18"/>
          <w:color w:val="auto"/>
        </w:rPr>
        <w:t>Section 6.16          </w:t>
      </w:r>
      <w:r>
        <w:rPr>
          <w:rFonts w:ascii="Times New Roman" w:cs="Times New Roman" w:eastAsia="Times New Roman" w:hAnsi="Times New Roman"/>
          <w:sz w:val="18"/>
          <w:szCs w:val="18"/>
          <w:u w:val="single" w:color="auto"/>
          <w:color w:val="auto"/>
        </w:rPr>
        <w:t>  Absence of Changes</w:t>
      </w:r>
      <w:r>
        <w:rPr>
          <w:rFonts w:ascii="Times New Roman" w:cs="Times New Roman" w:eastAsia="Times New Roman" w:hAnsi="Times New Roman"/>
          <w:sz w:val="18"/>
          <w:szCs w:val="18"/>
          <w:color w:val="auto"/>
        </w:rPr>
        <w:t xml:space="preserve">. Since June 30, 2022 through the Agreement Date, (a) there has not been any event or occurrence that has had, or would not reasonably be expected to have, individually or in the aggregate, an Acquiror Material Adverse Effect, (b) Acquiror and Merger Sub have, in all material respects, conducted their business and operated their properties in the ordinary course of business consistent with past practice and (c) Acquiror has not taken or permitted to occur any action that, were it to be taken from and after the date hereof, would require the prior written consent of the Company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ind w:right="100" w:firstLine="640"/>
        <w:spacing w:after="0" w:line="251" w:lineRule="auto"/>
        <w:rPr>
          <w:sz w:val="20"/>
          <w:szCs w:val="20"/>
          <w:color w:val="auto"/>
        </w:rPr>
      </w:pPr>
      <w:r>
        <w:rPr>
          <w:rFonts w:ascii="Times New Roman" w:cs="Times New Roman" w:eastAsia="Times New Roman" w:hAnsi="Times New Roman"/>
          <w:sz w:val="18"/>
          <w:szCs w:val="18"/>
          <w:color w:val="auto"/>
        </w:rPr>
        <w:t>Section 6.17          </w:t>
      </w:r>
      <w:r>
        <w:rPr>
          <w:rFonts w:ascii="Times New Roman" w:cs="Times New Roman" w:eastAsia="Times New Roman" w:hAnsi="Times New Roman"/>
          <w:sz w:val="18"/>
          <w:szCs w:val="18"/>
          <w:u w:val="single" w:color="auto"/>
          <w:color w:val="auto"/>
        </w:rPr>
        <w:t>  Registration Statement; Proxy Statement</w:t>
      </w:r>
      <w:r>
        <w:rPr>
          <w:rFonts w:ascii="Times New Roman" w:cs="Times New Roman" w:eastAsia="Times New Roman" w:hAnsi="Times New Roman"/>
          <w:sz w:val="18"/>
          <w:szCs w:val="18"/>
          <w:color w:val="auto"/>
        </w:rPr>
        <w:t xml:space="preserve">. On the effective date of the Registration Statement, the Registration Statement, and when first filed in accordance with Rule 424(b) and/or filed pursuant to Section 14A, (or any amendment or supplement thereto), shall comply as to form in all material respects with the applicable requirements of the Securities Act and the Exchange Act. None of the information contained in the Registration Statement will, as of the date the Registration Statement (or any amendment or supplement thereto) is first filed with the SEC or when first mailed to Acquiror’s stockholders, contain any untrue statement of a material fact or omit to state a material fact necessary to make the statements therein, in light of the circumstances under which they were made, not misleading;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Acquiror makes no representations or warranties as to the information contained in or omitted from the Registration Statement in reliance upon a writing to Acquiror by or on behalf of the Company specifically for its inclusion or omission in the Registration Statement.</w:t>
      </w:r>
    </w:p>
    <w:p>
      <w:pPr>
        <w:spacing w:after="0" w:line="190" w:lineRule="exact"/>
        <w:rPr>
          <w:sz w:val="20"/>
          <w:szCs w:val="20"/>
          <w:color w:val="auto"/>
        </w:rPr>
      </w:pPr>
    </w:p>
    <w:p>
      <w:pPr>
        <w:ind w:right="40" w:firstLine="640"/>
        <w:spacing w:after="0" w:line="251" w:lineRule="auto"/>
        <w:rPr>
          <w:sz w:val="20"/>
          <w:szCs w:val="20"/>
          <w:color w:val="auto"/>
        </w:rPr>
      </w:pPr>
      <w:r>
        <w:rPr>
          <w:rFonts w:ascii="Times New Roman" w:cs="Times New Roman" w:eastAsia="Times New Roman" w:hAnsi="Times New Roman"/>
          <w:sz w:val="18"/>
          <w:szCs w:val="18"/>
          <w:color w:val="auto"/>
        </w:rPr>
        <w:t>Section 6.18          </w:t>
      </w:r>
      <w:r>
        <w:rPr>
          <w:rFonts w:ascii="Times New Roman" w:cs="Times New Roman" w:eastAsia="Times New Roman" w:hAnsi="Times New Roman"/>
          <w:sz w:val="18"/>
          <w:szCs w:val="18"/>
          <w:u w:val="single" w:color="auto"/>
          <w:color w:val="auto"/>
        </w:rPr>
        <w:t>  Code Section 280G</w:t>
      </w:r>
      <w:r>
        <w:rPr>
          <w:rFonts w:ascii="Times New Roman" w:cs="Times New Roman" w:eastAsia="Times New Roman" w:hAnsi="Times New Roman"/>
          <w:sz w:val="18"/>
          <w:szCs w:val="18"/>
          <w:color w:val="auto"/>
        </w:rPr>
        <w:t>. Acquiror does not (a) have any employees or (b) maintain, sponsor, contribute to or otherwise have any liability under, any benefit plans. Neither the execution and delivery of this Agreement or any of the Transaction Agreements nor the consummation of the Transactions contemplated hereby will: (x) result in any payment (including severance, unemployment compensation, golden parachute, bonus or otherwise) becoming due by the Acquiror or its Subsidiaries to any director, officer, manager or employee of Acquiror; or (y) result in the acceleration of the time of payment or vesting of any such benefits payable by Acquiror or its Subsidiaries. The Transactions shall not be the direct or indirect cause of any amount paid or payable by Acquiror or any of its Subsidiaries being classified as an “excess parachute payment” under Section 280G of the Code. There are no other outstanding loans, convertible notes, or extensions of credit made by Acquiror in favor of any of its executive officers (as defined in Rule 3b-7 under the Exchange Act), directors or employees or to Sponsor.</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6.19          </w:t>
      </w:r>
      <w:r>
        <w:rPr>
          <w:rFonts w:ascii="Times New Roman" w:cs="Times New Roman" w:eastAsia="Times New Roman" w:hAnsi="Times New Roman"/>
          <w:sz w:val="18"/>
          <w:szCs w:val="18"/>
          <w:u w:val="single" w:color="auto"/>
          <w:color w:val="auto"/>
        </w:rPr>
        <w:t>  Acquiror Material Contracts.</w:t>
      </w:r>
    </w:p>
    <w:p>
      <w:pPr>
        <w:spacing w:after="0" w:line="220" w:lineRule="exact"/>
        <w:rPr>
          <w:sz w:val="20"/>
          <w:szCs w:val="20"/>
          <w:color w:val="auto"/>
        </w:rPr>
      </w:pPr>
    </w:p>
    <w:p>
      <w:pPr>
        <w:ind w:right="120" w:firstLine="1281"/>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6.19(a)</w:t>
      </w:r>
      <w:r>
        <w:rPr>
          <w:rFonts w:ascii="Times New Roman" w:cs="Times New Roman" w:eastAsia="Times New Roman" w:hAnsi="Times New Roman"/>
          <w:sz w:val="18"/>
          <w:szCs w:val="18"/>
          <w:color w:val="auto"/>
        </w:rPr>
        <w:t xml:space="preserve"> contains a listing of all Contracts described in clauses (i) and (ii) of this </w:t>
      </w:r>
      <w:r>
        <w:rPr>
          <w:rFonts w:ascii="Times New Roman" w:cs="Times New Roman" w:eastAsia="Times New Roman" w:hAnsi="Times New Roman"/>
          <w:sz w:val="18"/>
          <w:szCs w:val="18"/>
          <w:u w:val="single" w:color="auto"/>
          <w:color w:val="auto"/>
        </w:rPr>
        <w:t>Section 6.19(a)</w:t>
      </w:r>
      <w:r>
        <w:rPr>
          <w:rFonts w:ascii="Times New Roman" w:cs="Times New Roman" w:eastAsia="Times New Roman" w:hAnsi="Times New Roman"/>
          <w:sz w:val="18"/>
          <w:szCs w:val="18"/>
          <w:color w:val="auto"/>
        </w:rPr>
        <w:t xml:space="preserve"> to which, as of the date of this Agreement, Acquiror is a party (together with all material amendments, waivers or other changes thereto) (collectively, the “</w:t>
      </w:r>
      <w:r>
        <w:rPr>
          <w:rFonts w:ascii="Times New Roman" w:cs="Times New Roman" w:eastAsia="Times New Roman" w:hAnsi="Times New Roman"/>
          <w:sz w:val="18"/>
          <w:szCs w:val="18"/>
          <w:u w:val="single" w:color="auto"/>
          <w:color w:val="auto"/>
        </w:rPr>
        <w:t>Acquiror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True, correct and complete copies of the Acquiror Material Contracts have been delivered to or made available to Company or its agents or Representatives.</w:t>
      </w:r>
    </w:p>
    <w:p>
      <w:pPr>
        <w:spacing w:after="0" w:line="181" w:lineRule="exact"/>
        <w:rPr>
          <w:sz w:val="20"/>
          <w:szCs w:val="20"/>
          <w:color w:val="auto"/>
        </w:rPr>
      </w:pPr>
    </w:p>
    <w:p>
      <w:pPr>
        <w:jc w:val="both"/>
        <w:ind w:left="1280" w:firstLine="640"/>
        <w:spacing w:after="0" w:line="262" w:lineRule="auto"/>
        <w:rPr>
          <w:sz w:val="20"/>
          <w:szCs w:val="20"/>
          <w:color w:val="auto"/>
        </w:rPr>
      </w:pPr>
      <w:r>
        <w:rPr>
          <w:rFonts w:ascii="Times New Roman" w:cs="Times New Roman" w:eastAsia="Times New Roman" w:hAnsi="Times New Roman"/>
          <w:sz w:val="18"/>
          <w:szCs w:val="18"/>
          <w:color w:val="auto"/>
        </w:rPr>
        <w:t>(i)              other than (i) Contracts filed as exhibits to the SEC Reports, (ii) confidentiality and non-disclosure agreements, and (iii) this Agreement, all Contracts with continuing post-Closing obligations to which Acquiror or its Subsidiaries is a party or by which any of their respective assets are bound; and</w:t>
      </w:r>
    </w:p>
    <w:p>
      <w:pPr>
        <w:spacing w:after="0" w:line="176" w:lineRule="exact"/>
        <w:rPr>
          <w:sz w:val="20"/>
          <w:szCs w:val="20"/>
          <w:color w:val="auto"/>
        </w:rPr>
      </w:pPr>
    </w:p>
    <w:p>
      <w:pPr>
        <w:ind w:left="1280" w:right="80" w:firstLine="640"/>
        <w:spacing w:after="0" w:line="262" w:lineRule="auto"/>
        <w:rPr>
          <w:sz w:val="20"/>
          <w:szCs w:val="20"/>
          <w:color w:val="auto"/>
        </w:rPr>
      </w:pPr>
      <w:r>
        <w:rPr>
          <w:rFonts w:ascii="Times New Roman" w:cs="Times New Roman" w:eastAsia="Times New Roman" w:hAnsi="Times New Roman"/>
          <w:sz w:val="18"/>
          <w:szCs w:val="18"/>
          <w:color w:val="auto"/>
        </w:rPr>
        <w:t>(ii)             all Contracts entered into between Acquiror and holders of Acquiror Transaction Expenses that provide for the satisfaction of such Acquiror Transaction Expenses with Common Stock to be held by the Sponsor pursuant to this Agreement or other forms of non-cash consideration.</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 xml:space="preserve">(b)            All of the Acquiror Material Contracts listed pursuant to </w:t>
      </w:r>
      <w:r>
        <w:rPr>
          <w:rFonts w:ascii="Times New Roman" w:cs="Times New Roman" w:eastAsia="Times New Roman" w:hAnsi="Times New Roman"/>
          <w:sz w:val="17"/>
          <w:szCs w:val="17"/>
          <w:u w:val="single" w:color="auto"/>
          <w:color w:val="auto"/>
        </w:rPr>
        <w:t>Section 6.19(a)</w:t>
      </w:r>
      <w:r>
        <w:rPr>
          <w:rFonts w:ascii="Times New Roman" w:cs="Times New Roman" w:eastAsia="Times New Roman" w:hAnsi="Times New Roman"/>
          <w:sz w:val="17"/>
          <w:szCs w:val="17"/>
          <w:color w:val="auto"/>
        </w:rPr>
        <w:t xml:space="preserve"> are, as of the Agreement Date (i) in full force and effect and</w:t>
      </w:r>
    </w:p>
    <w:p>
      <w:pPr>
        <w:spacing w:after="0" w:line="37" w:lineRule="exact"/>
        <w:rPr>
          <w:sz w:val="20"/>
          <w:szCs w:val="20"/>
          <w:color w:val="auto"/>
        </w:rPr>
      </w:pPr>
    </w:p>
    <w:p>
      <w:pPr>
        <w:ind w:right="100" w:firstLine="7"/>
        <w:spacing w:after="0" w:line="265" w:lineRule="auto"/>
        <w:tabs>
          <w:tab w:leader="none" w:pos="26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represent the legal, valid and binding obligations of Acquiror and, to the knowledge of Acquiror, represent the legal, valid and binding obligations of the other parties thereto, in each case, subject to the Enforceability Exceptions. As of the Agreement Date, (w) neither Acquiror, nor, to the knowledge of Acquiror, any other party thereto is or is alleged to be in material breach of or material default under any such Acquiror Material Contract, (A) to the knowledge of Acquiror, Acquiror has not received any written claim or notice of material breach of or material default under any such Acquiror Material Contract, and (B) no event has occurred which individually or together with other events, would reasonably be expected to result in a material breach of or a material default under any such Acquiror Material Contract (in each case, with or without notice or lapse of time or both). Each Acquiror Material Contract of a type required to be listed on </w:t>
      </w:r>
      <w:r>
        <w:rPr>
          <w:rFonts w:ascii="Times New Roman" w:cs="Times New Roman" w:eastAsia="Times New Roman" w:hAnsi="Times New Roman"/>
          <w:sz w:val="17"/>
          <w:szCs w:val="17"/>
          <w:u w:val="single" w:color="auto"/>
          <w:color w:val="auto"/>
        </w:rPr>
        <w:t>Schedule 6.19(a)</w:t>
      </w:r>
      <w:r>
        <w:rPr>
          <w:rFonts w:ascii="Times New Roman" w:cs="Times New Roman" w:eastAsia="Times New Roman" w:hAnsi="Times New Roman"/>
          <w:sz w:val="17"/>
          <w:szCs w:val="17"/>
          <w:color w:val="auto"/>
        </w:rPr>
        <w:t xml:space="preserve">, whether or not set forth on </w:t>
      </w:r>
      <w:r>
        <w:rPr>
          <w:rFonts w:ascii="Times New Roman" w:cs="Times New Roman" w:eastAsia="Times New Roman" w:hAnsi="Times New Roman"/>
          <w:sz w:val="17"/>
          <w:szCs w:val="17"/>
          <w:u w:val="single" w:color="auto"/>
          <w:color w:val="auto"/>
        </w:rPr>
        <w:t>Schedule 6.19(a)</w:t>
      </w:r>
      <w:r>
        <w:rPr>
          <w:rFonts w:ascii="Times New Roman" w:cs="Times New Roman" w:eastAsia="Times New Roman" w:hAnsi="Times New Roman"/>
          <w:sz w:val="17"/>
          <w:szCs w:val="17"/>
          <w:color w:val="auto"/>
        </w:rPr>
        <w:t>, was entered into at arm’s length in all material respects.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1" w:lineRule="exact"/>
        <w:rPr>
          <w:sz w:val="20"/>
          <w:szCs w:val="20"/>
          <w:color w:val="auto"/>
        </w:rPr>
      </w:pPr>
    </w:p>
    <w:p>
      <w:pPr>
        <w:ind w:right="40" w:firstLine="640"/>
        <w:spacing w:after="0" w:line="252" w:lineRule="auto"/>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Conduct of Business</w:t>
      </w:r>
      <w:r>
        <w:rPr>
          <w:rFonts w:ascii="Times New Roman" w:cs="Times New Roman" w:eastAsia="Times New Roman" w:hAnsi="Times New Roman"/>
          <w:sz w:val="18"/>
          <w:szCs w:val="18"/>
          <w:color w:val="auto"/>
        </w:rPr>
        <w:t xml:space="preserve">. From the date of this Agreement until the earlier of the Closing or the termination of this Agreement in accordance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the Company shall, except (a) as contemplated by this Agreement, the Transaction Agreements or any Material Contract disclosed on </w:t>
      </w:r>
      <w:r>
        <w:rPr>
          <w:rFonts w:ascii="Times New Roman" w:cs="Times New Roman" w:eastAsia="Times New Roman" w:hAnsi="Times New Roman"/>
          <w:sz w:val="18"/>
          <w:szCs w:val="18"/>
          <w:u w:val="single" w:color="auto"/>
          <w:color w:val="auto"/>
        </w:rPr>
        <w:t>Schedule 5.11(a)</w:t>
      </w:r>
      <w:r>
        <w:rPr>
          <w:rFonts w:ascii="Times New Roman" w:cs="Times New Roman" w:eastAsia="Times New Roman" w:hAnsi="Times New Roman"/>
          <w:sz w:val="18"/>
          <w:szCs w:val="18"/>
          <w:color w:val="auto"/>
        </w:rPr>
        <w:t xml:space="preserve">, (b) as set forth on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(c) as required by Law or to comply with or implement COVID-19 Measures or (d) consented to in writing by Acquiror (which consent shall not be unreasonably conditioned, delayed, withheld or denied) (i) (A) use its commercially reasonable efforts to operate its business only in the ordinary course of business in all material respects and (B) use its commercially reasonable efforts to maintain and preserve intact the business organization, assets, properties and material business relations of the Company and (ii), not do any of the following (other than to the extent necessary to comply with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xml:space="preserve"> or in connection with any Future Pipe Investment):</w:t>
      </w:r>
    </w:p>
    <w:p>
      <w:pPr>
        <w:spacing w:after="0" w:line="187" w:lineRule="exact"/>
        <w:rPr>
          <w:sz w:val="20"/>
          <w:szCs w:val="20"/>
          <w:color w:val="auto"/>
        </w:rPr>
      </w:pPr>
    </w:p>
    <w:p>
      <w:pPr>
        <w:ind w:right="260" w:firstLine="1281"/>
        <w:spacing w:after="0" w:line="277" w:lineRule="auto"/>
        <w:rPr>
          <w:sz w:val="20"/>
          <w:szCs w:val="20"/>
          <w:color w:val="auto"/>
        </w:rPr>
      </w:pPr>
      <w:r>
        <w:rPr>
          <w:rFonts w:ascii="Times New Roman" w:cs="Times New Roman" w:eastAsia="Times New Roman" w:hAnsi="Times New Roman"/>
          <w:sz w:val="18"/>
          <w:szCs w:val="18"/>
          <w:color w:val="auto"/>
        </w:rPr>
        <w:t xml:space="preserve">(a)             change or amend the Company Certificate of Incorporation, bylaws or other organizational documents of the Company, except in connection with a Contemplated Interim Financing (subject to the restrictions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340" w:firstLine="1281"/>
        <w:spacing w:after="0" w:line="277" w:lineRule="auto"/>
        <w:rPr>
          <w:sz w:val="20"/>
          <w:szCs w:val="20"/>
          <w:color w:val="auto"/>
        </w:rPr>
      </w:pPr>
      <w:r>
        <w:rPr>
          <w:rFonts w:ascii="Times New Roman" w:cs="Times New Roman" w:eastAsia="Times New Roman" w:hAnsi="Times New Roman"/>
          <w:sz w:val="18"/>
          <w:szCs w:val="18"/>
          <w:color w:val="auto"/>
        </w:rPr>
        <w:t>(b)             make, declare, set aside, establish a record date for or pay any dividend or distribution, other than any dividends or distributions from any wholly owned Subsidiary of the Company to the Company or any other wholly owned Subsidiary of the Company;</w:t>
      </w:r>
    </w:p>
    <w:p>
      <w:pPr>
        <w:spacing w:after="0" w:line="163" w:lineRule="exact"/>
        <w:rPr>
          <w:sz w:val="20"/>
          <w:szCs w:val="20"/>
          <w:color w:val="auto"/>
        </w:rPr>
      </w:pPr>
    </w:p>
    <w:p>
      <w:pPr>
        <w:ind w:right="20" w:firstLine="1281"/>
        <w:spacing w:after="0" w:line="257" w:lineRule="auto"/>
        <w:rPr>
          <w:sz w:val="20"/>
          <w:szCs w:val="20"/>
          <w:color w:val="auto"/>
        </w:rPr>
      </w:pPr>
      <w:r>
        <w:rPr>
          <w:rFonts w:ascii="Times New Roman" w:cs="Times New Roman" w:eastAsia="Times New Roman" w:hAnsi="Times New Roman"/>
          <w:sz w:val="18"/>
          <w:szCs w:val="18"/>
          <w:color w:val="auto"/>
        </w:rPr>
        <w:t xml:space="preserve">(c)             except in connection with a Contemplated Interim Financing (subject to the restrictions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enter into, assume, assign, partially or completely amend any material term of, modify any material term of or terminate (excluding any expiration in accordance with its terms) any Contract of a type required to be listed on </w:t>
      </w:r>
      <w:r>
        <w:rPr>
          <w:rFonts w:ascii="Times New Roman" w:cs="Times New Roman" w:eastAsia="Times New Roman" w:hAnsi="Times New Roman"/>
          <w:sz w:val="18"/>
          <w:szCs w:val="18"/>
          <w:u w:val="single" w:color="auto"/>
          <w:color w:val="auto"/>
        </w:rPr>
        <w:t>Schedule 5.19(a)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5.11(a)</w:t>
      </w:r>
      <w:r>
        <w:rPr>
          <w:rFonts w:ascii="Times New Roman" w:cs="Times New Roman" w:eastAsia="Times New Roman" w:hAnsi="Times New Roman"/>
          <w:sz w:val="18"/>
          <w:szCs w:val="18"/>
          <w:color w:val="auto"/>
        </w:rPr>
        <w:t>, or any lease, sublease or license related to the Leased Real Property, in each case, other than entry into such agreements in the ordinary course of business;</w:t>
      </w:r>
    </w:p>
    <w:p>
      <w:pPr>
        <w:spacing w:after="0" w:line="181" w:lineRule="exact"/>
        <w:rPr>
          <w:sz w:val="20"/>
          <w:szCs w:val="20"/>
          <w:color w:val="auto"/>
        </w:rPr>
      </w:pPr>
    </w:p>
    <w:p>
      <w:pPr>
        <w:ind w:right="60" w:firstLine="1281"/>
        <w:spacing w:after="0" w:line="253" w:lineRule="auto"/>
        <w:rPr>
          <w:sz w:val="20"/>
          <w:szCs w:val="20"/>
          <w:color w:val="auto"/>
        </w:rPr>
      </w:pPr>
      <w:r>
        <w:rPr>
          <w:rFonts w:ascii="Times New Roman" w:cs="Times New Roman" w:eastAsia="Times New Roman" w:hAnsi="Times New Roman"/>
          <w:sz w:val="18"/>
          <w:szCs w:val="18"/>
          <w:color w:val="auto"/>
        </w:rPr>
        <w:t xml:space="preserve">(d)             (i) issue, deliver, sell, transfer, pledge, dispose of or place any Lien (other than a Permitted Lien) on any shares of capital stock or any other equity or voting securities of the Company or (ii) issue or grant any options, warrants or other rights to purchase or obtain any shares of capital stock or any other equity or voting securities of the Company, in each case other than (A) in the ordinary course of business pursuant to the Company Equity Plan, (B) in connection with the Contemplated Interim Financing (subject to the restrictions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(C) upon the exercise or settlement of Company Options under the Company Equity Plan and applicable award agreement and as required to comply with any Company Benefit Plan or (D) upon the exercise of any Company Warrants pursuant to its terms;</w:t>
      </w:r>
    </w:p>
    <w:p>
      <w:pPr>
        <w:spacing w:after="0" w:line="185" w:lineRule="exact"/>
        <w:rPr>
          <w:sz w:val="20"/>
          <w:szCs w:val="20"/>
          <w:color w:val="auto"/>
        </w:rPr>
      </w:pPr>
    </w:p>
    <w:p>
      <w:pPr>
        <w:ind w:firstLine="1281"/>
        <w:spacing w:after="0" w:line="257" w:lineRule="auto"/>
        <w:rPr>
          <w:sz w:val="20"/>
          <w:szCs w:val="20"/>
          <w:color w:val="auto"/>
        </w:rPr>
      </w:pPr>
      <w:r>
        <w:rPr>
          <w:rFonts w:ascii="Times New Roman" w:cs="Times New Roman" w:eastAsia="Times New Roman" w:hAnsi="Times New Roman"/>
          <w:sz w:val="18"/>
          <w:szCs w:val="18"/>
          <w:color w:val="auto"/>
        </w:rPr>
        <w:t>(e)             sell, assign, transfer, convey, lease, license, abandon, allow to lapse or expire, subject to or grant any Lien (other than Permitted Liens) on, or otherwise dispose of, any material assets, rights or properties of the Company (other than Owned Intellectual Property), other than (i) the sale or other disposition of assets or equipment deemed by the Company in its reasonable business judgment to be obsolete or no longer be material to the business of the Company or (ii) in the ordinary course of business;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5" w:name="page76"/>
    <w:bookmarkEnd w:id="75"/>
    <w:p>
      <w:pPr>
        <w:ind w:right="20" w:firstLine="1281"/>
        <w:spacing w:after="0" w:line="257" w:lineRule="auto"/>
        <w:rPr>
          <w:sz w:val="20"/>
          <w:szCs w:val="20"/>
          <w:color w:val="auto"/>
        </w:rPr>
      </w:pPr>
      <w:r>
        <w:rPr>
          <w:rFonts w:ascii="Times New Roman" w:cs="Times New Roman" w:eastAsia="Times New Roman" w:hAnsi="Times New Roman"/>
          <w:sz w:val="18"/>
          <w:szCs w:val="18"/>
          <w:color w:val="auto"/>
        </w:rPr>
        <w:t>(f)             (i) cancel or compromise any claim or Indebtedness for borrowed money owed to the Company, (ii) settle any pending or threatened Action, (A) if such settlement would require payment by the Company in an amount greater than $150,000, (B) to the extent such settlement includes an agreement to accept or concede injunctive relief, or (C) to the extent such settlement involves a Governmental Authority or alleged criminal wrongdoing, or (iii) agree to modify in any respect materially adverse to the Company any confidentiality Contract to which the Company is a party;</w:t>
      </w:r>
    </w:p>
    <w:p>
      <w:pPr>
        <w:spacing w:after="0" w:line="181" w:lineRule="exact"/>
        <w:rPr>
          <w:sz w:val="20"/>
          <w:szCs w:val="20"/>
          <w:color w:val="auto"/>
        </w:rPr>
      </w:pPr>
    </w:p>
    <w:p>
      <w:pPr>
        <w:ind w:firstLine="1281"/>
        <w:spacing w:after="0" w:line="262" w:lineRule="auto"/>
        <w:rPr>
          <w:sz w:val="20"/>
          <w:szCs w:val="20"/>
          <w:color w:val="auto"/>
        </w:rPr>
      </w:pPr>
      <w:r>
        <w:rPr>
          <w:rFonts w:ascii="Times New Roman" w:cs="Times New Roman" w:eastAsia="Times New Roman" w:hAnsi="Times New Roman"/>
          <w:sz w:val="18"/>
          <w:szCs w:val="18"/>
          <w:color w:val="auto"/>
        </w:rPr>
        <w:t>(g)             transfer, sell, assign, license, sublicense, encumber, impair, abandon, permit to lapse or expire, dedicate to the public, cancel, subject to any Lien, fail to diligently maintain, or otherwise dispose of any right, title or interest in any Owned Intellectual Property, other than non-exclusive licenses granted in the ordinary course of business;</w:t>
      </w:r>
    </w:p>
    <w:p>
      <w:pPr>
        <w:spacing w:after="0" w:line="176" w:lineRule="exact"/>
        <w:rPr>
          <w:sz w:val="20"/>
          <w:szCs w:val="20"/>
          <w:color w:val="auto"/>
        </w:rPr>
      </w:pPr>
    </w:p>
    <w:p>
      <w:pPr>
        <w:ind w:right="260" w:firstLine="1281"/>
        <w:spacing w:after="0" w:line="277" w:lineRule="auto"/>
        <w:rPr>
          <w:sz w:val="20"/>
          <w:szCs w:val="20"/>
          <w:color w:val="auto"/>
        </w:rPr>
      </w:pPr>
      <w:r>
        <w:rPr>
          <w:rFonts w:ascii="Times New Roman" w:cs="Times New Roman" w:eastAsia="Times New Roman" w:hAnsi="Times New Roman"/>
          <w:sz w:val="18"/>
          <w:szCs w:val="18"/>
          <w:color w:val="auto"/>
        </w:rPr>
        <w:t>(h)             disclose any confidential information or trade secrets (other than in the ordinary course of business subject to appropriate written obligations with respect to confidentiality, non-use and non-disclosure) or source code to any Person;</w:t>
      </w:r>
    </w:p>
    <w:p>
      <w:pPr>
        <w:spacing w:after="0" w:line="163" w:lineRule="exact"/>
        <w:rPr>
          <w:sz w:val="20"/>
          <w:szCs w:val="20"/>
          <w:color w:val="auto"/>
        </w:rPr>
      </w:pPr>
    </w:p>
    <w:p>
      <w:pPr>
        <w:ind w:firstLine="1281"/>
        <w:spacing w:after="0" w:line="265" w:lineRule="auto"/>
        <w:rPr>
          <w:sz w:val="20"/>
          <w:szCs w:val="20"/>
          <w:color w:val="auto"/>
        </w:rPr>
      </w:pPr>
      <w:r>
        <w:rPr>
          <w:rFonts w:ascii="Times New Roman" w:cs="Times New Roman" w:eastAsia="Times New Roman" w:hAnsi="Times New Roman"/>
          <w:sz w:val="17"/>
          <w:szCs w:val="17"/>
          <w:color w:val="auto"/>
        </w:rPr>
        <w:t xml:space="preserve">(i)              except as required by the existing terms of any Company Benefit Plans set forth on </w:t>
      </w:r>
      <w:r>
        <w:rPr>
          <w:rFonts w:ascii="Times New Roman" w:cs="Times New Roman" w:eastAsia="Times New Roman" w:hAnsi="Times New Roman"/>
          <w:sz w:val="17"/>
          <w:szCs w:val="17"/>
          <w:u w:val="single" w:color="auto"/>
          <w:color w:val="auto"/>
        </w:rPr>
        <w:t>Schedule 5.12(a)</w:t>
      </w:r>
      <w:r>
        <w:rPr>
          <w:rFonts w:ascii="Times New Roman" w:cs="Times New Roman" w:eastAsia="Times New Roman" w:hAnsi="Times New Roman"/>
          <w:sz w:val="17"/>
          <w:szCs w:val="17"/>
          <w:color w:val="auto"/>
        </w:rPr>
        <w:t xml:space="preserve"> as in effect on the date hereof or otherwise permitted by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 (i) increase the compensation or benefits of any Company employee except for increases in salary, hourly wage rates, declaration of bonuses or benefits (other than severance or retention) made in the ordinary course of business, (ii) make any grant of any severance, retention or termination payment to any Person, except in connection with the promotion, hiring or termination of employment of any non-officer employee in the ordinary course of business or as required by Contracts in effect as of the date hereof, (iii) make any change in the key management structure of the Company, including the hiring of additional officers or the termination of existing officers with “Chief” in his, her or their title, (iv) except to replace an employee or other service provider who voluntarily terminates his or her service after the date hereof, hire any employee of the Company or any other individual who is providing or will provide services to the Company, other than any Person with an annual cash compensation of less than $250,000,</w:t>
      </w:r>
    </w:p>
    <w:p>
      <w:pPr>
        <w:jc w:val="both"/>
        <w:ind w:right="40" w:firstLine="7"/>
        <w:spacing w:after="0" w:line="251" w:lineRule="auto"/>
        <w:tabs>
          <w:tab w:leader="none" w:pos="2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commit to accelerate the funding, payment or vesting of any benefit or compensation to any current or former employee, director, officer or other service provider, or (vi) establish, adopt, enter into, amend or terminate any Company Benefit Plan or any plan, agreement, program, policy, trust, fund or other arrangement that would be a Company Benefit Plan if it were in existence as of the date of this Agreement;</w:t>
      </w:r>
    </w:p>
    <w:p>
      <w:pPr>
        <w:spacing w:after="0" w:line="186" w:lineRule="exact"/>
        <w:rPr>
          <w:sz w:val="20"/>
          <w:szCs w:val="20"/>
          <w:color w:val="auto"/>
        </w:rPr>
      </w:pPr>
    </w:p>
    <w:p>
      <w:pPr>
        <w:ind w:right="180" w:firstLine="1281"/>
        <w:spacing w:after="0" w:line="262" w:lineRule="auto"/>
        <w:rPr>
          <w:sz w:val="20"/>
          <w:szCs w:val="20"/>
          <w:color w:val="auto"/>
        </w:rPr>
      </w:pPr>
      <w:r>
        <w:rPr>
          <w:rFonts w:ascii="Times New Roman" w:cs="Times New Roman" w:eastAsia="Times New Roman" w:hAnsi="Times New Roman"/>
          <w:sz w:val="18"/>
          <w:szCs w:val="18"/>
          <w:color w:val="auto"/>
        </w:rPr>
        <w:t>(j)              directly or indirectly acquire by merging or consolidating with, or by purchasing a substantial portion of the assets of, or by purchasing all of or any substantial equity interest in, or by any other manner, any business or any corporation, partnership, limited liability company, joint venture, association or other entity or Person or division thereof;</w:t>
      </w:r>
    </w:p>
    <w:p>
      <w:pPr>
        <w:spacing w:after="0" w:line="17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(k)             make any loans or advance any money or other property to any Person, except for (A) prepayments and deposits paid to suppliers of the Company in the ordinary course of business and (B) trade credit extended to customers of the Company in the ordinary course of business;</w:t>
      </w:r>
    </w:p>
    <w:p>
      <w:pPr>
        <w:spacing w:after="0" w:line="163"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 xml:space="preserve">(l)              except in connection with a Contemplated Interim Financing (subject to the restrictions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enter into, assume, assign, partially or completely amend any material term of, modify, any material term of or terminate (excluding any expiration in accordance with its terms) any Contract of a type required to be listed on </w:t>
      </w:r>
      <w:r>
        <w:rPr>
          <w:rFonts w:ascii="Times New Roman" w:cs="Times New Roman" w:eastAsia="Times New Roman" w:hAnsi="Times New Roman"/>
          <w:sz w:val="18"/>
          <w:szCs w:val="18"/>
          <w:u w:val="single" w:color="auto"/>
          <w:color w:val="auto"/>
        </w:rPr>
        <w:t>Schedule 5.11(a)</w:t>
      </w:r>
      <w:r>
        <w:rPr>
          <w:rFonts w:ascii="Times New Roman" w:cs="Times New Roman" w:eastAsia="Times New Roman" w:hAnsi="Times New Roman"/>
          <w:sz w:val="18"/>
          <w:szCs w:val="18"/>
          <w:color w:val="auto"/>
        </w:rPr>
        <w:t>, any lease, sublease or license related to the Leased Real Property, other than entry into such agreements in the ordinary course of business;</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76" w:name="page77"/>
    <w:bookmarkEnd w:id="76"/>
    <w:p>
      <w:pPr>
        <w:ind w:right="40" w:firstLine="1281"/>
        <w:spacing w:after="0" w:line="253" w:lineRule="auto"/>
        <w:rPr>
          <w:sz w:val="20"/>
          <w:szCs w:val="20"/>
          <w:color w:val="auto"/>
        </w:rPr>
      </w:pPr>
      <w:r>
        <w:rPr>
          <w:rFonts w:ascii="Times New Roman" w:cs="Times New Roman" w:eastAsia="Times New Roman" w:hAnsi="Times New Roman"/>
          <w:sz w:val="18"/>
          <w:szCs w:val="18"/>
          <w:color w:val="auto"/>
        </w:rPr>
        <w:t>(m)            redeem, purchase or otherwise acquire, any shares of capital stock (or other equity interests) of the Company or any securities or obligations convertible (whether currently convertible or convertible only after the passage of time or the occurrence of certain events) into or exchangeable for any shares of capital stock (or other equity interests) of the Company, except for (i) the acquisition by the Company of Company Shares in connection with the surrender of such Company Shares by holders of Company Options in order to pay the exercise price of Company Options, (ii) withholding of Company Shares to satisfy Tax obligations with respect to Company Options and (iii) acquisition by the Company of any Company Shares or other equity interests of the Company in connection with forfeiture or cancellation of such Company Shares and equity interests;</w:t>
      </w:r>
    </w:p>
    <w:p>
      <w:pPr>
        <w:spacing w:after="0" w:line="185" w:lineRule="exact"/>
        <w:rPr>
          <w:sz w:val="20"/>
          <w:szCs w:val="20"/>
          <w:color w:val="auto"/>
        </w:rPr>
      </w:pPr>
    </w:p>
    <w:p>
      <w:pPr>
        <w:ind w:right="140" w:firstLine="1281"/>
        <w:spacing w:after="0" w:line="277" w:lineRule="auto"/>
        <w:rPr>
          <w:sz w:val="20"/>
          <w:szCs w:val="20"/>
          <w:color w:val="auto"/>
        </w:rPr>
      </w:pPr>
      <w:r>
        <w:rPr>
          <w:rFonts w:ascii="Times New Roman" w:cs="Times New Roman" w:eastAsia="Times New Roman" w:hAnsi="Times New Roman"/>
          <w:sz w:val="18"/>
          <w:szCs w:val="18"/>
          <w:color w:val="auto"/>
        </w:rPr>
        <w:t>(n)             adjust, split, combine, subdivide, recapitalize, reclassify or otherwise effect any change in respect of any shares of capital stock or other equity interests or securities of the Company;</w:t>
      </w:r>
    </w:p>
    <w:p>
      <w:pPr>
        <w:spacing w:after="0" w:line="163" w:lineRule="exact"/>
        <w:rPr>
          <w:sz w:val="20"/>
          <w:szCs w:val="20"/>
          <w:color w:val="auto"/>
        </w:rPr>
      </w:pPr>
    </w:p>
    <w:p>
      <w:pPr>
        <w:ind w:right="40" w:firstLine="1281"/>
        <w:spacing w:after="0" w:line="262" w:lineRule="auto"/>
        <w:rPr>
          <w:sz w:val="20"/>
          <w:szCs w:val="20"/>
          <w:color w:val="auto"/>
        </w:rPr>
      </w:pPr>
      <w:r>
        <w:rPr>
          <w:rFonts w:ascii="Times New Roman" w:cs="Times New Roman" w:eastAsia="Times New Roman" w:hAnsi="Times New Roman"/>
          <w:sz w:val="18"/>
          <w:szCs w:val="18"/>
          <w:color w:val="auto"/>
        </w:rPr>
        <w:t>(o)             make any change in its customary accounting principles or methods of accounting materially affecting the reported consolidated assets, liabilities or results of operations of the Company, other than as may be recommended by the Company’s auditors or as may be required by GAAP or regulatory guidelines;</w:t>
      </w:r>
    </w:p>
    <w:p>
      <w:pPr>
        <w:spacing w:after="0" w:line="176" w:lineRule="exact"/>
        <w:rPr>
          <w:sz w:val="20"/>
          <w:szCs w:val="20"/>
          <w:color w:val="auto"/>
        </w:rPr>
      </w:pPr>
    </w:p>
    <w:p>
      <w:pPr>
        <w:ind w:right="320" w:firstLine="1281"/>
        <w:spacing w:after="0" w:line="277" w:lineRule="auto"/>
        <w:rPr>
          <w:sz w:val="20"/>
          <w:szCs w:val="20"/>
          <w:color w:val="auto"/>
        </w:rPr>
      </w:pPr>
      <w:r>
        <w:rPr>
          <w:rFonts w:ascii="Times New Roman" w:cs="Times New Roman" w:eastAsia="Times New Roman" w:hAnsi="Times New Roman"/>
          <w:sz w:val="18"/>
          <w:szCs w:val="18"/>
          <w:color w:val="auto"/>
        </w:rPr>
        <w:t>(p)             adopt or enter into a plan of complete or partial liquidation, dissolution, merger, consolidation, restructuring, recapitalization or other reorganization of the Company (other than the Transactions);</w:t>
      </w:r>
    </w:p>
    <w:p>
      <w:pPr>
        <w:spacing w:after="0" w:line="163" w:lineRule="exact"/>
        <w:rPr>
          <w:sz w:val="20"/>
          <w:szCs w:val="20"/>
          <w:color w:val="auto"/>
        </w:rPr>
      </w:pPr>
    </w:p>
    <w:p>
      <w:pPr>
        <w:ind w:right="40" w:firstLine="1281"/>
        <w:spacing w:after="0" w:line="254" w:lineRule="auto"/>
        <w:rPr>
          <w:sz w:val="20"/>
          <w:szCs w:val="20"/>
          <w:color w:val="auto"/>
        </w:rPr>
      </w:pPr>
      <w:r>
        <w:rPr>
          <w:rFonts w:ascii="Times New Roman" w:cs="Times New Roman" w:eastAsia="Times New Roman" w:hAnsi="Times New Roman"/>
          <w:sz w:val="18"/>
          <w:szCs w:val="18"/>
          <w:color w:val="auto"/>
        </w:rPr>
        <w:t>(q)             make, revoke or change any material Tax election, adopt or change any accounting method with respect to Taxes, file any amended Tax Return, settle or compromise any material Tax liability, enter into any closing agreement with respect to any Tax, surrender any right to claim a material refund of Taxes or consent to any extension or waiver of the limitations period applicable to any Tax claim or assessment (other than routinely granted extensions or waivers resulting from extensions of time to file Tax Returns), incur any material Taxes outside of the ordinary course of business, or take any actions with respect to Taxes (including deductions or credits) pursuant to any COVID-19 Measure;</w:t>
      </w:r>
    </w:p>
    <w:p>
      <w:pPr>
        <w:spacing w:after="0" w:line="186" w:lineRule="exact"/>
        <w:rPr>
          <w:sz w:val="20"/>
          <w:szCs w:val="20"/>
          <w:color w:val="auto"/>
        </w:rPr>
      </w:pPr>
    </w:p>
    <w:p>
      <w:pPr>
        <w:ind w:right="20" w:firstLine="1281"/>
        <w:spacing w:after="0" w:line="257" w:lineRule="auto"/>
        <w:rPr>
          <w:sz w:val="20"/>
          <w:szCs w:val="20"/>
          <w:color w:val="auto"/>
        </w:rPr>
      </w:pPr>
      <w:r>
        <w:rPr>
          <w:rFonts w:ascii="Times New Roman" w:cs="Times New Roman" w:eastAsia="Times New Roman" w:hAnsi="Times New Roman"/>
          <w:sz w:val="18"/>
          <w:szCs w:val="18"/>
          <w:color w:val="auto"/>
        </w:rPr>
        <w:t xml:space="preserve">(r)             directly or indirectly, incur, or modify in any material respect the terms of, any Indebtedness for borrowed money other than the Contemplated Interim Financing (and subject to the restrictions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or in the ordinary course of business, or issue any debt securities or assume, guarantee or endorse, or otherwise become responsible for, the obligations of any Person for Indebtedness for borrowed money other than in the ordinary course of business or pursuant to the Contemplated Interim Financing (and subject to the restrictions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100" w:firstLine="1281"/>
        <w:spacing w:after="0" w:line="277" w:lineRule="auto"/>
        <w:rPr>
          <w:sz w:val="20"/>
          <w:szCs w:val="20"/>
          <w:color w:val="auto"/>
        </w:rPr>
      </w:pPr>
      <w:r>
        <w:rPr>
          <w:rFonts w:ascii="Times New Roman" w:cs="Times New Roman" w:eastAsia="Times New Roman" w:hAnsi="Times New Roman"/>
          <w:sz w:val="18"/>
          <w:szCs w:val="18"/>
          <w:color w:val="auto"/>
        </w:rPr>
        <w:t>(s)             make any loans, advances or capital contributions to, or guarantees for the benefit of, or any investments in, any Person, other than the reimbursement of expenses of employees in the ordinary course of business;</w:t>
      </w:r>
    </w:p>
    <w:p>
      <w:pPr>
        <w:spacing w:after="0" w:line="163" w:lineRule="exact"/>
        <w:rPr>
          <w:sz w:val="20"/>
          <w:szCs w:val="20"/>
          <w:color w:val="auto"/>
        </w:rPr>
      </w:pPr>
    </w:p>
    <w:p>
      <w:pPr>
        <w:ind w:firstLine="1281"/>
        <w:spacing w:after="0" w:line="277" w:lineRule="auto"/>
        <w:rPr>
          <w:sz w:val="20"/>
          <w:szCs w:val="20"/>
          <w:color w:val="auto"/>
        </w:rPr>
      </w:pPr>
      <w:r>
        <w:rPr>
          <w:rFonts w:ascii="Times New Roman" w:cs="Times New Roman" w:eastAsia="Times New Roman" w:hAnsi="Times New Roman"/>
          <w:sz w:val="18"/>
          <w:szCs w:val="18"/>
          <w:color w:val="auto"/>
        </w:rPr>
        <w:t>(t)              fail to maintain in full force and effect material insurance policies covering the Company and its properties, assets and businesses in a form and amount consistent with past practices;</w:t>
      </w:r>
    </w:p>
    <w:p>
      <w:pPr>
        <w:spacing w:after="0" w:line="163" w:lineRule="exact"/>
        <w:rPr>
          <w:sz w:val="20"/>
          <w:szCs w:val="20"/>
          <w:color w:val="auto"/>
        </w:rPr>
      </w:pPr>
    </w:p>
    <w:p>
      <w:pPr>
        <w:ind w:right="80" w:firstLine="1281"/>
        <w:spacing w:after="0" w:line="277" w:lineRule="auto"/>
        <w:rPr>
          <w:sz w:val="20"/>
          <w:szCs w:val="20"/>
          <w:color w:val="auto"/>
        </w:rPr>
      </w:pPr>
      <w:r>
        <w:rPr>
          <w:rFonts w:ascii="Times New Roman" w:cs="Times New Roman" w:eastAsia="Times New Roman" w:hAnsi="Times New Roman"/>
          <w:sz w:val="18"/>
          <w:szCs w:val="18"/>
          <w:color w:val="auto"/>
        </w:rPr>
        <w:t>(u)            enter into any Contract with any broker, finder, investment banker or other Person under which such Person is or will be entitled to any brokerage fee, finders’ fee or other commission in connection with the Transactions;</w:t>
      </w: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77" w:name="page78"/>
    <w:bookmarkEnd w:id="77"/>
    <w:p>
      <w:pPr>
        <w:ind w:right="200" w:firstLine="1281"/>
        <w:spacing w:after="0" w:line="257" w:lineRule="auto"/>
        <w:rPr>
          <w:sz w:val="20"/>
          <w:szCs w:val="20"/>
          <w:color w:val="auto"/>
        </w:rPr>
      </w:pPr>
      <w:r>
        <w:rPr>
          <w:rFonts w:ascii="Times New Roman" w:cs="Times New Roman" w:eastAsia="Times New Roman" w:hAnsi="Times New Roman"/>
          <w:sz w:val="18"/>
          <w:szCs w:val="18"/>
          <w:color w:val="auto"/>
        </w:rPr>
        <w:t xml:space="preserve">(v)            enter into any material transaction or materially amend in any material respect any existing agreement with any Person that, to the knowledge of the Company, is an Affiliate of the Company (excluding ordinary course payments of annual compensation, provision of benefits or reimbursement of expenses in respect of members or stockholders who are officers or directors of the Company and other than in connection with a Contemplated Interim Financing (subject to the restrictions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360" w:firstLine="1281"/>
        <w:spacing w:after="0" w:line="277" w:lineRule="auto"/>
        <w:rPr>
          <w:sz w:val="20"/>
          <w:szCs w:val="20"/>
          <w:color w:val="auto"/>
        </w:rPr>
      </w:pPr>
      <w:r>
        <w:rPr>
          <w:rFonts w:ascii="Times New Roman" w:cs="Times New Roman" w:eastAsia="Times New Roman" w:hAnsi="Times New Roman"/>
          <w:sz w:val="18"/>
          <w:szCs w:val="18"/>
          <w:color w:val="auto"/>
        </w:rPr>
        <w:t>(w)            enter into any agreement that materially restricts the ability of the Company to (i) engage or compete in any line of business, or (ii) enter into any new line of business;</w:t>
      </w:r>
    </w:p>
    <w:p>
      <w:pPr>
        <w:spacing w:after="0" w:line="163" w:lineRule="exact"/>
        <w:rPr>
          <w:sz w:val="20"/>
          <w:szCs w:val="20"/>
          <w:color w:val="auto"/>
        </w:rPr>
      </w:pPr>
    </w:p>
    <w:p>
      <w:pPr>
        <w:ind w:right="360" w:firstLine="1281"/>
        <w:spacing w:after="0" w:line="277"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8"/>
          <w:szCs w:val="8"/>
          <w:color w:val="auto"/>
        </w:rPr>
        <w:t> </w:t>
      </w:r>
      <w:r>
        <w:rPr>
          <w:rFonts w:ascii="Times New Roman" w:cs="Times New Roman" w:eastAsia="Times New Roman" w:hAnsi="Times New Roman"/>
          <w:sz w:val="18"/>
          <w:szCs w:val="18"/>
          <w:color w:val="auto"/>
        </w:rPr>
        <w:t>       terminate, amend, fail to review or preserve or otherwise fail to maintain in full force and effect any material Permit, except for amendments contemplated in the ordinary course of business;</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(y)             make individual commitments for capital expenditures or construction of fixed assets in excess of $150,000; or</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(z)             enter into any agreement, or otherwise become obligated, to do or take any action prohibited under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xml:space="preserve">Notwithstanding the foregoing, nothing contained in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shall give to Acquiror, directly or indirectly, the right to control or direct the operations of the Company during the Interim Period, including in a manner which may violate the HSR Act or other Antitrust Law.</w:t>
      </w:r>
    </w:p>
    <w:p>
      <w:pPr>
        <w:spacing w:after="0" w:line="163"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u w:val="single" w:color="auto"/>
          <w:color w:val="auto"/>
        </w:rPr>
        <w:t>  Inspection</w:t>
      </w:r>
      <w:r>
        <w:rPr>
          <w:rFonts w:ascii="Times New Roman" w:cs="Times New Roman" w:eastAsia="Times New Roman" w:hAnsi="Times New Roman"/>
          <w:sz w:val="18"/>
          <w:szCs w:val="18"/>
          <w:color w:val="auto"/>
        </w:rPr>
        <w:t xml:space="preserve">. Subject to confidentiality obligations and similar restrictions that may be applicable to information furnished to the Company by third parties that may be in the Company’s possession from time to time, and except for any information which (x) relates to the negotiation of this Agreement or the Transactions, (y) is prohibited from being disclosed by applicable Law or (z) in the opinion of legal counsel of the Company would result in the loss of attorney-client privilege or other privilege from disclosure, the Company shall afford to Acquiror and its Representatives reasonable access during the Interim Period, during normal business hours and with reasonable advance notice, in such manner as to not interfere unreasonably with the normal operation of the Company, to all of its properties, books, Contracts, commitments, Tax Returns, records and appropriate officers and employees, and shall furnish Acquiror and such Representatives with all financial and operating data and other information concerning the affairs of the Company that are in the possession of the Company, in each case, as Acquiror or its Representatives may reasonably request to facilitate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shall not include any unreasonably invasive or intrusive investigations or other testing, sampling or analysis of any properties, facilities or equipment of the Company without the prior written consent of the Company. The Parties shall use commercially reasonable efforts to make alternative arrangements for such disclosure where the restrictions in the preceding sentence apply. All information obtained by Acquiror and its Representatives under this Agreement shall be subject to the Confidentiality Agreement prior to the Closing.</w:t>
      </w:r>
    </w:p>
    <w:p>
      <w:pPr>
        <w:spacing w:after="0" w:line="188" w:lineRule="exact"/>
        <w:rPr>
          <w:sz w:val="20"/>
          <w:szCs w:val="20"/>
          <w:color w:val="auto"/>
        </w:rPr>
      </w:pPr>
    </w:p>
    <w:p>
      <w:pPr>
        <w:ind w:right="40" w:firstLine="640"/>
        <w:spacing w:after="0" w:line="249" w:lineRule="auto"/>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u w:val="single" w:color="auto"/>
          <w:color w:val="auto"/>
        </w:rPr>
        <w:t>  No Claim Against the Trust Accoun</w:t>
      </w:r>
      <w:r>
        <w:rPr>
          <w:rFonts w:ascii="Times New Roman" w:cs="Times New Roman" w:eastAsia="Times New Roman" w:hAnsi="Times New Roman"/>
          <w:sz w:val="18"/>
          <w:szCs w:val="18"/>
          <w:color w:val="auto"/>
        </w:rPr>
        <w:t xml:space="preserve">t. The Company acknowledges that it has read the Acquiror Final Prospectus and other SEC Reports, the Acquiror Organizational Documents, and the Trust Agreement and understands that Acquiror has established the Trust Account described therein for the benefit of Acquiror’s public stockholders and that disbursements from the Trust Account are available only in the limited circumstances set forth in the Trust Agreement. The Company further acknowledges that, if the Transactions, or, in the event of termination of this Agreement, another Business Combination, are not consummated by December 22, 2022 or such later date as approved by the stockholders of Acquiror to complete a Business Combination, Acquiror will be obligated to return to its stockholders the amounts being held in the Trust Account. Accordingly, the Company (on behalf of itself and its Affiliates) hereby waives any past, present or future claim of any kind against, and any right to access, the Trust Account (or distributions therefrom pursuant to the Acquiror Stockholder Redemption or as set forth in the prior sentence), Trustee and Acquiror or to collect from the Trust Account (or distributions therefrom pursuant to the Acquiror Stockholder Redemption or as set forth in the prior sentence) any monies that may be owed to them by Acquiror or any of its Affiliates for any reason whatsoever, and will not seek recourse against the Trust Account (including any distributions therefrom pursuant to the Acquiror Stockholder Redemption or as set forth in the prior sentence) at any time for any reason whatsoever; provided, that nothing herein shall serve to limit or prohibit the Company’s right to pursue a claim against Acquiror for legal relief against monies or other assets held outside the Trust Account, for specific performance or other equitable relief in connection with the consummation of the Transactions (including a claim for Acquiror to specifically perform its obligations under this Agreement and cause the disbursement of the balance of the cash remaining in the Trust Account (after giving effect to the Acquiror Stockholder Redemption) to Acquiror in accordance with the terms of this Agreement and the Trust Agreement) so long as such claim would not affect Acquiror’s ability to fulfill its obligation to effectuate the Acquiror Stockholder Redemption.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survive the termination of this Agreement for any reason.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8" w:name="page79"/>
    <w:bookmarkEnd w:id="78"/>
    <w:p>
      <w:pPr>
        <w:ind w:left="640"/>
        <w:spacing w:after="0"/>
        <w:rPr>
          <w:sz w:val="20"/>
          <w:szCs w:val="20"/>
          <w:color w:val="auto"/>
        </w:rPr>
      </w:pPr>
      <w:r>
        <w:rPr>
          <w:rFonts w:ascii="Times New Roman" w:cs="Times New Roman" w:eastAsia="Times New Roman" w:hAnsi="Times New Roman"/>
          <w:sz w:val="18"/>
          <w:szCs w:val="18"/>
          <w:color w:val="auto"/>
        </w:rPr>
        <w:t>Section 7.04          </w:t>
      </w:r>
      <w:r>
        <w:rPr>
          <w:rFonts w:ascii="Times New Roman" w:cs="Times New Roman" w:eastAsia="Times New Roman" w:hAnsi="Times New Roman"/>
          <w:sz w:val="18"/>
          <w:szCs w:val="18"/>
          <w:u w:val="single" w:color="auto"/>
          <w:color w:val="auto"/>
        </w:rPr>
        <w:t>  Proxy Solicitation; Other Actions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(a)             The Company shall provide Acquiror, (i) as promptly as reasonably practicable following the execution of this Agreement, but in no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later than November 30, 2022, the Financial Statements and consolidated statements of income and comprehensive income, stockholder’s equity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of the Company for the years ended December 31, 2021 and December 31, 2020, in each case, prepared in accordance with GAAP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S-X and audited in accordance with the auditing standards of the PCAOB (the “</w:t>
      </w:r>
      <w:r>
        <w:rPr>
          <w:rFonts w:ascii="Times New Roman" w:cs="Times New Roman" w:eastAsia="Times New Roman" w:hAnsi="Times New Roman"/>
          <w:sz w:val="18"/>
          <w:szCs w:val="18"/>
          <w:u w:val="single" w:color="auto"/>
          <w:color w:val="auto"/>
        </w:rPr>
        <w:t>PCAOB Audited Financials</w:t>
      </w:r>
      <w:r>
        <w:rPr>
          <w:rFonts w:ascii="Times New Roman" w:cs="Times New Roman" w:eastAsia="Times New Roman" w:hAnsi="Times New Roman"/>
          <w:sz w:val="18"/>
          <w:szCs w:val="18"/>
          <w:color w:val="auto"/>
        </w:rPr>
        <w:t>”), and (ii) no later than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2022, reviewed financial statements, including consolidated condensed balance sheets and consolidated condensed statements of income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stockholder’s equity and cash flows, of the Company as at and for the nine months ended September 30, 2022, prepared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accordance with GAAP and Regulation S-X (the “</w:t>
      </w:r>
      <w:r>
        <w:rPr>
          <w:rFonts w:ascii="Times New Roman" w:cs="Times New Roman" w:eastAsia="Times New Roman" w:hAnsi="Times New Roman"/>
          <w:sz w:val="17"/>
          <w:szCs w:val="17"/>
          <w:u w:val="single" w:color="auto"/>
          <w:color w:val="auto"/>
        </w:rPr>
        <w:t>Reviewed Financials</w:t>
      </w:r>
      <w:r>
        <w:rPr>
          <w:rFonts w:ascii="Times New Roman" w:cs="Times New Roman" w:eastAsia="Times New Roman" w:hAnsi="Times New Roman"/>
          <w:sz w:val="17"/>
          <w:szCs w:val="17"/>
          <w:color w:val="auto"/>
        </w:rPr>
        <w:t>”), and (iii) any other audited or unaudited consolidated balance sheets and the related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audited or unaudited consolidated statements of comprehensive (loss) income, stockholder’s equity and cash flows of the Company as of and for a year-to-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period ended as of the end of any other different fiscal quarter (and as of and for the same period from the previous fiscal year) or fiscal year,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that is required to be included in the Registration Statement. All such financial statements, together with any audited or unaudited consolidated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and the related audited or unaudited consolidated statements of comprehensive (loss) income, stockholder’s equity and cash flows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of and for a year-to-date period ended as of the end of a different fiscal quarter (and as of and for the same period from the previous fiscal year)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(and as of and for the prior fiscal quarter) that is required to be included in the Registration Statement (w) will fairly present in all material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respects the consolidated financial position of the Company as at the date thereof, and the results of its operations, stockholder’s equity and cash flows for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periods then ended (subject, in the case of any unaudited interim financial statements, to normal year-end audit adjustments (none of which 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be material) and the absence of footnotes), (x) will be prepared in conformity with GAAP applied on a consistent basis during the periods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involved, (y) in the case of any audited financial statements, will be audited in accordance with the standards of the PCAOB, and (z) will comply in all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respects with the applicable accounting requirements and with the rules and regulations of the SEC, the Exchange Act and the Securities Act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as of the respective dates thereof (including Regulation S-X or Regulation S-K, as applicable). The Company shall be available to, and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use its commercially reasonably efforts to make their officers, managers, representatives and employees available to, in each case, during normal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hours and upon reasonable advanced notice, Acquiror and its counsel in connection with (A) the drafting of the Registration Statement and</w:t>
      </w:r>
    </w:p>
    <w:p>
      <w:pPr>
        <w:spacing w:after="0" w:line="6" w:lineRule="exact"/>
        <w:rPr>
          <w:sz w:val="20"/>
          <w:szCs w:val="20"/>
          <w:color w:val="auto"/>
        </w:rPr>
      </w:pPr>
    </w:p>
    <w:p>
      <w:pPr>
        <w:ind w:right="20" w:firstLine="7"/>
        <w:spacing w:after="0" w:line="251" w:lineRule="auto"/>
        <w:tabs>
          <w:tab w:leader="none" w:pos="28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in a timely manner to comments on the Registration Statement from the SEC. Without limiting the generality of the foregoing, the Company shall reasonably cooperate with Acquiror in connection with the preparation for inclusion in the Registration Statement of pro forma financial statements that comply with the requirements of Regulation S-X under the rules and regulations of the SEC (as interpreted by the staff of the SEC).</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9" w:name="page80"/>
    <w:bookmarkEnd w:id="79"/>
    <w:p>
      <w:pPr>
        <w:ind w:firstLine="1281"/>
        <w:spacing w:after="0" w:line="250" w:lineRule="auto"/>
        <w:rPr>
          <w:sz w:val="20"/>
          <w:szCs w:val="20"/>
          <w:color w:val="auto"/>
        </w:rPr>
      </w:pPr>
      <w:r>
        <w:rPr>
          <w:rFonts w:ascii="Times New Roman" w:cs="Times New Roman" w:eastAsia="Times New Roman" w:hAnsi="Times New Roman"/>
          <w:sz w:val="18"/>
          <w:szCs w:val="18"/>
          <w:color w:val="auto"/>
        </w:rPr>
        <w:t xml:space="preserve">(b)             From and after the date on which the proxy statement contained in the Registration Statement is mailed to Acquiror’s stockholders, the Company will give Acquiror prompt written notice of any action taken or not taken by the Company or of any development regarding the Company, in any such case which becomes known by the Company that would cause the Registration Statement to contain an untrue statement of a material fact or omit to state a material fact necessary in order to make the statements,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action shall be taken or fail to be taken or such development shall otherwise occur, upon becoming aware of such untrue statement of a material fact or omission to state a material fact necessary in order to make statements not misleading, Acquiror and the Company shall cooperate fully to cause an amendment or supplement to be made promptly to the Registration Statement, such that the Registration Statement no longer contains such untrue statement of a material fact or omits to state to state a material fact necessary in order to make the statements, in light of the circumstances under which they were made, not misleading;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information received by Acquiror pursuant to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shall operate as a waiver or otherwise affect any representation, warranty or agreement given or made by the party who disclosed such information, and no such information shall be deemed to change, supplement or amend the Schedules.</w:t>
      </w:r>
    </w:p>
    <w:p>
      <w:pPr>
        <w:spacing w:after="0" w:line="190" w:lineRule="exact"/>
        <w:rPr>
          <w:sz w:val="20"/>
          <w:szCs w:val="20"/>
          <w:color w:val="auto"/>
        </w:rPr>
      </w:pPr>
    </w:p>
    <w:p>
      <w:pPr>
        <w:ind w:right="20" w:firstLine="640"/>
        <w:spacing w:after="0" w:line="248" w:lineRule="auto"/>
        <w:rPr>
          <w:sz w:val="20"/>
          <w:szCs w:val="20"/>
          <w:color w:val="auto"/>
        </w:rPr>
      </w:pPr>
      <w:r>
        <w:rPr>
          <w:rFonts w:ascii="Times New Roman" w:cs="Times New Roman" w:eastAsia="Times New Roman" w:hAnsi="Times New Roman"/>
          <w:sz w:val="18"/>
          <w:szCs w:val="18"/>
          <w:color w:val="auto"/>
        </w:rPr>
        <w:t>Section 7.05          </w:t>
      </w:r>
      <w:r>
        <w:rPr>
          <w:rFonts w:ascii="Times New Roman" w:cs="Times New Roman" w:eastAsia="Times New Roman" w:hAnsi="Times New Roman"/>
          <w:sz w:val="18"/>
          <w:szCs w:val="18"/>
          <w:u w:val="single" w:color="auto"/>
          <w:color w:val="auto"/>
        </w:rPr>
        <w:t>  Code Section 280G</w:t>
      </w:r>
      <w:r>
        <w:rPr>
          <w:rFonts w:ascii="Times New Roman" w:cs="Times New Roman" w:eastAsia="Times New Roman" w:hAnsi="Times New Roman"/>
          <w:sz w:val="18"/>
          <w:szCs w:val="18"/>
          <w:color w:val="auto"/>
        </w:rPr>
        <w:t>. Prior to the Closing Date, if required to avoid the imposition of Taxes under Section 4999 of the Code or the loss of deduction under 280G with respect to any payment or benefit in connection with any of the transactions contemplated by this Agreement, the Company shall use commercially reasonable efforts to (a) obtain from each Person who the Company reasonably believes is, with respect to the Company, a “disqualified individual” (within the meaning of Code Section 280G(c) and any regulations promulgated thereunder) who could otherwise receive or retain any payment or benefits that could constitute a “parachute payment” (within the meaning of Code Section 280G(b)(2)(A) and any regulations promulgated thereunder) as a result of or in connection with the consummation of the transactions contemplated hereby, a waiver (a “</w:t>
      </w:r>
      <w:r>
        <w:rPr>
          <w:rFonts w:ascii="Times New Roman" w:cs="Times New Roman" w:eastAsia="Times New Roman" w:hAnsi="Times New Roman"/>
          <w:sz w:val="18"/>
          <w:szCs w:val="18"/>
          <w:u w:val="single" w:color="auto"/>
          <w:color w:val="auto"/>
        </w:rPr>
        <w:t>Parachute Payment Waiver</w:t>
      </w:r>
      <w:r>
        <w:rPr>
          <w:rFonts w:ascii="Times New Roman" w:cs="Times New Roman" w:eastAsia="Times New Roman" w:hAnsi="Times New Roman"/>
          <w:sz w:val="18"/>
          <w:szCs w:val="18"/>
          <w:color w:val="auto"/>
        </w:rPr>
        <w:t>”) of such disqualified individual’s rights to some or all of such payments or benefits (the “</w:t>
      </w:r>
      <w:r>
        <w:rPr>
          <w:rFonts w:ascii="Times New Roman" w:cs="Times New Roman" w:eastAsia="Times New Roman" w:hAnsi="Times New Roman"/>
          <w:sz w:val="18"/>
          <w:szCs w:val="18"/>
          <w:u w:val="single" w:color="auto"/>
          <w:color w:val="auto"/>
        </w:rPr>
        <w:t>Waived 280G Benefits</w:t>
      </w:r>
      <w:r>
        <w:rPr>
          <w:rFonts w:ascii="Times New Roman" w:cs="Times New Roman" w:eastAsia="Times New Roman" w:hAnsi="Times New Roman"/>
          <w:sz w:val="18"/>
          <w:szCs w:val="18"/>
          <w:color w:val="auto"/>
        </w:rPr>
        <w:t xml:space="preserve">”) so that no payments and/or benefits shall be deemed to be “excess parachute payments” (within the meaning of Code Section 280G and any regulations promulgated thereunder) and (b) submit to a stockholder vote (along with adequate disclosure satisfying the requirements of Code Section 280G(b)(5)(B)(ii) and any regulations promulgated thereunder) the right of any such “disqualified individual” to receive the Waived 280G Benefits. Prior to soliciting such waivers and approval materials, the Company shall provide drafts of the calculations, waivers and approval materials to Acquiror for its review and comment no later than five Business Days prior to soliciting such waivers and soliciting such approval, and the Company shall incorporate any comments provided by Acquiror in good faith. If any of the Waived 280G Benefits fail to be approved in accordance with the requirements of Code Section 280G(b)(5)(B) as contemplated above, such Waived 280G Benefits shall not be made or provided. Prior to the Closing, the Company shall deliver to Acquiror evidence reasonably acceptable to Acquiror that a vote of the stockholders was solicited in accordance with the foregoing provisions of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and that either (i) the requisite number of votes of the stockholders was obtained with respect to the Waived 280G Benefits (the “</w:t>
      </w:r>
      <w:r>
        <w:rPr>
          <w:rFonts w:ascii="Times New Roman" w:cs="Times New Roman" w:eastAsia="Times New Roman" w:hAnsi="Times New Roman"/>
          <w:sz w:val="18"/>
          <w:szCs w:val="18"/>
          <w:u w:val="single" w:color="auto"/>
          <w:color w:val="auto"/>
        </w:rPr>
        <w:t>280G Approval</w:t>
      </w:r>
      <w:r>
        <w:rPr>
          <w:rFonts w:ascii="Times New Roman" w:cs="Times New Roman" w:eastAsia="Times New Roman" w:hAnsi="Times New Roman"/>
          <w:sz w:val="18"/>
          <w:szCs w:val="18"/>
          <w:color w:val="auto"/>
        </w:rPr>
        <w:t>”) or (ii) the 280G Approval was not obtained, and, as a consequence, the Waived 280G Benefits shall not be retained or provided. Notwithstanding the foregoing, with respect to any Acquiror Arrangement (defined as any arrangement agreed upon or entered into by, or at the direction of, Acquiror and/or its Affiliates, on the one hand, and a “disqualified individual,” on the other hand, on or prior to the Closing Date), Acquiror shall provide a copy of such Acquiror Arrangement to the Company at least five days before the Closing Date and shall cooperate with the Company in good faith in order to calculate or determine the value (for purposes of Code Section 280G) of any payments or benefits granted or contemplated therein that could reasonably be expected to constitute a “parachute payment” under Code Section 280G, and the Company shall incorporate such Acquiror Arrangements into its calculations and 280G shareholder approval process described herein.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0" w:name="page81"/>
    <w:bookmarkEnd w:id="80"/>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Section 7.06          </w:t>
      </w:r>
      <w:r>
        <w:rPr>
          <w:rFonts w:ascii="Times New Roman" w:cs="Times New Roman" w:eastAsia="Times New Roman" w:hAnsi="Times New Roman"/>
          <w:sz w:val="18"/>
          <w:szCs w:val="18"/>
          <w:u w:val="single" w:color="auto"/>
          <w:color w:val="auto"/>
        </w:rPr>
        <w:t>  FIRPTA Certificates</w:t>
      </w:r>
      <w:r>
        <w:rPr>
          <w:rFonts w:ascii="Times New Roman" w:cs="Times New Roman" w:eastAsia="Times New Roman" w:hAnsi="Times New Roman"/>
          <w:sz w:val="18"/>
          <w:szCs w:val="18"/>
          <w:color w:val="auto"/>
        </w:rPr>
        <w:t>. At or prior to the Closing, the Company shall deliver, or cause to be delivered, to Acquiror (a) a certificate, duly executed by the Company, complying with Treasury Regulations Section 1.1445-2(c)(3), together with evidence that the Company has provided notice to the Internal Revenue Service in accordance with the provisions of Treasury Regulations Section 1.897-2(h)(2) stating that it is not, and has not been during the period specified in Code Section 897(c)(1)(A)(ii), a United States real property holding corporation, in each case, in a form and substance reasonably acceptable to Acquiror and (b) an IRS Form W-9 duly executed by the Company.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7.07          </w:t>
      </w:r>
      <w:r>
        <w:rPr>
          <w:rFonts w:ascii="Times New Roman" w:cs="Times New Roman" w:eastAsia="Times New Roman" w:hAnsi="Times New Roman"/>
          <w:sz w:val="18"/>
          <w:szCs w:val="18"/>
          <w:u w:val="single" w:color="auto"/>
          <w:color w:val="auto"/>
        </w:rPr>
        <w:t>  Company Stockholder Approval; Support Agreements</w:t>
      </w:r>
      <w:r>
        <w:rPr>
          <w:rFonts w:ascii="Times New Roman" w:cs="Times New Roman" w:eastAsia="Times New Roman" w:hAnsi="Times New Roman"/>
          <w:sz w:val="18"/>
          <w:szCs w:val="18"/>
          <w:color w:val="auto"/>
        </w:rPr>
        <w:t>. As promptly as reasonably practicable (and in any event, within five</w:t>
      </w:r>
    </w:p>
    <w:p>
      <w:pPr>
        <w:spacing w:after="0" w:line="25" w:lineRule="exact"/>
        <w:rPr>
          <w:sz w:val="20"/>
          <w:szCs w:val="20"/>
          <w:color w:val="auto"/>
        </w:rPr>
      </w:pPr>
    </w:p>
    <w:p>
      <w:pPr>
        <w:ind w:firstLine="7"/>
        <w:spacing w:after="0" w:line="248" w:lineRule="auto"/>
        <w:tabs>
          <w:tab w:leader="none" w:pos="2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Registration Statement is declared effective under the Securities Act, the Company shall prepare (with the cooperation of Acquiror) and deliver to each Company Stockholder an information statement regarding the transactions contemplated by this Agreement, which shall be in a form reasonably acceptable to Acquiror (as it may be amended or supplemented from time to time, the “</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The Information Statement shall constitute an information statement for the Company’s solicitation of consent of the Company Stockholders with respect to the adoption of this Agreement and the approval of the Merger and shall include (a) a statement to the effect that the Company’s board of directors had recommended that the Company Stockholders vote in favor of the adoption of this Agreement and the approval of the Merger; and (b) such other information as Acquiror and the Company reasonably agree is required or advisable under applicable Law to be included therein. The Company shall, with the cooperation of Acquiror (to the extent reasonably required), prepare any other necessary documentation required or advisable to be provided to the Company Stockholders pursuant to the DGCL. None of the information supplied or to be supplied by Acquiror or the Company for inclusion in the Information Statement or any amendment or supplement thereto will contain, as of the date of the delivery of such document, any untrue statement of a material fact, or will omit to state any material fact necessary in order to make the statements therein, in light of the circumstances under which they are made, not misleading. As promptly as reasonably practicable (and in any event, within twenty (20) days after the Information Statement is delivered to the Company Stockholders), the Company shall obtain and deliver to Acquiror evidence of the Company Stockholder Approval in the form of a written consent executed by each of the Company Requisite Stockholders, and the Company shall take all other action necessary or advisable to secure the Company Stockholder Approval, and if applicable, any additional consents or approvals of its stockholders related thereto.</w:t>
      </w:r>
    </w:p>
    <w:p>
      <w:pPr>
        <w:spacing w:after="0" w:line="188"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Section 7.08          </w:t>
      </w:r>
      <w:r>
        <w:rPr>
          <w:rFonts w:ascii="Times New Roman" w:cs="Times New Roman" w:eastAsia="Times New Roman" w:hAnsi="Times New Roman"/>
          <w:sz w:val="18"/>
          <w:szCs w:val="18"/>
          <w:u w:val="single" w:color="auto"/>
          <w:color w:val="auto"/>
        </w:rPr>
        <w:t>  Financial Information Prior to Closing</w:t>
      </w:r>
      <w:r>
        <w:rPr>
          <w:rFonts w:ascii="Times New Roman" w:cs="Times New Roman" w:eastAsia="Times New Roman" w:hAnsi="Times New Roman"/>
          <w:sz w:val="18"/>
          <w:szCs w:val="18"/>
          <w:color w:val="auto"/>
        </w:rPr>
        <w:t>. No later than (i) 30 days following the last day of each fiscal month of the Company that occurs between the date hereof and the Closing Date, the Company shall deliver to the Acquiror unaudited combined financial statements (including a balance sheet, income statement and statement of cash flows) for such fiscal month then ended and (ii) 30 days following the last day of each fiscal quarter of the Company that occurs between the date hereof and the Closing Date, the Company shall deliver to the Acquiror unaudited consolidated financial statements (including a balance sheet, income statement and statement of cash flows) for such fiscal quarter then ended.</w:t>
      </w:r>
    </w:p>
    <w:p>
      <w:pPr>
        <w:spacing w:after="0" w:line="186"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Section 7.09          </w:t>
      </w:r>
      <w:r>
        <w:rPr>
          <w:rFonts w:ascii="Times New Roman" w:cs="Times New Roman" w:eastAsia="Times New Roman" w:hAnsi="Times New Roman"/>
          <w:sz w:val="18"/>
          <w:szCs w:val="18"/>
          <w:u w:val="single" w:color="auto"/>
          <w:color w:val="auto"/>
        </w:rPr>
        <w:t>  Employment Agreements</w:t>
      </w:r>
      <w:r>
        <w:rPr>
          <w:rFonts w:ascii="Times New Roman" w:cs="Times New Roman" w:eastAsia="Times New Roman" w:hAnsi="Times New Roman"/>
          <w:sz w:val="18"/>
          <w:szCs w:val="18"/>
          <w:color w:val="auto"/>
        </w:rPr>
        <w:t>. During the Interim Period, notwithstanding anything to the contrary contained in this Agreement, the Company may enter into employment agreements with such officers of the Company employed by the Company as of the Agreement Date (which agreements shall be in a form reasonably acceptable to Acquiror); provided, for the avoidance of doubt, that failure to enter into any such employment agreements shall not be a breach of this Agreement; and provided further, however, that the Company shall solicit feedback and give good faith consideration to comments from Acquiror prior to executing such documents.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p>
      <w:pPr>
        <w:ind w:firstLine="640"/>
        <w:spacing w:after="0" w:line="257" w:lineRule="auto"/>
        <w:rPr>
          <w:sz w:val="20"/>
          <w:szCs w:val="20"/>
          <w:color w:val="auto"/>
        </w:rPr>
      </w:pPr>
      <w:r>
        <w:rPr>
          <w:rFonts w:ascii="Times New Roman" w:cs="Times New Roman" w:eastAsia="Times New Roman" w:hAnsi="Times New Roman"/>
          <w:sz w:val="18"/>
          <w:szCs w:val="18"/>
          <w:color w:val="auto"/>
        </w:rPr>
        <w:t>Section 7.10          </w:t>
      </w:r>
      <w:r>
        <w:rPr>
          <w:rFonts w:ascii="Times New Roman" w:cs="Times New Roman" w:eastAsia="Times New Roman" w:hAnsi="Times New Roman"/>
          <w:sz w:val="18"/>
          <w:szCs w:val="18"/>
          <w:u w:val="single" w:color="auto"/>
          <w:color w:val="auto"/>
        </w:rPr>
        <w:t>  Assignment of Inventions Agreements</w:t>
      </w:r>
      <w:r>
        <w:rPr>
          <w:rFonts w:ascii="Times New Roman" w:cs="Times New Roman" w:eastAsia="Times New Roman" w:hAnsi="Times New Roman"/>
          <w:sz w:val="18"/>
          <w:szCs w:val="18"/>
          <w:color w:val="auto"/>
        </w:rPr>
        <w:t>. During the Interim Period, the Company shall use commercially reasonable efforts to obtain confidentiality and assignment of inventions agreements, in a form reasonably acceptable to Acquiror from any current or former employee, consultant or member of the board of directors of the Company who has contributed to the creation or development of Owned Intellectual Property and has not signed such an agreement as of the date hereof (or an agreement containing substantially equivalent terms).</w:t>
      </w:r>
    </w:p>
    <w:p>
      <w:pPr>
        <w:spacing w:after="0" w:line="181"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Section 7.11          </w:t>
      </w:r>
      <w:r>
        <w:rPr>
          <w:rFonts w:ascii="Times New Roman" w:cs="Times New Roman" w:eastAsia="Times New Roman" w:hAnsi="Times New Roman"/>
          <w:sz w:val="18"/>
          <w:szCs w:val="18"/>
          <w:u w:val="single" w:color="auto"/>
          <w:color w:val="auto"/>
        </w:rPr>
        <w:t>  Contemplated Interim Financing</w:t>
      </w:r>
      <w:r>
        <w:rPr>
          <w:rFonts w:ascii="Times New Roman" w:cs="Times New Roman" w:eastAsia="Times New Roman" w:hAnsi="Times New Roman"/>
          <w:sz w:val="18"/>
          <w:szCs w:val="18"/>
          <w:color w:val="auto"/>
        </w:rPr>
        <w:t xml:space="preserve">. During the Interim Period, the Company may conduct one or several Contemplated Interim Financings,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material terms of any Contemplated Interim Financing shall be submitted to, and approved in writing by, Acquiror at least ten (10) days prior to the consummation of such Contemplated Interim Financing (such consent to not be unreasonably conditioned, withheld or delayed to the extent the entry into such Contemplated Interim Financing on such terms would not otherwise impair the parties’ ability to negotiate, obtain or secure a Future PIPE Investment).</w:t>
      </w:r>
    </w:p>
    <w:p>
      <w:pPr>
        <w:spacing w:after="0" w:line="186" w:lineRule="exact"/>
        <w:rPr>
          <w:sz w:val="20"/>
          <w:szCs w:val="20"/>
          <w:color w:val="auto"/>
        </w:rPr>
      </w:pPr>
    </w:p>
    <w:p>
      <w:pPr>
        <w:jc w:val="both"/>
        <w:ind w:right="40" w:firstLine="640"/>
        <w:spacing w:after="0" w:line="257" w:lineRule="auto"/>
        <w:rPr>
          <w:sz w:val="20"/>
          <w:szCs w:val="20"/>
          <w:color w:val="auto"/>
        </w:rPr>
      </w:pPr>
      <w:r>
        <w:rPr>
          <w:rFonts w:ascii="Times New Roman" w:cs="Times New Roman" w:eastAsia="Times New Roman" w:hAnsi="Times New Roman"/>
          <w:sz w:val="18"/>
          <w:szCs w:val="18"/>
          <w:color w:val="auto"/>
        </w:rPr>
        <w:t>Section 7.12          </w:t>
      </w:r>
      <w:r>
        <w:rPr>
          <w:rFonts w:ascii="Times New Roman" w:cs="Times New Roman" w:eastAsia="Times New Roman" w:hAnsi="Times New Roman"/>
          <w:sz w:val="18"/>
          <w:szCs w:val="18"/>
          <w:u w:val="single" w:color="auto"/>
          <w:color w:val="auto"/>
        </w:rPr>
        <w:t>  Company Warrants</w:t>
      </w:r>
      <w:r>
        <w:rPr>
          <w:rFonts w:ascii="Times New Roman" w:cs="Times New Roman" w:eastAsia="Times New Roman" w:hAnsi="Times New Roman"/>
          <w:sz w:val="18"/>
          <w:szCs w:val="18"/>
          <w:color w:val="auto"/>
        </w:rPr>
        <w:t>. If and to the extent any Series B-3 Warrants are then outstanding, the Company shall have obtained, prior to the initial filing of the Registration Statement, the consent of the holders of at least a majority of the Series B-3 Warrants to amend such Series B-3 Warrants in a manner reasonably satisfactory to Acquiror to cause the Series B-3 Warrants’ automatic exercise immediately prior to the Effective Time in accordance with Sections 3.06(b).</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 OF ACQUIROR</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Conduct of Acquiror During the Interim Period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60" w:firstLine="1281"/>
        <w:spacing w:after="0" w:line="254" w:lineRule="auto"/>
        <w:rPr>
          <w:sz w:val="20"/>
          <w:szCs w:val="20"/>
          <w:color w:val="auto"/>
        </w:rPr>
      </w:pPr>
      <w:r>
        <w:rPr>
          <w:rFonts w:ascii="Times New Roman" w:cs="Times New Roman" w:eastAsia="Times New Roman" w:hAnsi="Times New Roman"/>
          <w:sz w:val="18"/>
          <w:szCs w:val="18"/>
          <w:color w:val="auto"/>
        </w:rPr>
        <w:t xml:space="preserve">(a)             During the Interim Period, the Acquiror shall, except (a) as set forth on </w:t>
      </w:r>
      <w:r>
        <w:rPr>
          <w:rFonts w:ascii="Times New Roman" w:cs="Times New Roman" w:eastAsia="Times New Roman" w:hAnsi="Times New Roman"/>
          <w:sz w:val="18"/>
          <w:szCs w:val="18"/>
          <w:u w:val="single" w:color="auto"/>
          <w:color w:val="auto"/>
        </w:rPr>
        <w:t>Schedule 8.01</w:t>
      </w:r>
      <w:r>
        <w:rPr>
          <w:rFonts w:ascii="Times New Roman" w:cs="Times New Roman" w:eastAsia="Times New Roman" w:hAnsi="Times New Roman"/>
          <w:sz w:val="18"/>
          <w:szCs w:val="18"/>
          <w:color w:val="auto"/>
        </w:rPr>
        <w:t>, (b) as contemplated by this Agreement or the Transaction Agreements, (c) as required by Law or to comply with or implement COVID-19 Measures or (d) or as consented to by the Company in writing (which consent shall not be unreasonably conditioned, withheld or delayed), (i) (A) use its commercially reasonable efforts to operate its business only in the ordinary course of business in all material respects and (B) use its commercially reasonable efforts to maintain and preserve intact the business organization, assets, properties and material business relations of Acquiror and (ii), not, and shall not permit any of its Subsidiaries to:</w:t>
      </w:r>
    </w:p>
    <w:p>
      <w:pPr>
        <w:spacing w:after="0" w:line="186" w:lineRule="exact"/>
        <w:rPr>
          <w:sz w:val="20"/>
          <w:szCs w:val="20"/>
          <w:color w:val="auto"/>
        </w:rPr>
      </w:pPr>
    </w:p>
    <w:p>
      <w:pPr>
        <w:jc w:val="both"/>
        <w:ind w:left="640" w:right="40" w:firstLine="1281"/>
        <w:spacing w:after="0" w:line="284" w:lineRule="auto"/>
        <w:rPr>
          <w:sz w:val="20"/>
          <w:szCs w:val="20"/>
          <w:color w:val="auto"/>
        </w:rPr>
      </w:pPr>
      <w:r>
        <w:rPr>
          <w:rFonts w:ascii="Times New Roman" w:cs="Times New Roman" w:eastAsia="Times New Roman" w:hAnsi="Times New Roman"/>
          <w:sz w:val="17"/>
          <w:szCs w:val="17"/>
          <w:color w:val="auto"/>
        </w:rPr>
        <w:t xml:space="preserve">(i)              change, modify or amend the Trust Agreement, the Acquiror Organizational Documents or the organizational documents of Merger Sub except as approved by the Acquiror’s stockholders in accordance with the Acquiror Organizational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Acquiror may be entitled to amend the Acquiror Certificate of Incorporation as necessary to effect, or to give effect to, the Extension;</w:t>
      </w:r>
    </w:p>
    <w:p>
      <w:pPr>
        <w:spacing w:after="0" w:line="160" w:lineRule="exact"/>
        <w:rPr>
          <w:sz w:val="20"/>
          <w:szCs w:val="20"/>
          <w:color w:val="auto"/>
        </w:rPr>
      </w:pPr>
    </w:p>
    <w:p>
      <w:pPr>
        <w:ind w:left="640" w:right="220" w:firstLine="1281"/>
        <w:spacing w:after="0" w:line="254" w:lineRule="auto"/>
        <w:rPr>
          <w:sz w:val="20"/>
          <w:szCs w:val="20"/>
          <w:color w:val="auto"/>
        </w:rPr>
      </w:pPr>
      <w:r>
        <w:rPr>
          <w:rFonts w:ascii="Times New Roman" w:cs="Times New Roman" w:eastAsia="Times New Roman" w:hAnsi="Times New Roman"/>
          <w:sz w:val="18"/>
          <w:szCs w:val="18"/>
          <w:color w:val="auto"/>
        </w:rPr>
        <w:t>(ii)             (A) make, declare, set aside or pay any dividends on, or make any other distribution in respect of any outstanding capital stock of, or other equity interests in, Acquiror or Merger Sub; (B) split, combine or reclassify any capital stock of, or other equity interests in, Acquiror or Merger Sub; or (C) other than in connection with the Acquiror Stockholder Redemption or as otherwise required by Acquiror’s Organizational Documents in order to consummate the Transactions, repurchase, redeem or otherwise acquire, or offer to repurchase, redeem or otherwise acquire, any capital stock of, or other equity interests in, Acquiror or Merger Sub;</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p>
      <w:pPr>
        <w:ind w:right="140" w:firstLine="1281"/>
        <w:spacing w:after="0" w:line="257" w:lineRule="auto"/>
        <w:rPr>
          <w:sz w:val="20"/>
          <w:szCs w:val="20"/>
          <w:color w:val="auto"/>
        </w:rPr>
      </w:pPr>
      <w:r>
        <w:rPr>
          <w:rFonts w:ascii="Times New Roman" w:cs="Times New Roman" w:eastAsia="Times New Roman" w:hAnsi="Times New Roman"/>
          <w:sz w:val="18"/>
          <w:szCs w:val="18"/>
          <w:color w:val="auto"/>
        </w:rPr>
        <w:t>(iii)             make, revoke or change any material Tax election, adopt or change any accounting method with respect to Taxes (other than in the ordinary course for a newly formed entity), file any amended Tax Return, settle or compromise any material Tax liability, enter into any closing agreement with respect to any Tax, consent to any extension or waiver of the limitations period applicable to any material Tax claim or assessment (other than routinely granted extensions or waivers resulting from extensions of time to file Tax Returns);</w:t>
      </w:r>
    </w:p>
    <w:p>
      <w:pPr>
        <w:spacing w:after="0" w:line="181" w:lineRule="exact"/>
        <w:rPr>
          <w:sz w:val="20"/>
          <w:szCs w:val="20"/>
          <w:color w:val="auto"/>
        </w:rPr>
      </w:pPr>
    </w:p>
    <w:p>
      <w:pPr>
        <w:ind w:right="140" w:firstLine="1281"/>
        <w:spacing w:after="0" w:line="257" w:lineRule="auto"/>
        <w:rPr>
          <w:sz w:val="20"/>
          <w:szCs w:val="20"/>
          <w:color w:val="auto"/>
        </w:rPr>
      </w:pPr>
      <w:r>
        <w:rPr>
          <w:rFonts w:ascii="Times New Roman" w:cs="Times New Roman" w:eastAsia="Times New Roman" w:hAnsi="Times New Roman"/>
          <w:sz w:val="18"/>
          <w:szCs w:val="18"/>
          <w:color w:val="auto"/>
        </w:rPr>
        <w:t xml:space="preserve">(iv)            except for the transactions contemplated by any Future PIPE Investment or in connection with the incurrence of Indebtedness in favor of Sponsor in accordance with </w:t>
      </w:r>
      <w:r>
        <w:rPr>
          <w:rFonts w:ascii="Times New Roman" w:cs="Times New Roman" w:eastAsia="Times New Roman" w:hAnsi="Times New Roman"/>
          <w:sz w:val="18"/>
          <w:szCs w:val="18"/>
          <w:u w:val="single" w:color="auto"/>
          <w:color w:val="auto"/>
        </w:rPr>
        <w:t>Section 8.01(a)(vii)</w:t>
      </w:r>
      <w:r>
        <w:rPr>
          <w:rFonts w:ascii="Times New Roman" w:cs="Times New Roman" w:eastAsia="Times New Roman" w:hAnsi="Times New Roman"/>
          <w:sz w:val="18"/>
          <w:szCs w:val="18"/>
          <w:color w:val="auto"/>
        </w:rPr>
        <w:t>, enter into, renew or amend in any material respect, any transaction or Contract with an Affiliate of Acquiror (including, for the avoidance of doubt, (x) the Sponsor and (y) any Person in which any Sponsor has a direct or indirect legal, contractual or beneficial ownership interest of 5% or greater);</w:t>
      </w:r>
    </w:p>
    <w:p>
      <w:pPr>
        <w:spacing w:after="0" w:line="181" w:lineRule="exact"/>
        <w:rPr>
          <w:sz w:val="20"/>
          <w:szCs w:val="20"/>
          <w:color w:val="auto"/>
        </w:rPr>
      </w:pPr>
    </w:p>
    <w:p>
      <w:pPr>
        <w:ind w:right="220" w:firstLine="1281"/>
        <w:spacing w:after="0" w:line="262" w:lineRule="auto"/>
        <w:rPr>
          <w:sz w:val="20"/>
          <w:szCs w:val="20"/>
          <w:color w:val="auto"/>
        </w:rPr>
      </w:pPr>
      <w:r>
        <w:rPr>
          <w:rFonts w:ascii="Times New Roman" w:cs="Times New Roman" w:eastAsia="Times New Roman" w:hAnsi="Times New Roman"/>
          <w:sz w:val="18"/>
          <w:szCs w:val="18"/>
          <w:color w:val="auto"/>
        </w:rPr>
        <w:t>(v)             waive, release, compromise, settle or satisfy any pending or threatened Action, (A) if such settlement would require payment by Acquiror in an amount greater than $250,000, (B) to the extent such settlement includes an agreement to accept or concede injunctive relief, or (C) to the extent such settlement involves a Governmental Authority or alleged criminal wrongdoing;</w:t>
      </w:r>
    </w:p>
    <w:p>
      <w:pPr>
        <w:spacing w:after="0" w:line="176" w:lineRule="exact"/>
        <w:rPr>
          <w:sz w:val="20"/>
          <w:szCs w:val="20"/>
          <w:color w:val="auto"/>
        </w:rPr>
      </w:pPr>
    </w:p>
    <w:p>
      <w:pPr>
        <w:jc w:val="both"/>
        <w:ind w:right="240" w:firstLine="1281"/>
        <w:spacing w:after="0" w:line="262" w:lineRule="auto"/>
        <w:rPr>
          <w:sz w:val="20"/>
          <w:szCs w:val="20"/>
          <w:color w:val="auto"/>
        </w:rPr>
      </w:pPr>
      <w:r>
        <w:rPr>
          <w:rFonts w:ascii="Times New Roman" w:cs="Times New Roman" w:eastAsia="Times New Roman" w:hAnsi="Times New Roman"/>
          <w:sz w:val="18"/>
          <w:szCs w:val="18"/>
          <w:color w:val="auto"/>
        </w:rPr>
        <w:t xml:space="preserve">(vi)            enter into, or amend or modify any material term of, terminate or waive or release any material rights, claims or benefits under, any Contract of a type required to be listed on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6.19(a)</w:t>
      </w:r>
      <w:r>
        <w:rPr>
          <w:rFonts w:ascii="Times New Roman" w:cs="Times New Roman" w:eastAsia="Times New Roman" w:hAnsi="Times New Roman"/>
          <w:sz w:val="18"/>
          <w:szCs w:val="18"/>
          <w:color w:val="auto"/>
        </w:rPr>
        <w:t xml:space="preserve"> to which the Acquiror or its Subsidiaries is a party or by which it is bound;</w:t>
      </w:r>
    </w:p>
    <w:p>
      <w:pPr>
        <w:spacing w:after="0" w:line="176" w:lineRule="exact"/>
        <w:rPr>
          <w:sz w:val="20"/>
          <w:szCs w:val="20"/>
          <w:color w:val="auto"/>
        </w:rPr>
      </w:pPr>
    </w:p>
    <w:p>
      <w:pPr>
        <w:ind w:firstLine="1281"/>
        <w:spacing w:after="0" w:line="253" w:lineRule="auto"/>
        <w:rPr>
          <w:sz w:val="20"/>
          <w:szCs w:val="20"/>
          <w:color w:val="auto"/>
        </w:rPr>
      </w:pPr>
      <w:r>
        <w:rPr>
          <w:rFonts w:ascii="Times New Roman" w:cs="Times New Roman" w:eastAsia="Times New Roman" w:hAnsi="Times New Roman"/>
          <w:sz w:val="18"/>
          <w:szCs w:val="18"/>
          <w:color w:val="auto"/>
        </w:rPr>
        <w:t>(vii)           except for any transactions contemplated by a Future PIPE Investment (of which the Company is aware), incur, guarantee or otherwise become liable for (whether directly, contingently or otherwise) any Indebtedness for borrowed money, other than (A) any instrument entered into by Acquiror pursuant to the Future PIPE Investment or (B) any Indebtedness incurred by Acquiror from the Sponsor in order to (1) fund the payment of Acquiror Transaction Expenses, (2) satisfy the Acquiror Parties’ obligations under this Agreement or in connection with the Transactions or (3) fund the Acquiror’s operating expenses incurred during the Interim Period in the ordinary course of business consistent with past practice;</w:t>
      </w:r>
    </w:p>
    <w:p>
      <w:pPr>
        <w:spacing w:after="0" w:line="185" w:lineRule="exact"/>
        <w:rPr>
          <w:sz w:val="20"/>
          <w:szCs w:val="20"/>
          <w:color w:val="auto"/>
        </w:rPr>
      </w:pPr>
    </w:p>
    <w:p>
      <w:pPr>
        <w:ind w:right="180" w:firstLine="1281"/>
        <w:spacing w:after="0" w:line="277" w:lineRule="auto"/>
        <w:rPr>
          <w:sz w:val="20"/>
          <w:szCs w:val="20"/>
          <w:color w:val="auto"/>
        </w:rPr>
      </w:pPr>
      <w:r>
        <w:rPr>
          <w:rFonts w:ascii="Times New Roman" w:cs="Times New Roman" w:eastAsia="Times New Roman" w:hAnsi="Times New Roman"/>
          <w:sz w:val="18"/>
          <w:szCs w:val="18"/>
          <w:color w:val="auto"/>
        </w:rPr>
        <w:t>(viii)          acquire by merger or consolidation with, or merge or consolidate with, or purchase substantially all or a material portion of the assets of, any corporation, partnership, association, joint venture or other business organization or division thereof;</w:t>
      </w:r>
    </w:p>
    <w:p>
      <w:pPr>
        <w:spacing w:after="0" w:line="163" w:lineRule="exact"/>
        <w:rPr>
          <w:sz w:val="20"/>
          <w:szCs w:val="20"/>
          <w:color w:val="auto"/>
        </w:rPr>
      </w:pPr>
    </w:p>
    <w:p>
      <w:pPr>
        <w:ind w:right="860" w:firstLine="1281"/>
        <w:spacing w:after="0" w:line="307" w:lineRule="auto"/>
        <w:rPr>
          <w:sz w:val="20"/>
          <w:szCs w:val="20"/>
          <w:color w:val="auto"/>
        </w:rPr>
      </w:pPr>
      <w:r>
        <w:rPr>
          <w:rFonts w:ascii="Times New Roman" w:cs="Times New Roman" w:eastAsia="Times New Roman" w:hAnsi="Times New Roman"/>
          <w:sz w:val="17"/>
          <w:szCs w:val="17"/>
          <w:color w:val="auto"/>
        </w:rPr>
        <w:t>(ix)             fail to maintain its existence, adopt a plan of, or otherwise enter into or effect a, complete or partial liquidation, dissolution, restructuring, recapitalization or other reorganization of the Acquiror or its Subsidiaries (other than the Merger);</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(x)              amend, waive or otherwise change the Trust Agreement in any manner adverse to the Acquiror;</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(xi)             terminate, waive or assign any material right under any Acquiror Material Contract;</w:t>
      </w:r>
    </w:p>
    <w:p>
      <w:pPr>
        <w:spacing w:after="0" w:line="200" w:lineRule="exact"/>
        <w:rPr>
          <w:sz w:val="20"/>
          <w:szCs w:val="20"/>
          <w:color w:val="auto"/>
        </w:rPr>
      </w:pPr>
    </w:p>
    <w:p>
      <w:pPr>
        <w:spacing w:after="0" w:line="2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83" w:name="page84"/>
    <w:bookmarkEnd w:id="83"/>
    <w:p>
      <w:pPr>
        <w:ind w:left="1920"/>
        <w:spacing w:after="0"/>
        <w:rPr>
          <w:sz w:val="20"/>
          <w:szCs w:val="20"/>
          <w:color w:val="auto"/>
        </w:rPr>
      </w:pPr>
      <w:r>
        <w:rPr>
          <w:rFonts w:ascii="Times New Roman" w:cs="Times New Roman" w:eastAsia="Times New Roman" w:hAnsi="Times New Roman"/>
          <w:sz w:val="18"/>
          <w:szCs w:val="18"/>
          <w:color w:val="auto"/>
        </w:rPr>
        <w:t>(xii)            hire any employees;</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(xiii)           establish any Subsidiary or enter into any new line of business;</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(xiv)           make any capital expenditures;</w:t>
      </w:r>
    </w:p>
    <w:p>
      <w:pPr>
        <w:spacing w:after="0" w:line="220" w:lineRule="exact"/>
        <w:rPr>
          <w:sz w:val="20"/>
          <w:szCs w:val="20"/>
          <w:color w:val="auto"/>
        </w:rPr>
      </w:pPr>
    </w:p>
    <w:p>
      <w:pPr>
        <w:ind w:left="640" w:right="40" w:firstLine="1281"/>
        <w:spacing w:after="0" w:line="262" w:lineRule="auto"/>
        <w:rPr>
          <w:sz w:val="20"/>
          <w:szCs w:val="20"/>
          <w:color w:val="auto"/>
        </w:rPr>
      </w:pPr>
      <w:r>
        <w:rPr>
          <w:rFonts w:ascii="Times New Roman" w:cs="Times New Roman" w:eastAsia="Times New Roman" w:hAnsi="Times New Roman"/>
          <w:sz w:val="18"/>
          <w:szCs w:val="18"/>
          <w:color w:val="auto"/>
        </w:rPr>
        <w:t>(xv)            make any loans, advances or capital contributions to, or investments in, any other Person (including to Sponsor, or any of Acquiror’s officers, directors, agents or consultants), make any change in its existing borrowing or lending arrangements for or on behalf of such Persons, or enter into any “keep well” or similar agreement to maintain the financial condition of any other Person;</w:t>
      </w:r>
    </w:p>
    <w:p>
      <w:pPr>
        <w:spacing w:after="0" w:line="176" w:lineRule="exact"/>
        <w:rPr>
          <w:sz w:val="20"/>
          <w:szCs w:val="20"/>
          <w:color w:val="auto"/>
        </w:rPr>
      </w:pPr>
    </w:p>
    <w:p>
      <w:pPr>
        <w:ind w:left="640" w:right="400" w:firstLine="1281"/>
        <w:spacing w:after="0" w:line="277" w:lineRule="auto"/>
        <w:rPr>
          <w:sz w:val="20"/>
          <w:szCs w:val="20"/>
          <w:color w:val="auto"/>
        </w:rPr>
      </w:pPr>
      <w:r>
        <w:rPr>
          <w:rFonts w:ascii="Times New Roman" w:cs="Times New Roman" w:eastAsia="Times New Roman" w:hAnsi="Times New Roman"/>
          <w:sz w:val="18"/>
          <w:szCs w:val="18"/>
          <w:color w:val="auto"/>
        </w:rPr>
        <w:t>(xvi)           make any material change in financial accounting methods, principles or practices, except insofar as may have been required by a change in GAAP or other applicable Laws;</w:t>
      </w:r>
    </w:p>
    <w:p>
      <w:pPr>
        <w:spacing w:after="0" w:line="163" w:lineRule="exact"/>
        <w:rPr>
          <w:sz w:val="20"/>
          <w:szCs w:val="20"/>
          <w:color w:val="auto"/>
        </w:rPr>
      </w:pPr>
    </w:p>
    <w:p>
      <w:pPr>
        <w:ind w:left="640" w:right="320" w:firstLine="1281"/>
        <w:spacing w:after="0" w:line="277" w:lineRule="auto"/>
        <w:rPr>
          <w:sz w:val="20"/>
          <w:szCs w:val="20"/>
          <w:color w:val="auto"/>
        </w:rPr>
      </w:pPr>
      <w:r>
        <w:rPr>
          <w:rFonts w:ascii="Times New Roman" w:cs="Times New Roman" w:eastAsia="Times New Roman" w:hAnsi="Times New Roman"/>
          <w:sz w:val="18"/>
          <w:szCs w:val="18"/>
          <w:color w:val="auto"/>
        </w:rPr>
        <w:t>(xvii)          terminate without replacement or amend in a manner detrimental to Acquiror and Merger Sub, taken as a whole, any material insurance policy insuring the business of Acquiror and Merger Sub;</w:t>
      </w:r>
    </w:p>
    <w:p>
      <w:pPr>
        <w:spacing w:after="0" w:line="163" w:lineRule="exact"/>
        <w:rPr>
          <w:sz w:val="20"/>
          <w:szCs w:val="20"/>
          <w:color w:val="auto"/>
        </w:rPr>
      </w:pPr>
    </w:p>
    <w:p>
      <w:pPr>
        <w:ind w:left="640" w:right="100" w:firstLine="1281"/>
        <w:spacing w:after="0" w:line="277" w:lineRule="auto"/>
        <w:rPr>
          <w:sz w:val="20"/>
          <w:szCs w:val="20"/>
          <w:color w:val="auto"/>
        </w:rPr>
      </w:pPr>
      <w:r>
        <w:rPr>
          <w:rFonts w:ascii="Times New Roman" w:cs="Times New Roman" w:eastAsia="Times New Roman" w:hAnsi="Times New Roman"/>
          <w:sz w:val="18"/>
          <w:szCs w:val="18"/>
          <w:color w:val="auto"/>
        </w:rPr>
        <w:t>(xviii)         knowingly take any action, or knowingly fail to take any action, where such action or failure to act could reasonably be expected to prevent the Merger from qualifying for the Intended Tax Treatment;</w:t>
      </w:r>
    </w:p>
    <w:p>
      <w:pPr>
        <w:spacing w:after="0" w:line="163" w:lineRule="exact"/>
        <w:rPr>
          <w:sz w:val="20"/>
          <w:szCs w:val="20"/>
          <w:color w:val="auto"/>
        </w:rPr>
      </w:pPr>
    </w:p>
    <w:p>
      <w:pPr>
        <w:jc w:val="both"/>
        <w:ind w:left="640" w:right="240" w:firstLine="1281"/>
        <w:spacing w:after="0" w:line="269" w:lineRule="auto"/>
        <w:rPr>
          <w:sz w:val="20"/>
          <w:szCs w:val="20"/>
          <w:color w:val="auto"/>
        </w:rPr>
      </w:pPr>
      <w:r>
        <w:rPr>
          <w:rFonts w:ascii="Times New Roman" w:cs="Times New Roman" w:eastAsia="Times New Roman" w:hAnsi="Times New Roman"/>
          <w:sz w:val="17"/>
          <w:szCs w:val="17"/>
          <w:color w:val="auto"/>
        </w:rPr>
        <w:t>(xix)           (A) offer, issue, deliver, grant or sell, or authorize or propose to offer, issue, deliver, grant or sell, any capital stock of, other equity interests, equity equivalents, stock appreciation rights, phantom stock ownership interests or similar rights in, Acquiror or any of its Subsidiaries or any securities convertible into, or any rights, warrants or options to acquire, any such capital stock or equity interests, other than</w:t>
      </w:r>
    </w:p>
    <w:p>
      <w:pPr>
        <w:spacing w:after="0" w:line="2" w:lineRule="exact"/>
        <w:rPr>
          <w:sz w:val="20"/>
          <w:szCs w:val="20"/>
          <w:color w:val="auto"/>
        </w:rPr>
      </w:pPr>
    </w:p>
    <w:p>
      <w:pPr>
        <w:jc w:val="both"/>
        <w:ind w:left="640" w:right="80" w:firstLine="7"/>
        <w:spacing w:after="0" w:line="262" w:lineRule="auto"/>
        <w:tabs>
          <w:tab w:leader="none" w:pos="89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issuance of Acquiror Warrants in connection with a conversion of the Convertible Sponsor Note; (y) the issuance of (or agreement to issue) shares of Acquiror Class A Common Stock pursuant to the Future PIPE Investment or other financing agreements entered into in accordance with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as applicable; (z) issuance of Acquiror Class A Common Stock in connection with the exercise of any Acquiror Warrants, or</w:t>
      </w:r>
    </w:p>
    <w:p>
      <w:pPr>
        <w:jc w:val="both"/>
        <w:ind w:left="640" w:right="3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amend, modify or waive any of the terms or rights set forth in, any Acquiror Warrant or the Warrant Agreement, including any amendment, modification or reduction of the warrant price set forth therein except as may be required pursuant to the terms and conditions of such Acquiror Warrants; or</w:t>
      </w:r>
    </w:p>
    <w:p>
      <w:pPr>
        <w:spacing w:after="0" w:line="18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xml:space="preserve">(xx)            Enter into any agreement to do any action prohibited under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62" w:lineRule="auto"/>
        <w:rPr>
          <w:sz w:val="20"/>
          <w:szCs w:val="20"/>
          <w:color w:val="auto"/>
        </w:rPr>
      </w:pPr>
      <w:r>
        <w:rPr>
          <w:rFonts w:ascii="Times New Roman" w:cs="Times New Roman" w:eastAsia="Times New Roman" w:hAnsi="Times New Roman"/>
          <w:sz w:val="18"/>
          <w:szCs w:val="18"/>
          <w:color w:val="auto"/>
        </w:rPr>
        <w:t>(b)             During the Interim Period, Acquiror shall, and shall cause its Subsidiaries to comply with, and continue performing under, as applicable, the Acquiror Organizational Documents, the Trust Agreement and all other agreements or Contracts to which Acquiror or its Subsidiaries may be a party.</w:t>
      </w:r>
    </w:p>
    <w:p>
      <w:pPr>
        <w:spacing w:after="0" w:line="176" w:lineRule="exact"/>
        <w:rPr>
          <w:sz w:val="20"/>
          <w:szCs w:val="20"/>
          <w:color w:val="auto"/>
        </w:rPr>
      </w:pPr>
    </w:p>
    <w:p>
      <w:pPr>
        <w:ind w:right="100" w:firstLine="640"/>
        <w:spacing w:after="0" w:line="250"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Future PIPE Investment</w:t>
      </w:r>
      <w:r>
        <w:rPr>
          <w:rFonts w:ascii="Times New Roman" w:cs="Times New Roman" w:eastAsia="Times New Roman" w:hAnsi="Times New Roman"/>
          <w:sz w:val="18"/>
          <w:szCs w:val="18"/>
          <w:color w:val="auto"/>
        </w:rPr>
        <w:t xml:space="preserve">. During the Interim Period, the Parties shall use their commercially reasonable efforts to enter into and consummate Future PIPE Investments on terms mutually agreeable to the Parties, and, if the Parties mutually agree to seek a Future PIPE Investment, the Parties shall, and shall cause their respective Representatives to, cooperate with each other and their respective Representatives in connection with such Future PIPE Investment. Once Acquiror shall have entered into such Future PIPE Investments described in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Acquiror shall use commercially reasonable efforts to comply with the terms of its obligations and satisfy, in all material respects, all conditions and covenants applicable to Acquiror, and Acquiror shall not permit any amendment or modification to be made to, any waiver (in whole or in part) of, or provide consent to modify or terminate any provision or remedy under, or any replacements of, any of the instruments without the Company’s consent (which consent shall not be unreasonably withheld, delayed or conditioned). Without limiting the generality of the foregoing, Acquiror shall give the Company, prompt written notice during the Interim Period of any breach or default claimed in writing by any party to any instrument or agreement related to a Future PIPE Investment. For the avoidance of doubt, during the Interim Period, in no event shall Acquiror enter into any Future PIPE Investment without first seeking the consent of the Company.</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84" w:name="page85"/>
    <w:bookmarkEnd w:id="84"/>
    <w:p>
      <w:pPr>
        <w:ind w:firstLine="640"/>
        <w:spacing w:after="0" w:line="250"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Inspection</w:t>
      </w:r>
      <w:r>
        <w:rPr>
          <w:rFonts w:ascii="Times New Roman" w:cs="Times New Roman" w:eastAsia="Times New Roman" w:hAnsi="Times New Roman"/>
          <w:sz w:val="18"/>
          <w:szCs w:val="18"/>
          <w:color w:val="auto"/>
        </w:rPr>
        <w:t>. Subject to confidentiality obligations and similar restrictions that may be applicable to information furnished to Acquiror or its Subsidiaries by third parties that may be in Acquiror’s or its Subsidiaries’ possession from time to time, and except for any information which in the opinion of legal counsel of Acquiror would result in the loss of attorney-client privilege or other privilege from disclosure, Acquiror shall afford to the Company, its Affiliates and their respective Representatives reasonable access during the Interim Period, during normal business hours and with reasonable advance notice, to their respective properties, books, Contracts, commitments, Tax Returns, records and appropriate officers and employees of Acquiror and its Subsidiaries, and shall furnish such Representatives with all financial and operating data and other information concerning the affairs of Acquiror that are in the possession of Acquiror, in each case as the Company and its Representatives may reasonably request solely for purposes of consummating the Transactions. The Parties shall use commercially reasonable efforts to make alternative arrangements for such disclosure where the restrictions in the preceding sentence apply. All information obtained by the Company, its Affiliates and their respective Representatives under this Agreement shall be subject to the Confidentiality Agreement prior to the Effective Time.</w:t>
      </w:r>
    </w:p>
    <w:p>
      <w:pPr>
        <w:spacing w:after="0" w:line="192" w:lineRule="exact"/>
        <w:rPr>
          <w:sz w:val="20"/>
          <w:szCs w:val="20"/>
          <w:color w:val="auto"/>
        </w:rPr>
      </w:pPr>
    </w:p>
    <w:p>
      <w:pPr>
        <w:ind w:right="140" w:firstLine="640"/>
        <w:spacing w:after="0" w:line="277" w:lineRule="auto"/>
        <w:rPr>
          <w:sz w:val="20"/>
          <w:szCs w:val="20"/>
          <w:color w:val="auto"/>
        </w:rPr>
      </w:pPr>
      <w:r>
        <w:rPr>
          <w:rFonts w:ascii="Times New Roman" w:cs="Times New Roman" w:eastAsia="Times New Roman" w:hAnsi="Times New Roman"/>
          <w:sz w:val="17"/>
          <w:szCs w:val="17"/>
          <w:color w:val="auto"/>
        </w:rPr>
        <w:t>Section 8.04          </w:t>
      </w:r>
      <w:r>
        <w:rPr>
          <w:rFonts w:ascii="Times New Roman" w:cs="Times New Roman" w:eastAsia="Times New Roman" w:hAnsi="Times New Roman"/>
          <w:sz w:val="17"/>
          <w:szCs w:val="17"/>
          <w:u w:val="single" w:color="auto"/>
          <w:color w:val="auto"/>
        </w:rPr>
        <w:t>  Section 16 Matters</w:t>
      </w:r>
      <w:r>
        <w:rPr>
          <w:rFonts w:ascii="Times New Roman" w:cs="Times New Roman" w:eastAsia="Times New Roman" w:hAnsi="Times New Roman"/>
          <w:sz w:val="17"/>
          <w:szCs w:val="17"/>
          <w:color w:val="auto"/>
        </w:rPr>
        <w:t>. Prior to the Effective Time, Acquiror shall take all reasonable steps as may be required or permitted to cause any acquisition or disposition of the Acquiror Common Stock (including, in each case, securities deliverable upon exercise, vesting or settlement of any derivative securities) that occurs or is deemed to occur by reason of or pursuant to the Transactions by each individual who is or will be subject to the reporting requirements of Section 16(a) of the Exchange Act with respect to Acquiror to be exempt under Rule 16b-3 promulgated under the Exchange Act.</w:t>
      </w:r>
    </w:p>
    <w:p>
      <w:pPr>
        <w:spacing w:after="0" w:line="165" w:lineRule="exact"/>
        <w:rPr>
          <w:sz w:val="20"/>
          <w:szCs w:val="20"/>
          <w:color w:val="auto"/>
        </w:rPr>
      </w:pPr>
    </w:p>
    <w:p>
      <w:pPr>
        <w:ind w:right="40" w:firstLine="640"/>
        <w:spacing w:after="0" w:line="266" w:lineRule="auto"/>
        <w:rPr>
          <w:sz w:val="20"/>
          <w:szCs w:val="20"/>
          <w:color w:val="auto"/>
        </w:rPr>
      </w:pPr>
      <w:r>
        <w:rPr>
          <w:rFonts w:ascii="Times New Roman" w:cs="Times New Roman" w:eastAsia="Times New Roman" w:hAnsi="Times New Roman"/>
          <w:sz w:val="17"/>
          <w:szCs w:val="17"/>
          <w:color w:val="auto"/>
        </w:rPr>
        <w:t>Section 8.05          </w:t>
      </w:r>
      <w:r>
        <w:rPr>
          <w:rFonts w:ascii="Times New Roman" w:cs="Times New Roman" w:eastAsia="Times New Roman" w:hAnsi="Times New Roman"/>
          <w:sz w:val="17"/>
          <w:szCs w:val="17"/>
          <w:u w:val="single" w:color="auto"/>
          <w:color w:val="auto"/>
        </w:rPr>
        <w:t>  LTIP; ESPP</w:t>
      </w:r>
      <w:r>
        <w:rPr>
          <w:rFonts w:ascii="Times New Roman" w:cs="Times New Roman" w:eastAsia="Times New Roman" w:hAnsi="Times New Roman"/>
          <w:sz w:val="17"/>
          <w:szCs w:val="17"/>
          <w:color w:val="auto"/>
        </w:rPr>
        <w:t xml:space="preserve">. Acquiror shall, prior to the Closing, obtain the approval of the Acquiror LTIP and Acquiror ESPP from the stockholders of Acquiror, in each case to become effective as of the Closing Date. Effective as of (and contingent on) the Closing, Acquiror shall adopt (a) a long-term incentive plan, in substantially the form attached hereto as </w:t>
      </w:r>
      <w:r>
        <w:rPr>
          <w:rFonts w:ascii="Times New Roman" w:cs="Times New Roman" w:eastAsia="Times New Roman" w:hAnsi="Times New Roman"/>
          <w:sz w:val="17"/>
          <w:szCs w:val="17"/>
          <w:u w:val="single" w:color="auto"/>
          <w:color w:val="auto"/>
        </w:rPr>
        <w:t>Exhibit H</w:t>
      </w:r>
      <w:r>
        <w:rPr>
          <w:rFonts w:ascii="Times New Roman" w:cs="Times New Roman" w:eastAsia="Times New Roman" w:hAnsi="Times New Roman"/>
          <w:sz w:val="17"/>
          <w:szCs w:val="17"/>
          <w:color w:val="auto"/>
        </w:rPr>
        <w:t>, which shall (i) initially reserve a number of shares of Common Stock equal to twelve percent (12%) of the Acquiror Fully Diluted Shares as of immediately after the Effective Time (with the resulting number rounded up to the nearest whole share) and (ii) include an “evergreen” provision pursuant to which such reserve will automatically increase for a period of ten (10) years, commencing on January 1, 2024 and ending on (and including) January 1, 2033, by an amount equal of up to five percent (5%) of the Acquiror Fully Diluted Shares as of December 31 of the preceding year (the “</w:t>
      </w:r>
      <w:r>
        <w:rPr>
          <w:rFonts w:ascii="Times New Roman" w:cs="Times New Roman" w:eastAsia="Times New Roman" w:hAnsi="Times New Roman"/>
          <w:sz w:val="17"/>
          <w:szCs w:val="17"/>
          <w:u w:val="single" w:color="auto"/>
          <w:color w:val="auto"/>
        </w:rPr>
        <w:t>Acquiror LTIP</w:t>
      </w:r>
      <w:r>
        <w:rPr>
          <w:rFonts w:ascii="Times New Roman" w:cs="Times New Roman" w:eastAsia="Times New Roman" w:hAnsi="Times New Roman"/>
          <w:sz w:val="17"/>
          <w:szCs w:val="17"/>
          <w:color w:val="auto"/>
        </w:rPr>
        <w:t xml:space="preserve">”), and (b) an employee stock purchase plan, in substantially the form attached hereto as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which shall (i) initially reserve a number of shares of Common Stock equal to three percent (3%) of the Acquiror Fully Diluted Shares as of immediately after the Effective Time (with the resulting number rounded up to the nearest whole share) and (ii) include an “evergreen” provision pursuant to which such reserve will automatically increase for a period of ten (10) years, commencing on January 1, 2024 and ending on (and including) January 1, 2033, by an amount equal up to two percent (2%) of the Acquiror Fully Diluted Shares as of December 31 of the preceding year (the “</w:t>
      </w:r>
      <w:r>
        <w:rPr>
          <w:rFonts w:ascii="Times New Roman" w:cs="Times New Roman" w:eastAsia="Times New Roman" w:hAnsi="Times New Roman"/>
          <w:sz w:val="17"/>
          <w:szCs w:val="17"/>
          <w:u w:val="single" w:color="auto"/>
          <w:color w:val="auto"/>
        </w:rPr>
        <w:t>Acquiror ESPP</w:t>
      </w:r>
      <w:r>
        <w:rPr>
          <w:rFonts w:ascii="Times New Roman" w:cs="Times New Roman" w:eastAsia="Times New Roman" w:hAnsi="Times New Roman"/>
          <w:sz w:val="17"/>
          <w:szCs w:val="17"/>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5" w:name="page86"/>
    <w:bookmarkEnd w:id="85"/>
    <w:p>
      <w:pPr>
        <w:ind w:right="60" w:firstLine="640"/>
        <w:spacing w:after="0" w:line="251"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Nasdaq Listing</w:t>
      </w:r>
      <w:r>
        <w:rPr>
          <w:rFonts w:ascii="Times New Roman" w:cs="Times New Roman" w:eastAsia="Times New Roman" w:hAnsi="Times New Roman"/>
          <w:sz w:val="18"/>
          <w:szCs w:val="18"/>
          <w:color w:val="auto"/>
        </w:rPr>
        <w:t>. From the date hereof through the Effective Time, Acquiror shall use commercially reasonable efforts to ensure Acquiror remains listed as a public company on Nasdaq, and in the event a Listing Event occurs, Acquiror shall use reasonable best efforts to cure such Listing Event. Acquiror shall prepare and submit to Nasdaq a listing application covering all shares of Common Stock issuable in accordance with this Agreement (the “</w:t>
      </w:r>
      <w:r>
        <w:rPr>
          <w:rFonts w:ascii="Times New Roman" w:cs="Times New Roman" w:eastAsia="Times New Roman" w:hAnsi="Times New Roman"/>
          <w:sz w:val="18"/>
          <w:szCs w:val="18"/>
          <w:u w:val="single" w:color="auto"/>
          <w:color w:val="auto"/>
        </w:rPr>
        <w:t>Listing Application</w:t>
      </w:r>
      <w:r>
        <w:rPr>
          <w:rFonts w:ascii="Times New Roman" w:cs="Times New Roman" w:eastAsia="Times New Roman" w:hAnsi="Times New Roman"/>
          <w:sz w:val="18"/>
          <w:szCs w:val="18"/>
          <w:color w:val="auto"/>
        </w:rPr>
        <w:t>”), and the Company shall reasonably cooperate with Acquiror with respect to the Listing Application. Acquiror shall use commercially reasonable efforts to: (a) cause the Listing Application to have been approved by Nasdaq; (b) satisfy all applicable initial and continuing listing requirements of Nasdaq; and (c) cause all shares of Common Stock issuable in accordance with this Agreement to be approved for listing on Nasdaq, with the trading ticker “TLSI”, in each case, as promptly as reasonably practicable after the date of this Agreement, and in any event as of immediately prior to the Effective Time, and in each of case (a), (b) and (c), the Company shall reasonably cooperate with Acquiror with respect thereto.</w:t>
      </w:r>
    </w:p>
    <w:p>
      <w:pPr>
        <w:spacing w:after="0" w:line="190" w:lineRule="exact"/>
        <w:rPr>
          <w:sz w:val="20"/>
          <w:szCs w:val="20"/>
          <w:color w:val="auto"/>
        </w:rPr>
      </w:pPr>
    </w:p>
    <w:p>
      <w:pPr>
        <w:ind w:right="100" w:firstLine="640"/>
        <w:spacing w:after="0" w:line="253"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Separation of Units</w:t>
      </w:r>
      <w:r>
        <w:rPr>
          <w:rFonts w:ascii="Times New Roman" w:cs="Times New Roman" w:eastAsia="Times New Roman" w:hAnsi="Times New Roman"/>
          <w:sz w:val="18"/>
          <w:szCs w:val="18"/>
          <w:color w:val="auto"/>
        </w:rPr>
        <w:t>. Immediately prior to the Effective Time, Acquiror shall instruct its Transfer Agent to separate, if not already separated prior to such time each share of Acquiror Class A Common Stock and one-third of one Acquiror Warrant comprising each issued and outstanding Acquiror Unit (the “</w:t>
      </w:r>
      <w:r>
        <w:rPr>
          <w:rFonts w:ascii="Times New Roman" w:cs="Times New Roman" w:eastAsia="Times New Roman" w:hAnsi="Times New Roman"/>
          <w:sz w:val="18"/>
          <w:szCs w:val="18"/>
          <w:u w:val="single" w:color="auto"/>
          <w:color w:val="auto"/>
        </w:rPr>
        <w:t>Unit Separation</w:t>
      </w:r>
      <w:r>
        <w:rPr>
          <w:rFonts w:ascii="Times New Roman" w:cs="Times New Roman" w:eastAsia="Times New Roman" w:hAnsi="Times New Roman"/>
          <w:sz w:val="18"/>
          <w:szCs w:val="18"/>
          <w:color w:val="auto"/>
        </w:rPr>
        <w:t>”), and the holder thereof shall be deemed to hold one share of Acquiror Class A Common Stock and one-third of one Acquiror Warrant as of such time; provided, that no fractional Acquiror Warrants shall be issued in connection with the Unit Separation such that if a holder of an Acquiror Unit would be entitled to receive a fractional Acquiror Warrant upon the Unit Separation, then the number of Acquiror Warrants to be issued to such holder upon the Unit Separation shall be rounded down to the nearest whole number of Acquiror Warrants.</w:t>
      </w:r>
    </w:p>
    <w:p>
      <w:pPr>
        <w:spacing w:after="0" w:line="185" w:lineRule="exact"/>
        <w:rPr>
          <w:sz w:val="20"/>
          <w:szCs w:val="20"/>
          <w:color w:val="auto"/>
        </w:rPr>
      </w:pPr>
    </w:p>
    <w:p>
      <w:pPr>
        <w:ind w:right="360" w:firstLine="640"/>
        <w:spacing w:after="0" w:line="307" w:lineRule="auto"/>
        <w:rPr>
          <w:sz w:val="20"/>
          <w:szCs w:val="20"/>
          <w:color w:val="auto"/>
        </w:rPr>
      </w:pPr>
      <w:r>
        <w:rPr>
          <w:rFonts w:ascii="Times New Roman" w:cs="Times New Roman" w:eastAsia="Times New Roman" w:hAnsi="Times New Roman"/>
          <w:sz w:val="17"/>
          <w:szCs w:val="17"/>
          <w:color w:val="auto"/>
        </w:rPr>
        <w:t>Section 8.08          </w:t>
      </w:r>
      <w:r>
        <w:rPr>
          <w:rFonts w:ascii="Times New Roman" w:cs="Times New Roman" w:eastAsia="Times New Roman" w:hAnsi="Times New Roman"/>
          <w:sz w:val="17"/>
          <w:szCs w:val="17"/>
          <w:u w:val="single" w:color="auto"/>
          <w:color w:val="auto"/>
        </w:rPr>
        <w:t>  Acquiror Public Filings</w:t>
      </w:r>
      <w:r>
        <w:rPr>
          <w:rFonts w:ascii="Times New Roman" w:cs="Times New Roman" w:eastAsia="Times New Roman" w:hAnsi="Times New Roman"/>
          <w:sz w:val="17"/>
          <w:szCs w:val="17"/>
          <w:color w:val="auto"/>
        </w:rPr>
        <w:t>. From the date hereof through the Effective Time, Acquiror will keep current and timely file all reports required to be filed or furnished with the SEC and otherwise comply in all material respects with its reporting obligations under applicable Laws.</w:t>
      </w:r>
    </w:p>
    <w:p>
      <w:pPr>
        <w:spacing w:after="0" w:line="140"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u w:val="single" w:color="auto"/>
          <w:color w:val="auto"/>
        </w:rPr>
        <w:t>  Stockholder Litigation</w:t>
      </w:r>
      <w:r>
        <w:rPr>
          <w:rFonts w:ascii="Times New Roman" w:cs="Times New Roman" w:eastAsia="Times New Roman" w:hAnsi="Times New Roman"/>
          <w:sz w:val="18"/>
          <w:szCs w:val="18"/>
          <w:color w:val="auto"/>
        </w:rPr>
        <w:t>. In the event that any Action related to this Agreement, any Transaction Agreement or the Transactions is brought, or, to the knowledge of Acquiror, threatened in writing, against Acquiror or the board of directors of Acquiror by any of Acquiror’s stockholders prior to the Closing, Acquiror shall (a) promptly notify the Company of any such Action and keep the Company reasonably informed with respect to the status thereof; (b) shall provide the Company the opportunity to participate in (subject to a customary joint defense agreement), but not control, the defense of any such Action; (c) shall give due consideration to the Company’s advice with respect to such Action; and (d) not settle or agree to settle any such Action without the prior written consent of the Company, such consent not to be unreasonably withheld, conditioned or delayed.</w:t>
      </w:r>
    </w:p>
    <w:p>
      <w:pPr>
        <w:spacing w:after="0" w:line="185" w:lineRule="exact"/>
        <w:rPr>
          <w:sz w:val="20"/>
          <w:szCs w:val="20"/>
          <w:color w:val="auto"/>
        </w:rPr>
      </w:pPr>
    </w:p>
    <w:p>
      <w:pPr>
        <w:ind w:right="40" w:firstLine="640"/>
        <w:spacing w:after="0" w:line="257" w:lineRule="auto"/>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u w:val="single" w:color="auto"/>
          <w:color w:val="auto"/>
        </w:rPr>
        <w:t>  Amendment to Underwriting Agreement</w:t>
      </w:r>
      <w:r>
        <w:rPr>
          <w:rFonts w:ascii="Times New Roman" w:cs="Times New Roman" w:eastAsia="Times New Roman" w:hAnsi="Times New Roman"/>
          <w:sz w:val="18"/>
          <w:szCs w:val="18"/>
          <w:color w:val="auto"/>
        </w:rPr>
        <w:t>. During the Interim Period, Acquiror shall use its commercially reasonable efforts to enter into an amendment to the Raymond James Underwriting Agreement, in a form and with terms as reasonably acceptable by the Company, whereby Raymond James agrees to waive its rights to the Deferred Discount (as defined in the Raymond James Underwriting Agreement) and any other deferred underwriting fees payable by Acquiror (the “</w:t>
      </w:r>
      <w:r>
        <w:rPr>
          <w:rFonts w:ascii="Times New Roman" w:cs="Times New Roman" w:eastAsia="Times New Roman" w:hAnsi="Times New Roman"/>
          <w:sz w:val="18"/>
          <w:szCs w:val="18"/>
          <w:u w:val="single" w:color="auto"/>
          <w:color w:val="auto"/>
        </w:rPr>
        <w:t>Raymond James Amendment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JOINT COVENANTS</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[Reserved]</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86" w:name="page87"/>
    <w:bookmarkEnd w:id="86"/>
    <w:p>
      <w:pPr>
        <w:ind w:left="640"/>
        <w:spacing w:after="0"/>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Registration Statement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48" w:lineRule="auto"/>
        <w:rPr>
          <w:sz w:val="20"/>
          <w:szCs w:val="20"/>
          <w:color w:val="auto"/>
        </w:rPr>
      </w:pPr>
      <w:r>
        <w:rPr>
          <w:rFonts w:ascii="Times New Roman" w:cs="Times New Roman" w:eastAsia="Times New Roman" w:hAnsi="Times New Roman"/>
          <w:sz w:val="18"/>
          <w:szCs w:val="18"/>
          <w:color w:val="auto"/>
        </w:rPr>
        <w:t xml:space="preserve">(a)             As promptly as practicable following the execution and delivery of this Agreement and receipt of the PCAOB Audited Financials, Acquiror shall, in accordance with this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prepare with the reasonable assistance of the Company, and file with the SEC, a preliminary registration statement containing a prospectus/proxy statement on Form S-4 concerning the Transactions (as amended or supplemented,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to be sent to the stockholders of Acquiror in advance of the Special Meeting to be held for the purpose of, among other things: (1) providing Acquiror’s stockholders with the opportunity to redeem shares of Acquiror Class A Common Stock in accordance with the Acquiror Organizational Documents by delivering such shares for redemption not later than two Business Days prior to the date of the Special Meeting (the “</w:t>
      </w:r>
      <w:r>
        <w:rPr>
          <w:rFonts w:ascii="Times New Roman" w:cs="Times New Roman" w:eastAsia="Times New Roman" w:hAnsi="Times New Roman"/>
          <w:sz w:val="18"/>
          <w:szCs w:val="18"/>
          <w:u w:val="single" w:color="auto"/>
          <w:color w:val="auto"/>
        </w:rPr>
        <w:t>Acquiror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and (2) soliciting proxies from holders of Acquiror Class A Common Stock to vote at the Special Meeting, as adjourned or postponed, in favor of: (I) the adoption of this Agreement and approval of the Transactions; (II) the issuance of shares of Common Stock in connection with the Merger (including as may be required under Nasdaq); (III) the amendment and restatement of the Acquiror Certificate of Incorporation in the form of the Acquiror Charter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(IV) the election of members of the board of directors of Acquiror in accordance with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(V) the approval of the Acquiror LTIP and the Acquiror ESPP; (VI) the approval of the issuance of the Common Stock pursuant to instruments entered into in connection with the Future PIPE Investment, (VII) adoption and approval of any other proposals as the SEC (or staff member thereof) may indicate are necessary in its comments to the Registration Statement or correspondence related thereto, (VIII) any other proposals the Parties agree are necessary or desirable to consummate the Transactions and (IX) adjournment of the Special Meeting, if necessary, to permit further solicitation of proxies because there are not sufficient votes to approve and adopt any of the foregoing (collectively, the “</w:t>
      </w:r>
      <w:r>
        <w:rPr>
          <w:rFonts w:ascii="Times New Roman" w:cs="Times New Roman" w:eastAsia="Times New Roman" w:hAnsi="Times New Roman"/>
          <w:sz w:val="18"/>
          <w:szCs w:val="18"/>
          <w:u w:val="single" w:color="auto"/>
          <w:color w:val="auto"/>
        </w:rPr>
        <w:t>Acquiror Stockholder Matters</w:t>
      </w:r>
      <w:r>
        <w:rPr>
          <w:rFonts w:ascii="Times New Roman" w:cs="Times New Roman" w:eastAsia="Times New Roman" w:hAnsi="Times New Roman"/>
          <w:sz w:val="18"/>
          <w:szCs w:val="18"/>
          <w:color w:val="auto"/>
        </w:rPr>
        <w:t xml:space="preserve">”). Without the prior written consent of the Company, the Acquiror Stockholder Matters shall be the only matters (other than procedural matters) which Acquiror shall propose to be acted on by the Acquiror’s stockholders at the Special Meeting, as adjourned or postponed. The Registration Statement will comply as to form and substance with the applicable requirements of the Exchange Act and the rules and regulations thereunder. Acquiror and the Company each shall use their reasonable best efforts to (a) cause the Registration Statement when filed with the SEC to comply in all material respects with all legal requirements applicable thereto, (b) respond as promptly as reasonably practicable to and resolve all comments received from the SEC concerning the Registration Statement, (c) to be declared effective under the Securities Act as promptly as practicable and (d) to keep the Registration Statement effective as long as is necessary to consummate the Transactions. Acquiror shall cause the proxy statement contained in the Registration Statement to be mailed to its stockholders of record, as of the record date to be established by the board of directors of Acquiror in accordance with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as promptly as practicable following the date that the Registration Statement is declared effective.</w:t>
      </w:r>
    </w:p>
    <w:p>
      <w:pPr>
        <w:spacing w:after="0" w:line="204" w:lineRule="exact"/>
        <w:rPr>
          <w:sz w:val="20"/>
          <w:szCs w:val="20"/>
          <w:color w:val="auto"/>
        </w:rPr>
      </w:pPr>
    </w:p>
    <w:p>
      <w:pPr>
        <w:ind w:right="40" w:firstLine="1281"/>
        <w:spacing w:after="0" w:line="266" w:lineRule="auto"/>
        <w:rPr>
          <w:sz w:val="20"/>
          <w:szCs w:val="20"/>
          <w:color w:val="auto"/>
        </w:rPr>
      </w:pPr>
      <w:r>
        <w:rPr>
          <w:rFonts w:ascii="Times New Roman" w:cs="Times New Roman" w:eastAsia="Times New Roman" w:hAnsi="Times New Roman"/>
          <w:sz w:val="17"/>
          <w:szCs w:val="17"/>
          <w:color w:val="auto"/>
        </w:rPr>
        <w:t xml:space="preserve">(b)             Prior to filing with the SEC, Acquiror will make available to the Company drafts of the Registration Statement and any other documents to be filed with the SEC, both preliminary and final, and any amendment or supplement to the Registration Statement, or such other document and will provide the Company with a reasonable opportunity to comment on such drafts and shall consider such comments in good faith. Acquiror shall not file any such documents with the SEC without the prior approval of the Company (such approval not to be unreasonably withheld, conditioned or delayed). Acquiror will advise the Company promptly after it receives notice thereof, of: (A) the time when the Registration Statement has been filed; (B) the filing of any supplement or amendment to the Registration Statement; (C) any request by the SEC for amendment of the Registration Statement; (D) any comments from the SEC relating to the Registration Statement and responses thereto; and (E) requests by the SEC for additional information. Acquiror shall respond to any SEC comments on the Registration Statement as promptly as practicable and shall use its commercially reasonable efforts to have the registration statement containing the Registration Statement declared effective under the Securities Act as promptly as practicable;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prior to responding to any requests or comments from the SEC, Acquiror will make available to the Company drafts of any such response and provide the Company with a reasonable opportunity to participate in any discussions or meetings with the SEC and comment on such drafts and obtain the Company’s prior consent (such consent not to be unreasonably withheld, conditioned or delayed) prior to providing a written response to any comments or inquiries by the SEC.</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7" w:name="page88"/>
    <w:bookmarkEnd w:id="87"/>
    <w:p>
      <w:pPr>
        <w:ind w:right="20" w:firstLine="1281"/>
        <w:spacing w:after="0" w:line="251" w:lineRule="auto"/>
        <w:rPr>
          <w:sz w:val="20"/>
          <w:szCs w:val="20"/>
          <w:color w:val="auto"/>
        </w:rPr>
      </w:pPr>
      <w:r>
        <w:rPr>
          <w:rFonts w:ascii="Times New Roman" w:cs="Times New Roman" w:eastAsia="Times New Roman" w:hAnsi="Times New Roman"/>
          <w:sz w:val="18"/>
          <w:szCs w:val="18"/>
          <w:color w:val="auto"/>
        </w:rPr>
        <w:t>(c)             If, at any time prior to the Special Meeting, there shall be discovered any information that should be set forth in an amendment or supplement to the Registration Statement so that the Registration Statement would not include any misstatement of a material fact or omit to state any material fact necessary to make the statements therein, in light of the circumstances under which they were made, not misleading, Acquiror shall promptly file an amendment or supplement to the Registration Statement containing such information. If, at any time prior to the Closing, the Company discovers any information, event or circumstance relating to the Company, its business or any of its Affiliates, officers, directors or employees that should be set forth in an amendment or a supplement to the Registration Statement so that the Registration Statement would not include any misstatement of a material fact or omit to state any material fact necessary to make the statements therein, in light of the circumstances under which they were made, not misleading, then the Company shall promptly inform Acquiror of such information, event or circumstance and Acquiror shall file, as soon as reasonably practicable thereafter, an amendment or supplement to the Registration Statement containing such information.</w:t>
      </w:r>
    </w:p>
    <w:p>
      <w:pPr>
        <w:spacing w:after="0" w:line="187" w:lineRule="exact"/>
        <w:rPr>
          <w:sz w:val="20"/>
          <w:szCs w:val="20"/>
          <w:color w:val="auto"/>
        </w:rPr>
      </w:pPr>
    </w:p>
    <w:p>
      <w:pPr>
        <w:ind w:firstLine="640"/>
        <w:spacing w:after="0" w:line="263" w:lineRule="auto"/>
        <w:rPr>
          <w:sz w:val="20"/>
          <w:szCs w:val="20"/>
          <w:color w:val="auto"/>
        </w:rPr>
      </w:pPr>
      <w:r>
        <w:rPr>
          <w:rFonts w:ascii="Times New Roman" w:cs="Times New Roman" w:eastAsia="Times New Roman" w:hAnsi="Times New Roman"/>
          <w:sz w:val="17"/>
          <w:szCs w:val="17"/>
          <w:color w:val="auto"/>
        </w:rPr>
        <w:t>Section 9.03          </w:t>
      </w:r>
      <w:r>
        <w:rPr>
          <w:rFonts w:ascii="Times New Roman" w:cs="Times New Roman" w:eastAsia="Times New Roman" w:hAnsi="Times New Roman"/>
          <w:sz w:val="17"/>
          <w:szCs w:val="17"/>
          <w:u w:val="single" w:color="auto"/>
          <w:color w:val="auto"/>
        </w:rPr>
        <w:t>  Acquiror Special Meeting</w:t>
      </w:r>
      <w:r>
        <w:rPr>
          <w:rFonts w:ascii="Times New Roman" w:cs="Times New Roman" w:eastAsia="Times New Roman" w:hAnsi="Times New Roman"/>
          <w:sz w:val="17"/>
          <w:szCs w:val="17"/>
          <w:color w:val="auto"/>
        </w:rPr>
        <w:t>. Acquiror shall, as promptly as practicable following the date that the Registration Statement is declared effective, establish a record date (which date shall be mutually agreed with the Company) for, duly call and give notice of, the Special Meeting in accordance with the DGCL. Acquiror shall convene and hold a special meeting of Acquiror’s stockholders, for the purpose of obtaining the approval of the Acquiror Stockholder Matters (the “</w:t>
      </w: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 xml:space="preserve">”), which meeting shall be held not more than 30 days after the date on which Acquiror commences the mailing of the proxy statement contained in the Registration Statement to its stockholders. Acquiror shall use its commercially reasonable efforts to obtain the approval of the Acquiror Stockholder Matters at the Special Meeting, including any adjourned or postponed special meeting in accordance with this Agreement, including by soliciting proxies as promptly as practicable in accordance with applicable Law for the purpose of seeking the approval of the Acquiror Stockholder Matters. Acquiror shall include the Acquiror Board Recommendation in the Registration Statement;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subject to compliance by Acquiror, its Affiliates and their Representatives with </w:t>
      </w:r>
      <w:r>
        <w:rPr>
          <w:rFonts w:ascii="Times New Roman" w:cs="Times New Roman" w:eastAsia="Times New Roman" w:hAnsi="Times New Roman"/>
          <w:sz w:val="17"/>
          <w:szCs w:val="17"/>
          <w:u w:val="single" w:color="auto"/>
          <w:color w:val="auto"/>
        </w:rPr>
        <w:t>Section 9.04(b)</w:t>
      </w:r>
      <w:r>
        <w:rPr>
          <w:rFonts w:ascii="Times New Roman" w:cs="Times New Roman" w:eastAsia="Times New Roman" w:hAnsi="Times New Roman"/>
          <w:sz w:val="17"/>
          <w:szCs w:val="17"/>
          <w:color w:val="auto"/>
        </w:rPr>
        <w:t>, at any time prior to obtaining approval of the Acquiror Stockholder Matters, the board of directors of Acquiror may amend, change, withdraw, modify, withhold, qualify or otherwise fail to make the Acquiror Board Recommendation (any such action, a “</w:t>
      </w:r>
      <w:r>
        <w:rPr>
          <w:rFonts w:ascii="Times New Roman" w:cs="Times New Roman" w:eastAsia="Times New Roman" w:hAnsi="Times New Roman"/>
          <w:sz w:val="17"/>
          <w:szCs w:val="17"/>
          <w:u w:val="single" w:color="auto"/>
          <w:color w:val="auto"/>
        </w:rPr>
        <w:t>Change in Recommendation</w:t>
      </w:r>
      <w:r>
        <w:rPr>
          <w:rFonts w:ascii="Times New Roman" w:cs="Times New Roman" w:eastAsia="Times New Roman" w:hAnsi="Times New Roman"/>
          <w:sz w:val="17"/>
          <w:szCs w:val="17"/>
          <w:color w:val="auto"/>
        </w:rPr>
        <w:t xml:space="preserve">”) if the board of directors of Acquiror shall have unanimously determined in good faith, after consultation with its outside legal counsel and financial advisors, and without any violation by Acquiror, its Affiliates or any of their respective Representatives of </w:t>
      </w:r>
      <w:r>
        <w:rPr>
          <w:rFonts w:ascii="Times New Roman" w:cs="Times New Roman" w:eastAsia="Times New Roman" w:hAnsi="Times New Roman"/>
          <w:sz w:val="17"/>
          <w:szCs w:val="17"/>
          <w:u w:val="single" w:color="auto"/>
          <w:color w:val="auto"/>
        </w:rPr>
        <w:t>Section 9.04(b)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9.03</w:t>
      </w:r>
      <w:r>
        <w:rPr>
          <w:rFonts w:ascii="Times New Roman" w:cs="Times New Roman" w:eastAsia="Times New Roman" w:hAnsi="Times New Roman"/>
          <w:sz w:val="17"/>
          <w:szCs w:val="17"/>
          <w:color w:val="auto"/>
        </w:rPr>
        <w:t xml:space="preserve">, that a Material Adverse Effect has occurred on or after the date of this Agreement and as a result, a failure to make a Change in Recommendation would constitute a breach of its fiduciary duties to its stockholders under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board of directors of Acquiror may not make such Change in Recommendation unless (a) the board of directors of Acquiror has provided prior written notice to the Company (a “</w:t>
      </w:r>
      <w:r>
        <w:rPr>
          <w:rFonts w:ascii="Times New Roman" w:cs="Times New Roman" w:eastAsia="Times New Roman" w:hAnsi="Times New Roman"/>
          <w:sz w:val="17"/>
          <w:szCs w:val="17"/>
          <w:u w:val="single" w:color="auto"/>
          <w:color w:val="auto"/>
        </w:rPr>
        <w:t>Acquiror Recommendation Change Notice</w:t>
      </w:r>
      <w:r>
        <w:rPr>
          <w:rFonts w:ascii="Times New Roman" w:cs="Times New Roman" w:eastAsia="Times New Roman" w:hAnsi="Times New Roman"/>
          <w:sz w:val="17"/>
          <w:szCs w:val="17"/>
          <w:color w:val="auto"/>
        </w:rPr>
        <w:t xml:space="preserve">”) that it is prepared to effect a Change in Recommendation at least ten (10) Business Days prior to taking such action, which notice shall specify (i) the Material Adverse Effect that has occurred on or after the date of this Agreement and (ii) the basis for why a failure to make a Change in Recommendation would constitute a breach of its fiduciary duties to its stockholders under applicable Law, (b) during the ten (10) Business Day period after delivery of the Acquiror Recommendation Change Notice, Acquiror shall negotiate in good faith with the Company regarding any revisions or adjustments to this Agreement that the Company proposes to make as would enable the board of directors of Acquiror to reaffirm its Acquiror Board Recommendation and not make such Change in Recommendation and (c) at the end of such ten (10) Business Day period and taking into account any changes to the terms of this Agreement committed to in writing by the Company, the board or directors of Acquiror determines in good faith (after consultation with its outside legal counsel and financial advisors) that a Material Adverse Effect has occurred on or after the date of this Agreement and as a result, the failure to make such a Change in Recommendation would constitute a breach of its fiduciary duties to Acquiror’s stockholders under applicable Law. For the avoidance of doubt, a Change in Recommendation will not affect Acquiror’s obligations pursuant to this </w:t>
      </w:r>
      <w:r>
        <w:rPr>
          <w:rFonts w:ascii="Times New Roman" w:cs="Times New Roman" w:eastAsia="Times New Roman" w:hAnsi="Times New Roman"/>
          <w:sz w:val="17"/>
          <w:szCs w:val="17"/>
          <w:u w:val="single" w:color="auto"/>
          <w:color w:val="auto"/>
        </w:rPr>
        <w:t>Section 9.03</w:t>
      </w:r>
      <w:r>
        <w:rPr>
          <w:rFonts w:ascii="Times New Roman" w:cs="Times New Roman" w:eastAsia="Times New Roman" w:hAnsi="Times New Roman"/>
          <w:sz w:val="17"/>
          <w:szCs w:val="17"/>
          <w:color w:val="auto"/>
        </w:rPr>
        <w:t xml:space="preserve"> (other than as set forth in the immediately preceding sentence) or elsewhere in this Agreement. Notwithstanding anything to the contrary contained in this Agreement, Acquiror shall be entitled to (and, in the case of the following clauses (ii) and (iii), at the request of the Company, shall) postpone or adjourn the Special Meeting for a period of no longer than 30 days after the date for which the Special Meeting was originally scheduled: (i) to ensure that any supplement or amendment to the Registration Statement that, subject to the Company’s and its outside legal counsel’s reasonable review and comment, the board of directors of Acquiror has determined in good faith, after consultation with its outside legal counsel that it is required by applicable Law is disclosed to Acquiror’s stockholders and for such supplement or amendment to be promptly disseminated to Acquiror’s stockholders prior to the Special Meeting; (ii) if, as of the time for which the Special Meeting is originally scheduled (as set forth in the Registration Statement), there are insufficient shares of Acquiror Class A Common Stock represented (either in person or by proxy) to constitute a quorum necessary to conduct the business to be conducted at the Special Meeting; (iii) in order to solicit additional proxies from stockholders for purposes of obtaining approval of the Acquiror Stockholder Matters; or (iv) only with the prior written consent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notwithstanding any longer adjournment or postponement period specified at the beginning of this sentence, in the event of any such postponement or adjournment, the Special Meeting shall be reconvened as promptly as practicable following such time as the matters described in such clauses have been resolved.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88" w:name="page89"/>
    <w:bookmarkEnd w:id="88"/>
    <w:p>
      <w:pPr>
        <w:ind w:left="640"/>
        <w:spacing w:after="0"/>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Exclusivity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49" w:lineRule="auto"/>
        <w:rPr>
          <w:sz w:val="20"/>
          <w:szCs w:val="20"/>
          <w:color w:val="auto"/>
        </w:rPr>
      </w:pPr>
      <w:r>
        <w:rPr>
          <w:rFonts w:ascii="Times New Roman" w:cs="Times New Roman" w:eastAsia="Times New Roman" w:hAnsi="Times New Roman"/>
          <w:sz w:val="18"/>
          <w:szCs w:val="18"/>
          <w:color w:val="auto"/>
        </w:rPr>
        <w:t xml:space="preserve">(a)             During the Interim Period, the Company shall not take, nor shall it permit any of its Affiliates or Representatives to take, whether directly or indirectly, written or oral, any action to solicit, initiate, continue or knowingly engage in discussions or negotiations with, or enter into any agreement with, or encourage, respond, provide information to or commence due diligence with respect to, any Person (other than Acquiror and/or any of its Affiliates or Representatives) concerning, relating to or which is intended or is reasonably likely to give rise to or result in (i) any issuance, sale, pledge, disposal of, grant or transfer of twenty percent (20%) or more of the Company’s equity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entitled to take all actions necessary to effect, or give effect to, the Contemplated Interim Financing (subject to the restrictions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or (ii) any merger, sale of substantially all of the assets of the Company, liquidation, dissolution, reorganization, financing, refinancing, recapitalization, or similar transaction involving the Company, or any other transaction that would impede, delay, interfere with or prevent the consummation of the Transactions, other than immaterial assets or assets sold in the ordinary course of business (each such acquisition transaction, but excluding the Transactions and the Contemplated Interim Financing, an “</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execution, delivery and performance of this Agreement and the other Transaction Agreements and the consummation of the Transactions shall not be deemed a violation of this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The Company shall, and shall cause its Affiliates and Representatives to, immediately cease and cause to be terminated any and all existing discussions, conversations, negotiations or other communications with any Person conducted prior to the date hereof with respect to, or which is reasonably likely to give rise to or result in, an Acquisition Transaction, and request the prompt return or destruction of all confidential information previously furnished, in each case with respect to any of the foregoing. The Company represents and warrants to Acquiror that this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does not and will not conflict with or violate any agreement, understanding or arrangement, whether written or oral, to which the Company or any of its Affiliates are currently bound.</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9" w:name="page90"/>
    <w:bookmarkEnd w:id="89"/>
    <w:p>
      <w:pPr>
        <w:ind w:right="20" w:firstLine="1281"/>
        <w:spacing w:after="0" w:line="249" w:lineRule="auto"/>
        <w:rPr>
          <w:sz w:val="20"/>
          <w:szCs w:val="20"/>
          <w:color w:val="auto"/>
        </w:rPr>
      </w:pPr>
      <w:r>
        <w:rPr>
          <w:rFonts w:ascii="Times New Roman" w:cs="Times New Roman" w:eastAsia="Times New Roman" w:hAnsi="Times New Roman"/>
          <w:sz w:val="18"/>
          <w:szCs w:val="18"/>
          <w:color w:val="auto"/>
        </w:rPr>
        <w:t>(b)             During the Interim Period, Acquiror shall not take, nor shall it permit any of its Affiliates or Representatives to take, whether directly or indirectly, written or oral, any action to solicit, initiate, continue or knowingly engage in discussions or negotiations with, or enter into any agreement or letter of intent with, or encourage, respond, provide information to or commence due diligence with respect to, any Person (other than the Company and/or any of its Affiliates or Representatives), concerning, relating to or which is intended or is reasonably likely to give rise to or result in, any offer, inquiry, proposal or indication of interest, written or oral, binding or non-binding, relating to any Business Combination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xml:space="preserve">”) other than with the Company and its Affiliates and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execution, delivery and performance of this Agreement and the other Transaction Agreements and the consummation of the Transactions shall not be deemed a violation of this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Acquiror shall, and shall cause its Affiliates and Representatives to, immediately cease and cause to be terminated any and all existing discussions, conversations, negotiations or other communications with any Person conducted prior to the date hereof with respect to, or which is reasonably likely to give rise to or result in, a Business Combination Proposal, and request the prompt return or destruction of all confidential information previously furnished, in each case with respect to any of the foregoing. Acquiror represents and warrants to the Company that this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does not and will not conflict with or violate any agreement, understanding or arrangement, whether written or oral, to which Acquiror or any of its Affiliates are currently bound. Solely for purposes of this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the term “Affiliates” shall exclude any special purpose acquisition companies that are Affiliates of Acquiror.</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60" w:firstLine="1281"/>
        <w:spacing w:after="0" w:line="253" w:lineRule="auto"/>
        <w:rPr>
          <w:sz w:val="20"/>
          <w:szCs w:val="20"/>
          <w:color w:val="auto"/>
        </w:rPr>
      </w:pPr>
      <w:r>
        <w:rPr>
          <w:rFonts w:ascii="Times New Roman" w:cs="Times New Roman" w:eastAsia="Times New Roman" w:hAnsi="Times New Roman"/>
          <w:sz w:val="18"/>
          <w:szCs w:val="18"/>
          <w:color w:val="auto"/>
        </w:rPr>
        <w:t>(a)             For U.S. federal income tax purposes (and for purposes of any applicable state or local income Tax that follows the U.S. federal income tax treatment), each of the Parties intends that the Merger constitute a transaction that qualifies as a “reorganization” within the meaning of Code Section 368(a) and the Treasury Regulations thereunder and will otherwise qualify for the Intended Tax Treatment. The Parties will prepare and file all Tax Returns consistent with the Intended Tax Treatment and will not take any inconsistent position on any Tax Return or during the course of any audit, litigation or other proceeding with respect to Taxes, except as otherwise required by a determination within the meaning of Code Section 1313(a). Each of the Parties agrees to promptly notify all other Parties of any challenge to the Intended Tax Treatment by any Governmental Authority.</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(b)             No Party (i) knows of any fact or circumstance (without conducting independent inquiry or diligence of the other relevant party);</w:t>
      </w:r>
    </w:p>
    <w:p>
      <w:pPr>
        <w:spacing w:after="0" w:line="37" w:lineRule="exact"/>
        <w:rPr>
          <w:sz w:val="20"/>
          <w:szCs w:val="20"/>
          <w:color w:val="auto"/>
        </w:rPr>
      </w:pPr>
    </w:p>
    <w:p>
      <w:pPr>
        <w:ind w:right="400" w:firstLine="7"/>
        <w:spacing w:after="0" w:line="255" w:lineRule="auto"/>
        <w:tabs>
          <w:tab w:leader="none" w:pos="2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take or cause to be taken any action, or fail to take or cause to be taken any action, which such fact, circumstance, action or failure to act would reasonably be expected to prevent the Merger from so qualifying for the Intended Tax Treatment.</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(c)             The Company, Acquiror, and Merger Sub hereby adopt this Agreement as a “plan of reorganization” within the meaning of Treas.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 §§ 1.368-2(g) and 1.368-3(a).</w:t>
      </w:r>
    </w:p>
    <w:p>
      <w:pPr>
        <w:spacing w:after="0" w:line="201" w:lineRule="exact"/>
        <w:rPr>
          <w:sz w:val="20"/>
          <w:szCs w:val="20"/>
          <w:color w:val="auto"/>
        </w:rPr>
      </w:pPr>
    </w:p>
    <w:p>
      <w:pPr>
        <w:ind w:firstLine="1281"/>
        <w:spacing w:after="0" w:line="249" w:lineRule="auto"/>
        <w:rPr>
          <w:sz w:val="20"/>
          <w:szCs w:val="20"/>
          <w:color w:val="auto"/>
        </w:rPr>
      </w:pPr>
      <w:r>
        <w:rPr>
          <w:rFonts w:ascii="Times New Roman" w:cs="Times New Roman" w:eastAsia="Times New Roman" w:hAnsi="Times New Roman"/>
          <w:sz w:val="18"/>
          <w:szCs w:val="18"/>
          <w:color w:val="auto"/>
        </w:rPr>
        <w:t>(d)             Without limiting the generality of the foregoing, if following the date of this Agreement, the Company or Acquiror reasonably determines on advice of their counsel that there is a material risk that the Merger will not qualify for the Intended Tax Treatment, but would be reasonably expected to so qualify if a second-step merger of the Surviving Corporation into a limited liability company directly and wholly owned by Acquiror that is disregarded as an entity for federal tax purposes were consummated, in accordance with Delaware law, as promptly as practicable following the Merger (such second-step merger,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xml:space="preserve">”), then the parties shall notify each other of such risk and, after reaching mutual agreement upon reasonable, good faith consultation with each other and their respective counsel, consummate the Second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Second Merger occurs, (i) the Merger and the Second Merger shall be treated as one integrated transaction for U.S. federal income tax purposes, (ii) references to the Company or the Surviving Corporation (in each case, after the effective time of the Second Merger) and all other provisions of this Agreement shall be interpreted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take into account the change in structure of the business combination; and (iii) references to the “Merger” in the third Recital, </w:t>
      </w:r>
      <w:r>
        <w:rPr>
          <w:rFonts w:ascii="Times New Roman" w:cs="Times New Roman" w:eastAsia="Times New Roman" w:hAnsi="Times New Roman"/>
          <w:sz w:val="18"/>
          <w:szCs w:val="18"/>
          <w:u w:val="single" w:color="auto"/>
          <w:color w:val="auto"/>
        </w:rPr>
        <w:t>Section 5.14(q)</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6.10(i)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8.01(a)(xviii)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 xml:space="preserve"> shall be deemed to be references to the Merger and the Second Merger, taken together as one integrated transaction for U.S. federal income tax purposes. For the avoidance of doubt, the implementation of the Second Merger shall not be a condition to Closing under this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0" w:name="page91"/>
    <w:bookmarkEnd w:id="90"/>
    <w:p>
      <w:pPr>
        <w:ind w:right="340" w:firstLine="1281"/>
        <w:spacing w:after="0" w:line="254" w:lineRule="auto"/>
        <w:rPr>
          <w:sz w:val="20"/>
          <w:szCs w:val="20"/>
          <w:color w:val="auto"/>
        </w:rPr>
      </w:pPr>
      <w:r>
        <w:rPr>
          <w:rFonts w:ascii="Times New Roman" w:cs="Times New Roman" w:eastAsia="Times New Roman" w:hAnsi="Times New Roman"/>
          <w:sz w:val="18"/>
          <w:szCs w:val="18"/>
          <w:color w:val="auto"/>
        </w:rPr>
        <w:t xml:space="preserve">(e)             Each of the Parties shall (and shall cause their respective Affiliates to) reasonably cooperate, as and to the extent reasonably requested by another Party, in connection with the filing of relevant Tax Returns, and any Tax audit or other similar proceeding, relating to the matters contemplated by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Such cooperation shall include the retention and (upon the other Party’s request) the provision (with the right to make copies) of records and information reasonably relevant to any such Tax audit or other similar proceeding and making employees available on a mutually convenient basis to provide additional information and explanation of any material provided hereunder.</w:t>
      </w:r>
    </w:p>
    <w:p>
      <w:pPr>
        <w:spacing w:after="0" w:line="186" w:lineRule="exact"/>
        <w:rPr>
          <w:sz w:val="20"/>
          <w:szCs w:val="20"/>
          <w:color w:val="auto"/>
        </w:rPr>
      </w:pPr>
    </w:p>
    <w:p>
      <w:pPr>
        <w:ind w:right="280" w:firstLine="1281"/>
        <w:spacing w:after="0" w:line="254" w:lineRule="auto"/>
        <w:rPr>
          <w:sz w:val="20"/>
          <w:szCs w:val="20"/>
          <w:color w:val="auto"/>
        </w:rPr>
      </w:pPr>
      <w:r>
        <w:rPr>
          <w:rFonts w:ascii="Times New Roman" w:cs="Times New Roman" w:eastAsia="Times New Roman" w:hAnsi="Times New Roman"/>
          <w:sz w:val="18"/>
          <w:szCs w:val="18"/>
          <w:color w:val="auto"/>
        </w:rPr>
        <w:t xml:space="preserve">(f)             Notwithstanding the foregoing, except as provided in </w:t>
      </w:r>
      <w:r>
        <w:rPr>
          <w:rFonts w:ascii="Times New Roman" w:cs="Times New Roman" w:eastAsia="Times New Roman" w:hAnsi="Times New Roman"/>
          <w:sz w:val="18"/>
          <w:szCs w:val="18"/>
          <w:u w:val="single" w:color="auto"/>
          <w:color w:val="auto"/>
        </w:rPr>
        <w:t>Section 6.10(i)</w:t>
      </w:r>
      <w:r>
        <w:rPr>
          <w:rFonts w:ascii="Times New Roman" w:cs="Times New Roman" w:eastAsia="Times New Roman" w:hAnsi="Times New Roman"/>
          <w:sz w:val="18"/>
          <w:szCs w:val="18"/>
          <w:color w:val="auto"/>
        </w:rPr>
        <w:t xml:space="preserve"> of this Agreement, Acquiror makes no representations or warranties to the Company or to any Stockholder regarding the Tax treatment of the Merger, or any of the Tax consequences to the Company or any Stockholder of this Agreement, the Merger or any of the other transactions or agreements contemplated hereby. The Company acknowledges that the Company and the Stockholders are relying solely on their own Tax advisors in connection with this Agreement, the Merger and the other transactions and agreements contemplated hereby.</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Indemnification and Insurance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60" w:firstLine="1281"/>
        <w:spacing w:after="0" w:line="253" w:lineRule="auto"/>
        <w:rPr>
          <w:sz w:val="20"/>
          <w:szCs w:val="20"/>
          <w:color w:val="auto"/>
        </w:rPr>
      </w:pPr>
      <w:r>
        <w:rPr>
          <w:rFonts w:ascii="Times New Roman" w:cs="Times New Roman" w:eastAsia="Times New Roman" w:hAnsi="Times New Roman"/>
          <w:sz w:val="18"/>
          <w:szCs w:val="18"/>
          <w:color w:val="auto"/>
        </w:rPr>
        <w:t>(a)             Acquiror shall cause the Surviving Corporation and each of its Subsidiaries to, (i) maintain for a period of not less than six years from the Effective Time provisions in its certificate of incorporation, bylaws and other organizational documents concerning the indemnification and exoneration (including provisions relating to expense advancement) of officers and directors/managers that are no less favorable to those Persons than the provisions of such certificates of incorporation, bylaws and other organizational documents of the Company as of the date of this Agreement and (ii) not amend, repeal or otherwise modify such provisions in any respect that would adversely affect the rights of those Persons thereunder, in each case, except as required by Law.</w:t>
      </w:r>
    </w:p>
    <w:p>
      <w:pPr>
        <w:spacing w:after="0" w:line="185" w:lineRule="exact"/>
        <w:rPr>
          <w:sz w:val="20"/>
          <w:szCs w:val="20"/>
          <w:color w:val="auto"/>
        </w:rPr>
      </w:pPr>
    </w:p>
    <w:p>
      <w:pPr>
        <w:ind w:firstLine="1281"/>
        <w:spacing w:after="0" w:line="251" w:lineRule="auto"/>
        <w:rPr>
          <w:sz w:val="20"/>
          <w:szCs w:val="20"/>
          <w:color w:val="auto"/>
        </w:rPr>
      </w:pPr>
      <w:r>
        <w:rPr>
          <w:rFonts w:ascii="Times New Roman" w:cs="Times New Roman" w:eastAsia="Times New Roman" w:hAnsi="Times New Roman"/>
          <w:sz w:val="18"/>
          <w:szCs w:val="18"/>
          <w:color w:val="auto"/>
        </w:rPr>
        <w:t>(b)             Acquiror shall use commercially reasonable efforts to cause coverage to be extended under the current directors’ and officers’ liability insurance by obtaining a six-year “tail” policy containing terms not materially less favorable than the terms of such current insurance coverage with respect to claims existing or occurring at or prior to the Effective Time (a “</w:t>
      </w:r>
      <w:r>
        <w:rPr>
          <w:rFonts w:ascii="Times New Roman" w:cs="Times New Roman" w:eastAsia="Times New Roman" w:hAnsi="Times New Roman"/>
          <w:sz w:val="18"/>
          <w:szCs w:val="18"/>
          <w:u w:val="single" w:color="auto"/>
          <w:color w:val="auto"/>
        </w:rPr>
        <w:t>Acquiror D&amp;O Tail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Acquiror is unable to obtain such Acquiror D&amp;O Tail, then for a period of six years from the Effective Time, Acquiror shall, or shall cause one or more of its Subsidiaries to, maintain in effect directors’ and officers’ liability insurance covering those Persons who are currently covered by Acquiror’s directors’ and officers’ liability insurance policies on terms not less favorable than the terms of such current insurance coverage. Notwithstanding the foregoing, in no event shall Acquiror or the Company be required to expend an annual premium for such Acquiror D&amp;O Tail in excess of 300% of the last annual payment made by Acquiror for such directors’ and officers’ liability insurance policies currently in effect as of the date hereof and, in such event, Acquiror shall purchase the maximum coverage available given the foregoing limitation.</w:t>
      </w:r>
    </w:p>
    <w:p>
      <w:pPr>
        <w:spacing w:after="0" w:line="187" w:lineRule="exact"/>
        <w:rPr>
          <w:sz w:val="20"/>
          <w:szCs w:val="20"/>
          <w:color w:val="auto"/>
        </w:rPr>
      </w:pPr>
    </w:p>
    <w:p>
      <w:pPr>
        <w:ind w:right="40" w:firstLine="1281"/>
        <w:spacing w:after="0" w:line="253" w:lineRule="auto"/>
        <w:rPr>
          <w:sz w:val="20"/>
          <w:szCs w:val="20"/>
          <w:color w:val="auto"/>
        </w:rPr>
      </w:pPr>
      <w:r>
        <w:rPr>
          <w:rFonts w:ascii="Times New Roman" w:cs="Times New Roman" w:eastAsia="Times New Roman" w:hAnsi="Times New Roman"/>
          <w:sz w:val="18"/>
          <w:szCs w:val="18"/>
          <w:color w:val="auto"/>
        </w:rPr>
        <w:t xml:space="preserve">(c)             Notwithstanding anything contained in this Agreement to the contrary,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shall survive the consummation of the Merger indefinitely and shall be binding, jointly and severally, on Acquiror and the Surviving Corporation and all successors and assigns of Acquiror and the Surviving Corporation. In the event that Acquiror or the Surviving Corporation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proper provision shall be made so that the successors and assigns of Acquiror or the Surviving Corporation, as the case may be, shall succeed to the obligations set forth in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1" w:name="page92"/>
    <w:bookmarkEnd w:id="91"/>
    <w:p>
      <w:pPr>
        <w:ind w:left="640"/>
        <w:spacing w:after="0"/>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Confidentiality; Publicity</w:t>
      </w:r>
    </w:p>
    <w:p>
      <w:pPr>
        <w:spacing w:after="0" w:line="220" w:lineRule="exact"/>
        <w:rPr>
          <w:sz w:val="20"/>
          <w:szCs w:val="20"/>
          <w:color w:val="auto"/>
        </w:rPr>
      </w:pPr>
    </w:p>
    <w:p>
      <w:pPr>
        <w:ind w:right="80" w:firstLine="1281"/>
        <w:spacing w:after="0" w:line="277" w:lineRule="auto"/>
        <w:rPr>
          <w:sz w:val="20"/>
          <w:szCs w:val="20"/>
          <w:color w:val="auto"/>
        </w:rPr>
      </w:pPr>
      <w:r>
        <w:rPr>
          <w:rFonts w:ascii="Times New Roman" w:cs="Times New Roman" w:eastAsia="Times New Roman" w:hAnsi="Times New Roman"/>
          <w:sz w:val="17"/>
          <w:szCs w:val="17"/>
          <w:color w:val="auto"/>
        </w:rPr>
        <w:t>(a)             Acquiror acknowledges that the information being provided to it in connection with this Agreement and the consummation of the Transactions is subject to the terms of the Confidentiality Agreement, the terms of which are incorporated herein by reference. The Confidentiality Agreement shall survive the execution and delivery of this Agreement and shall apply to all information furnished thereunder or hereunder and any other activities contemplated thereby prior to the Effective Time (at which time the Confidentiality Agreement shall terminate and be of no further force or effect).</w:t>
      </w:r>
    </w:p>
    <w:p>
      <w:pPr>
        <w:spacing w:after="0" w:line="165" w:lineRule="exact"/>
        <w:rPr>
          <w:sz w:val="20"/>
          <w:szCs w:val="20"/>
          <w:color w:val="auto"/>
        </w:rPr>
      </w:pPr>
    </w:p>
    <w:p>
      <w:pPr>
        <w:ind w:firstLine="1281"/>
        <w:spacing w:after="0" w:line="250" w:lineRule="auto"/>
        <w:rPr>
          <w:sz w:val="20"/>
          <w:szCs w:val="20"/>
          <w:color w:val="auto"/>
        </w:rPr>
      </w:pPr>
      <w:r>
        <w:rPr>
          <w:rFonts w:ascii="Times New Roman" w:cs="Times New Roman" w:eastAsia="Times New Roman" w:hAnsi="Times New Roman"/>
          <w:sz w:val="18"/>
          <w:szCs w:val="18"/>
          <w:color w:val="auto"/>
        </w:rPr>
        <w:t xml:space="preserve">(b)             None of Acquiror, the Company or any of their respective Affiliates shall make any public announcement or issue any public communication regarding this Agreement or the Transactions, or any matter related to the foregoing, without first obtaining the prior consent of the Company or Acquiror, as applicable (which consent shall not be unreasonably withheld, conditioned or delayed), except if such announcement or other communication is required by applicable Law or legal process (including pursuant to the Securities Law or the rules of any national securities exchange), in which case Acquiror or the Company, as applicable, shall use their commercially reasonable efforts to obtain such consent from the other Party with respect to such announcement or communication, prior to its announcement or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each Party and its Affiliates may make announcements regarding the status and terms (including price terms) of this Agreement and the Transactions to their respective directors, officers, employees, direct and indirect current or prospective limited partners and investors or otherwise in the ordinary course of their respective businesses, in each case, so long as such recipients are obligated to keep such information confidential without the consent of any other Party;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the foregoing shall not prohibit any Party from communicating with third parties to the extent necessary for the purpose of seeking any third party consent;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notwithstanding anything to the contrary in this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 xml:space="preserve">, nothing herein shall modify or affect Acquiror’s obligations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u w:val="single" w:color="auto"/>
          <w:color w:val="auto"/>
        </w:rPr>
        <w:t>  Cooperation; Further Assurances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1281"/>
        <w:spacing w:after="0" w:line="248" w:lineRule="auto"/>
        <w:rPr>
          <w:sz w:val="20"/>
          <w:szCs w:val="20"/>
          <w:color w:val="auto"/>
        </w:rPr>
      </w:pPr>
      <w:r>
        <w:rPr>
          <w:rFonts w:ascii="Times New Roman" w:cs="Times New Roman" w:eastAsia="Times New Roman" w:hAnsi="Times New Roman"/>
          <w:sz w:val="18"/>
          <w:szCs w:val="18"/>
          <w:color w:val="auto"/>
        </w:rPr>
        <w:t xml:space="preserve">(a)             Upon the terms and subject to the conditions set forth in this Agreement, each of the Parties agrees to use its commercially reasonable efforts to take, or cause to be taken, all actions, and to do, or cause to be done, and to assist and cooperate with the other Parties in doing, all things necessary, proper or advisable to consummate and make effective, in the most expeditious manner practicable, the Transactions and the other transactions contemplated hereby, including using commercially reasonable efforts to accomplish the following: (a) the taking of all commercially reasonable acts necessary to cause the conditions precedent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to be satisfied; (b) the obtaining of all necessary actions, waivers, consents, approvals, orders and authorizations from Governmental Authorities and the making of all necessary registrations, declarations and filings, including registrations, declarations and filings with Governmental Authorities, if any, and the taking of all commercially reasonable steps as may be necessary to avoid any Actions, including making all necessary filings pursuant to the HSR Act; (c) the obtaining of all consents, approvals or waivers from third parties required as a result of the Transactions set forth on </w:t>
      </w:r>
      <w:r>
        <w:rPr>
          <w:rFonts w:ascii="Times New Roman" w:cs="Times New Roman" w:eastAsia="Times New Roman" w:hAnsi="Times New Roman"/>
          <w:sz w:val="18"/>
          <w:szCs w:val="18"/>
          <w:u w:val="single" w:color="auto"/>
          <w:color w:val="auto"/>
        </w:rPr>
        <w:t>Schedule 9.08(c)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Acquiror, Merger Sub, or the Company be obligated to bear any material expense or pay any material fee or grant any material concession in connection with obtaining any consents, authorizations or approvals pursuant to the terms of any Contract to which the Company is a party or otherwise required in connection with the consummation of the Transactions; (d) the termination of each agreement set forth on </w:t>
      </w:r>
      <w:r>
        <w:rPr>
          <w:rFonts w:ascii="Times New Roman" w:cs="Times New Roman" w:eastAsia="Times New Roman" w:hAnsi="Times New Roman"/>
          <w:sz w:val="18"/>
          <w:szCs w:val="18"/>
          <w:u w:val="single" w:color="auto"/>
          <w:color w:val="auto"/>
        </w:rPr>
        <w:t>Schedule 9.08(d</w:t>
      </w:r>
      <w:r>
        <w:rPr>
          <w:rFonts w:ascii="Times New Roman" w:cs="Times New Roman" w:eastAsia="Times New Roman" w:hAnsi="Times New Roman"/>
          <w:sz w:val="18"/>
          <w:szCs w:val="18"/>
          <w:color w:val="auto"/>
        </w:rPr>
        <w:t>); (e) the defending of any suits, claims, actions, investigations or proceedings, whether judicial or administrative, challenging this Agreement or the consummation of the Transactions, including seeking to have any stay or temporary restraining order entered by any court or other Governmental Authority vacated or reversed and (f) the execution or delivery of any additional instruments reasonably necessary to consummate, and to fully carry out the purposes of, the Transactions. Notwithstanding anything herein to the contrary, nothing in this Agreement shall be deemed to require a Party to agree to any divestiture by itself or any of its Affiliates of shares of capital stock or of any business, assets or property, the imposition of any limitation on the ability of any of them to conduct their business or to own or exercise control of their respective assets, properties and capital stock, or the incurrence of any liability or expense. Following the Closing, each Party shall, on the request of any other Party, execute such further documents, and perform such further acts, as may be reasonably necessary or appropriate to give full effect to the allocation of rights, benefits, obligations and liabilities contemplated by this Agreement and the Transactions. Except as required by this Agreement, no Party shall knowingly engage in any action or enter into any transaction that would reasonably be expected to materially impair or delay a Party’s ability to consummate the Transactions or perform their respective obligations hereunder.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2" w:name="page93"/>
    <w:bookmarkEnd w:id="92"/>
    <w:p>
      <w:pPr>
        <w:ind w:firstLine="1281"/>
        <w:spacing w:after="0" w:line="249" w:lineRule="auto"/>
        <w:rPr>
          <w:sz w:val="20"/>
          <w:szCs w:val="20"/>
          <w:color w:val="auto"/>
        </w:rPr>
      </w:pPr>
      <w:r>
        <w:rPr>
          <w:rFonts w:ascii="Times New Roman" w:cs="Times New Roman" w:eastAsia="Times New Roman" w:hAnsi="Times New Roman"/>
          <w:sz w:val="18"/>
          <w:szCs w:val="18"/>
          <w:color w:val="auto"/>
        </w:rPr>
        <w:t>(b)             Each Party shall (A) make all required filings pursuant to the HSR Act with respect to the Transactions promptly (and in any event within 10 Business Days) following the date of this Agreement and (B) respond as promptly as reasonably practicable to any requests by any Governmental Authority for additional information and documentary material that may be requested pursuant to the HSR Act. Acquiror shall promptly inform the Company of any material communication between the Acquiror, on the one hand, and any Governmental Authority, on the other hand, and the Company shall promptly inform Acquiror of any material communication between the Company, on the one hand, and any Governmental Authority, on the other hand, in either case, regarding any of the Transactions or any Transaction Agreement. Without limiting the foregoing, (x) the Parties agree to request early termination of all waiting periods applicable to the Transactions under the HSR Act, and (y) each Party and its respective Affiliates shall not extend any waiting period, review period or comparable period under the HSR Act or pull and refile or enter into any agreement with any Governmental Authority not to consummate the Transactions, except with the prior written consent of the other Party. The Company and Acquiror will share equally all filing fees in connection with the HSR Act when due. During the Interim Period, the Acquiror, on the one hand, and the Company, on the other hand, shall give counsel for the Company (in the case of the Acquiror) or Company (in the case of Acquiror), a reasonable opportunity to review in advance, and consider in good faith the views of the other or others (as applicable) in connection with, any proposed written communication to any Governmental Authority relating to the Transactions or the Transaction Agreements. Each of the Parties agrees not to participate in any substantive meeting or discussion, either in person or by video conference or telephone, with any Governmental Authority in connection with the Transactions unless it consults with, in the case of Acquiror, the Company, or, in the case the Company, Acquiror, in advance and, to the extent not prohibited by such Governmental Authority, gives, in the case of Acquiror, the Company, or, in the case of the Company, Acquiror, the opportunity to attend and participate in such meeting or discussion.</w:t>
      </w:r>
    </w:p>
    <w:p>
      <w:pPr>
        <w:spacing w:after="0" w:line="19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             Notwithstanding anything in this Agreement to the contrary, nothing in this Agreement shall require Acquiror or Merger Sub to</w:t>
      </w:r>
    </w:p>
    <w:p>
      <w:pPr>
        <w:spacing w:after="0" w:line="25" w:lineRule="exact"/>
        <w:rPr>
          <w:sz w:val="20"/>
          <w:szCs w:val="20"/>
          <w:color w:val="auto"/>
        </w:rPr>
      </w:pPr>
    </w:p>
    <w:p>
      <w:pPr>
        <w:ind w:firstLine="7"/>
        <w:spacing w:after="0" w:line="248" w:lineRule="auto"/>
        <w:tabs>
          <w:tab w:leader="none" w:pos="2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cause to be taken, any action with respect to the Sponsor or any of its Affiliates, including any affiliated investment funds or any portfolio company (as such term is commonly understood in the private equity industry) of the Sponsor or any of its Affiliates, including selling, divesting or otherwise disposing of, or conveying, licensing, holding separate or otherwise restricting or limiting its freedom of action with respect to, any assets, business, products, rights, licenses or investments, or interests therein, in each case other than with respect to the Sponsor’s or any of its Affiliates’ investment in the Acquiror and its Subsidiaries, or (ii) provide, or cause to be provided, nonpublic or other confidential financial or sensitive personally identifiable information of Sponsor, its Affiliates or its or their respective directors, officers, employees, managers or partners, or its or their respective control persons’ or direct or indirect equityholders’ and their respective directors’, officers’, employees’, managers’ or partners’ nonpublic or other confidential financial or sensitive personally identifiable information (in each case, other than such information which may be provided (i) to a Governmental Authority on a confidential basis or (ii) in connection with the Registration Statement to the extent requested by the SEC).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3" w:name="page94"/>
    <w:bookmarkEnd w:id="93"/>
    <w:p>
      <w:pPr>
        <w:ind w:right="40" w:firstLine="640"/>
        <w:spacing w:after="0" w:line="253" w:lineRule="auto"/>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u w:val="single" w:color="auto"/>
          <w:color w:val="auto"/>
        </w:rPr>
        <w:t>  Board of Directors</w:t>
      </w:r>
      <w:r>
        <w:rPr>
          <w:rFonts w:ascii="Times New Roman" w:cs="Times New Roman" w:eastAsia="Times New Roman" w:hAnsi="Times New Roman"/>
          <w:sz w:val="18"/>
          <w:szCs w:val="18"/>
          <w:color w:val="auto"/>
        </w:rPr>
        <w:t>. Acquiror will use commercially reasonable efforts to take all actions reasonably necessary to, and the Company shall reasonably cooperate with Acquiror to, cause the board of directors of the Acquiror, immediately after the Effective Time (the “</w:t>
      </w:r>
      <w:r>
        <w:rPr>
          <w:rFonts w:ascii="Times New Roman" w:cs="Times New Roman" w:eastAsia="Times New Roman" w:hAnsi="Times New Roman"/>
          <w:sz w:val="18"/>
          <w:szCs w:val="18"/>
          <w:u w:val="single" w:color="auto"/>
          <w:color w:val="auto"/>
        </w:rPr>
        <w:t>Closing Acquiror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to consist of nine (9) directors, which shall include (a) seven (7) directors designated by the Company, (the “</w:t>
      </w:r>
      <w:r>
        <w:rPr>
          <w:rFonts w:ascii="Times New Roman" w:cs="Times New Roman" w:eastAsia="Times New Roman" w:hAnsi="Times New Roman"/>
          <w:sz w:val="18"/>
          <w:szCs w:val="18"/>
          <w:u w:val="single" w:color="auto"/>
          <w:color w:val="auto"/>
        </w:rPr>
        <w:t>Company Directors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least a majority of the authorized number of Company Directors on the Closing Acquiror Board shall qualify as “independent directors” pursuant to Nasdaq listing standards), and (b) two (2) directors as non-executive directors designated solely by Acquiror (the “</w:t>
      </w:r>
      <w:r>
        <w:rPr>
          <w:rFonts w:ascii="Times New Roman" w:cs="Times New Roman" w:eastAsia="Times New Roman" w:hAnsi="Times New Roman"/>
          <w:sz w:val="18"/>
          <w:szCs w:val="18"/>
          <w:u w:val="single" w:color="auto"/>
          <w:color w:val="auto"/>
        </w:rPr>
        <w:t>Acquiror Directors</w:t>
      </w:r>
      <w:r>
        <w:rPr>
          <w:rFonts w:ascii="Times New Roman" w:cs="Times New Roman" w:eastAsia="Times New Roman" w:hAnsi="Times New Roman"/>
          <w:sz w:val="18"/>
          <w:szCs w:val="18"/>
          <w:color w:val="auto"/>
        </w:rPr>
        <w:t>”). The Parties acknowledge and agree that the Closing Acquiror Board will be a classified board with three (3) classes of directors, with:</w:t>
      </w:r>
    </w:p>
    <w:p>
      <w:pPr>
        <w:spacing w:after="0" w:line="185" w:lineRule="exact"/>
        <w:rPr>
          <w:sz w:val="20"/>
          <w:szCs w:val="20"/>
          <w:color w:val="auto"/>
        </w:rPr>
      </w:pPr>
    </w:p>
    <w:p>
      <w:pPr>
        <w:ind w:right="280" w:firstLine="640"/>
        <w:spacing w:after="0" w:line="262" w:lineRule="auto"/>
        <w:rPr>
          <w:sz w:val="20"/>
          <w:szCs w:val="20"/>
          <w:color w:val="auto"/>
        </w:rPr>
      </w:pPr>
      <w:r>
        <w:rPr>
          <w:rFonts w:ascii="Times New Roman" w:cs="Times New Roman" w:eastAsia="Times New Roman" w:hAnsi="Times New Roman"/>
          <w:sz w:val="18"/>
          <w:szCs w:val="18"/>
          <w:color w:val="auto"/>
        </w:rPr>
        <w:t>(a)             a first class of directors (the “</w:t>
      </w:r>
      <w:r>
        <w:rPr>
          <w:rFonts w:ascii="Times New Roman" w:cs="Times New Roman" w:eastAsia="Times New Roman" w:hAnsi="Times New Roman"/>
          <w:sz w:val="18"/>
          <w:szCs w:val="18"/>
          <w:u w:val="single" w:color="auto"/>
          <w:color w:val="auto"/>
        </w:rPr>
        <w:t>Class I Directors</w:t>
      </w:r>
      <w:r>
        <w:rPr>
          <w:rFonts w:ascii="Times New Roman" w:cs="Times New Roman" w:eastAsia="Times New Roman" w:hAnsi="Times New Roman"/>
          <w:sz w:val="18"/>
          <w:szCs w:val="18"/>
          <w:color w:val="auto"/>
        </w:rPr>
        <w:t xml:space="preserve">”), initially serving a term effective from the Closing until the first annual meeting of the Acquiror’s stockholders held following the Closing, consisting of three (3) Company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clarity, that any subsequent Class I Director shall serve a term for a period of three (3)-years in accordance with the Acquiror Charter and Acquiror Bylaws;</w:t>
      </w:r>
    </w:p>
    <w:p>
      <w:pPr>
        <w:spacing w:after="0" w:line="176"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(b)             a second class of directors (the “</w:t>
      </w:r>
      <w:r>
        <w:rPr>
          <w:rFonts w:ascii="Times New Roman" w:cs="Times New Roman" w:eastAsia="Times New Roman" w:hAnsi="Times New Roman"/>
          <w:sz w:val="18"/>
          <w:szCs w:val="18"/>
          <w:u w:val="single" w:color="auto"/>
          <w:color w:val="auto"/>
        </w:rPr>
        <w:t>Class II Directors</w:t>
      </w:r>
      <w:r>
        <w:rPr>
          <w:rFonts w:ascii="Times New Roman" w:cs="Times New Roman" w:eastAsia="Times New Roman" w:hAnsi="Times New Roman"/>
          <w:sz w:val="18"/>
          <w:szCs w:val="18"/>
          <w:color w:val="auto"/>
        </w:rPr>
        <w:t xml:space="preserve">”), initially serving a term effective from the Closing until the second annual meeting of the Acquiror’s stockholders held following the Closing, consisting of two (2) Company Directors and one (1) Acquiror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clarity, that any subsequent Class II Director shall serve a term for a period of three (3)-years in accordance with the Acquiror Charter and Acquiror Bylaws; and</w:t>
      </w:r>
    </w:p>
    <w:p>
      <w:pPr>
        <w:spacing w:after="0" w:line="176" w:lineRule="exact"/>
        <w:rPr>
          <w:sz w:val="20"/>
          <w:szCs w:val="20"/>
          <w:color w:val="auto"/>
        </w:rPr>
      </w:pPr>
    </w:p>
    <w:p>
      <w:pPr>
        <w:ind w:right="40" w:firstLine="640"/>
        <w:spacing w:after="0" w:line="277" w:lineRule="auto"/>
        <w:rPr>
          <w:sz w:val="20"/>
          <w:szCs w:val="20"/>
          <w:color w:val="auto"/>
        </w:rPr>
      </w:pPr>
      <w:r>
        <w:rPr>
          <w:rFonts w:ascii="Times New Roman" w:cs="Times New Roman" w:eastAsia="Times New Roman" w:hAnsi="Times New Roman"/>
          <w:sz w:val="18"/>
          <w:szCs w:val="18"/>
          <w:color w:val="auto"/>
        </w:rPr>
        <w:t>(c)             a third class of directors (the “</w:t>
      </w:r>
      <w:r>
        <w:rPr>
          <w:rFonts w:ascii="Times New Roman" w:cs="Times New Roman" w:eastAsia="Times New Roman" w:hAnsi="Times New Roman"/>
          <w:sz w:val="18"/>
          <w:szCs w:val="18"/>
          <w:u w:val="single" w:color="auto"/>
          <w:color w:val="auto"/>
        </w:rPr>
        <w:t>Class III Directors</w:t>
      </w:r>
      <w:r>
        <w:rPr>
          <w:rFonts w:ascii="Times New Roman" w:cs="Times New Roman" w:eastAsia="Times New Roman" w:hAnsi="Times New Roman"/>
          <w:sz w:val="18"/>
          <w:szCs w:val="18"/>
          <w:color w:val="auto"/>
        </w:rPr>
        <w:t>”), serving a term effective from the Closing until the third annual meeting of the Acquiror’s stockholders held following the Closing, consisting of two (2) Company Directors and one (1) Acquiror Director.</w:t>
      </w:r>
    </w:p>
    <w:p>
      <w:pPr>
        <w:spacing w:after="0" w:line="163" w:lineRule="exact"/>
        <w:rPr>
          <w:sz w:val="20"/>
          <w:szCs w:val="20"/>
          <w:color w:val="auto"/>
        </w:rPr>
      </w:pPr>
    </w:p>
    <w:p>
      <w:pPr>
        <w:ind w:right="180" w:firstLine="640"/>
        <w:spacing w:after="0" w:line="253"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Extensions</w:t>
      </w:r>
      <w:r>
        <w:rPr>
          <w:rFonts w:ascii="Times New Roman" w:cs="Times New Roman" w:eastAsia="Times New Roman" w:hAnsi="Times New Roman"/>
          <w:sz w:val="18"/>
          <w:szCs w:val="18"/>
          <w:color w:val="auto"/>
        </w:rPr>
        <w:t>. Acquiror may seek an extension during the Interim Period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of its last date under the Acquiror Certificate of Incorporation to consummate a Business Combination by seeking Acquiror Stockholder Approval necessary to file an amendment to the Acquiror Certificate of Incorporation in accordance with its terms (which date, for the avoidance of doubt, is the same date as the Initial Outside Date as of the date of execution of this Agreement) and by providing written notice thereof to the Company, for additional periods equal to the shortest of (i) six</w:t>
      </w:r>
    </w:p>
    <w:p>
      <w:pPr>
        <w:ind w:right="220" w:firstLine="7"/>
        <w:spacing w:after="0" w:line="255" w:lineRule="auto"/>
        <w:tabs>
          <w:tab w:leader="none" w:pos="2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months in the aggregate and (ii) the period ending on the last date for Acquiror to consummate its Business Combination pursuant to the last day of the Extension (such date, the “</w:t>
      </w:r>
      <w:r>
        <w:rPr>
          <w:rFonts w:ascii="Times New Roman" w:cs="Times New Roman" w:eastAsia="Times New Roman" w:hAnsi="Times New Roman"/>
          <w:sz w:val="18"/>
          <w:szCs w:val="18"/>
          <w:u w:val="single" w:color="auto"/>
          <w:color w:val="auto"/>
        </w:rPr>
        <w:t>Final Outside Date</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4" w:name="page95"/>
    <w:bookmarkEnd w:id="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w:t>
      </w:r>
    </w:p>
    <w:p>
      <w:pPr>
        <w:spacing w:after="0" w:line="201" w:lineRule="exact"/>
        <w:rPr>
          <w:sz w:val="20"/>
          <w:szCs w:val="20"/>
          <w:color w:val="auto"/>
        </w:rPr>
      </w:pPr>
    </w:p>
    <w:p>
      <w:pPr>
        <w:ind w:right="300" w:firstLine="640"/>
        <w:spacing w:after="0" w:line="262" w:lineRule="auto"/>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u w:val="single" w:color="auto"/>
          <w:color w:val="auto"/>
        </w:rPr>
        <w:t>  Conditions to Obligations of All Parties</w:t>
      </w:r>
      <w:r>
        <w:rPr>
          <w:rFonts w:ascii="Times New Roman" w:cs="Times New Roman" w:eastAsia="Times New Roman" w:hAnsi="Times New Roman"/>
          <w:sz w:val="18"/>
          <w:szCs w:val="18"/>
          <w:color w:val="auto"/>
        </w:rPr>
        <w:t>. The obligations of the Parties to consummate, or cause to be consummated, the Transactions are subject to the satisfaction of the following conditions, any one or more of which may be waived (if legally permitted) in writing by all of such Parties: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HSR Act</w:t>
      </w:r>
      <w:r>
        <w:rPr>
          <w:rFonts w:ascii="Times New Roman" w:cs="Times New Roman" w:eastAsia="Times New Roman" w:hAnsi="Times New Roman"/>
          <w:sz w:val="18"/>
          <w:szCs w:val="18"/>
          <w:color w:val="auto"/>
        </w:rPr>
        <w:t>. All applicable waiting periods (and any extensions thereof) under the HSR Act shall have expired or been terminated.</w:t>
      </w:r>
    </w:p>
    <w:p>
      <w:pPr>
        <w:spacing w:after="0" w:line="220" w:lineRule="exact"/>
        <w:rPr>
          <w:sz w:val="20"/>
          <w:szCs w:val="20"/>
          <w:color w:val="auto"/>
        </w:rPr>
      </w:pPr>
    </w:p>
    <w:p>
      <w:pPr>
        <w:ind w:right="60" w:firstLine="1281"/>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 Prohibition</w:t>
      </w:r>
      <w:r>
        <w:rPr>
          <w:rFonts w:ascii="Times New Roman" w:cs="Times New Roman" w:eastAsia="Times New Roman" w:hAnsi="Times New Roman"/>
          <w:sz w:val="18"/>
          <w:szCs w:val="18"/>
          <w:color w:val="auto"/>
        </w:rPr>
        <w:t>. No Governmental Authority shall have issued any Governmental Order or other action restraining, enjoining or otherwise prohibiting the consummation of the Transactions and no Law or regulation has been adopted that makes consummation of the Transactions illegal or otherwise prohibited.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Acquiror Stockholder Redemption</w:t>
      </w:r>
      <w:r>
        <w:rPr>
          <w:rFonts w:ascii="Times New Roman" w:cs="Times New Roman" w:eastAsia="Times New Roman" w:hAnsi="Times New Roman"/>
          <w:sz w:val="18"/>
          <w:szCs w:val="18"/>
          <w:color w:val="auto"/>
        </w:rPr>
        <w:t>. The Acquiror Stockholder Redemption shall have been completed.</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Stockholder Approval</w:t>
      </w:r>
      <w:r>
        <w:rPr>
          <w:rFonts w:ascii="Times New Roman" w:cs="Times New Roman" w:eastAsia="Times New Roman" w:hAnsi="Times New Roman"/>
          <w:sz w:val="18"/>
          <w:szCs w:val="18"/>
          <w:color w:val="auto"/>
        </w:rPr>
        <w:t>. The Acquiror Stockholder Approval shall have been obtained.</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Company Stockholder Approval</w:t>
      </w:r>
      <w:r>
        <w:rPr>
          <w:rFonts w:ascii="Times New Roman" w:cs="Times New Roman" w:eastAsia="Times New Roman" w:hAnsi="Times New Roman"/>
          <w:sz w:val="18"/>
          <w:szCs w:val="18"/>
          <w:color w:val="auto"/>
        </w:rPr>
        <w:t>. The Company Stockholder Approval shall have been obtained.</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Net Tangible Assets</w:t>
      </w:r>
      <w:r>
        <w:rPr>
          <w:rFonts w:ascii="Times New Roman" w:cs="Times New Roman" w:eastAsia="Times New Roman" w:hAnsi="Times New Roman"/>
          <w:sz w:val="17"/>
          <w:szCs w:val="17"/>
          <w:color w:val="auto"/>
        </w:rPr>
        <w:t>. Acquiror shall have at least $5,000,001 of net tangible assets (as determined in accordance with Rule 3a51-1(g)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of the Exchange Act) remaining after the Acquiror Stockholder Redemption.</w:t>
      </w:r>
    </w:p>
    <w:p>
      <w:pPr>
        <w:spacing w:after="0" w:line="201" w:lineRule="exact"/>
        <w:rPr>
          <w:sz w:val="20"/>
          <w:szCs w:val="20"/>
          <w:color w:val="auto"/>
        </w:rPr>
      </w:pPr>
    </w:p>
    <w:p>
      <w:pPr>
        <w:ind w:right="560" w:firstLine="1281"/>
        <w:spacing w:after="0" w:line="26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Registration Statement</w:t>
      </w:r>
      <w:r>
        <w:rPr>
          <w:rFonts w:ascii="Times New Roman" w:cs="Times New Roman" w:eastAsia="Times New Roman" w:hAnsi="Times New Roman"/>
          <w:sz w:val="18"/>
          <w:szCs w:val="18"/>
          <w:color w:val="auto"/>
        </w:rPr>
        <w:t>. The Registration Statement shall have been declared effective under the Securities Act, no stop order suspending the effectiveness of the Registration Statement shall be in effect and no proceedings for purposes of suspending the effectiveness of the Registration Statement shall have been initiated or be threatened by the SEC.</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Nasdaq</w:t>
      </w:r>
      <w:r>
        <w:rPr>
          <w:rFonts w:ascii="Times New Roman" w:cs="Times New Roman" w:eastAsia="Times New Roman" w:hAnsi="Times New Roman"/>
          <w:sz w:val="18"/>
          <w:szCs w:val="18"/>
          <w:color w:val="auto"/>
        </w:rPr>
        <w:t>. The Common Stock to be issued in connection with the Transactions shall have been approved for listing on Nasdaq.</w:t>
      </w:r>
    </w:p>
    <w:p>
      <w:pPr>
        <w:spacing w:after="0" w:line="220" w:lineRule="exact"/>
        <w:rPr>
          <w:sz w:val="20"/>
          <w:szCs w:val="20"/>
          <w:color w:val="auto"/>
        </w:rPr>
      </w:pPr>
    </w:p>
    <w:p>
      <w:pPr>
        <w:ind w:right="140" w:firstLine="640"/>
        <w:spacing w:after="0" w:line="262" w:lineRule="auto"/>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u w:val="single" w:color="auto"/>
          <w:color w:val="auto"/>
        </w:rPr>
        <w:t>  Additional Conditions to Obligations of Acquiror Parties</w:t>
      </w:r>
      <w:r>
        <w:rPr>
          <w:rFonts w:ascii="Times New Roman" w:cs="Times New Roman" w:eastAsia="Times New Roman" w:hAnsi="Times New Roman"/>
          <w:sz w:val="18"/>
          <w:szCs w:val="18"/>
          <w:color w:val="auto"/>
        </w:rPr>
        <w:t>. The obligations of the Acquiror Parties to consummate, or cause to be consummated, the Transactions are subject to the satisfaction of the following additional conditions, any one or more of which may be waived in writing by Acquiror:</w:t>
      </w:r>
    </w:p>
    <w:p>
      <w:pPr>
        <w:spacing w:after="0" w:line="176" w:lineRule="exact"/>
        <w:rPr>
          <w:sz w:val="20"/>
          <w:szCs w:val="20"/>
          <w:color w:val="auto"/>
        </w:rPr>
      </w:pPr>
    </w:p>
    <w:p>
      <w:pPr>
        <w:ind w:firstLine="1281"/>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Each of the representations and warranties of the Company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shall be true and correct (without giving any effect to any limitation as to “materiality” or “Material Adverse Effect” or any similar limitation set forth therein) as of the Agreement Date and as of the Closing Date (except that such representations and warranties that by their terms speak specifically as of the Agreement Date or another date shall be true and correct in all respects as of such date), in all respects, except where the failure of such representations and warranties to be so true and correct, individually or in the aggregate, has not had, and would not reasonably be expected to result in, a Material Adverse Effect.</w:t>
      </w:r>
    </w:p>
    <w:p>
      <w:pPr>
        <w:spacing w:after="0" w:line="186" w:lineRule="exact"/>
        <w:rPr>
          <w:sz w:val="20"/>
          <w:szCs w:val="20"/>
          <w:color w:val="auto"/>
        </w:rPr>
      </w:pPr>
    </w:p>
    <w:p>
      <w:pPr>
        <w:ind w:right="420" w:firstLine="1281"/>
        <w:spacing w:after="0" w:line="27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Agreements and Covenants</w:t>
      </w:r>
      <w:r>
        <w:rPr>
          <w:rFonts w:ascii="Times New Roman" w:cs="Times New Roman" w:eastAsia="Times New Roman" w:hAnsi="Times New Roman"/>
          <w:sz w:val="18"/>
          <w:szCs w:val="18"/>
          <w:color w:val="auto"/>
        </w:rPr>
        <w:t>. The covenants, agreements, and obligations of the Company in this Agreement to be performed or complied with as of or prior to the Closing shall have been performed in all material respects.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5" w:name="page96"/>
    <w:bookmarkEnd w:id="95"/>
    <w:p>
      <w:pPr>
        <w:ind w:left="128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No Material Adverse Effect</w:t>
      </w:r>
      <w:r>
        <w:rPr>
          <w:rFonts w:ascii="Times New Roman" w:cs="Times New Roman" w:eastAsia="Times New Roman" w:hAnsi="Times New Roman"/>
          <w:sz w:val="17"/>
          <w:szCs w:val="17"/>
          <w:color w:val="auto"/>
        </w:rPr>
        <w:t>. Since the date of this Agreement, no Material Adverse Effect shall have occurred and be continuing.</w:t>
      </w:r>
    </w:p>
    <w:p>
      <w:pPr>
        <w:spacing w:after="0" w:line="231" w:lineRule="exact"/>
        <w:rPr>
          <w:sz w:val="20"/>
          <w:szCs w:val="20"/>
          <w:color w:val="auto"/>
        </w:rPr>
      </w:pPr>
    </w:p>
    <w:p>
      <w:pPr>
        <w:ind w:right="320" w:firstLine="1281"/>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Officer’s Certificate</w:t>
      </w:r>
      <w:r>
        <w:rPr>
          <w:rFonts w:ascii="Times New Roman" w:cs="Times New Roman" w:eastAsia="Times New Roman" w:hAnsi="Times New Roman"/>
          <w:sz w:val="18"/>
          <w:szCs w:val="18"/>
          <w:color w:val="auto"/>
        </w:rPr>
        <w:t xml:space="preserve">. The Company shall have delivered to Acquiror a certificate signed by an officer of the Company, dated the Closing Date, certifying that, to the knowledge and belief of such officer, the conditions specified in </w:t>
      </w:r>
      <w:r>
        <w:rPr>
          <w:rFonts w:ascii="Times New Roman" w:cs="Times New Roman" w:eastAsia="Times New Roman" w:hAnsi="Times New Roman"/>
          <w:sz w:val="18"/>
          <w:szCs w:val="18"/>
          <w:u w:val="single" w:color="auto"/>
          <w:color w:val="auto"/>
        </w:rPr>
        <w:t>Section 10.02(a)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have been fulfilled.</w:t>
      </w:r>
    </w:p>
    <w:p>
      <w:pPr>
        <w:spacing w:after="0" w:line="176" w:lineRule="exact"/>
        <w:rPr>
          <w:sz w:val="20"/>
          <w:szCs w:val="20"/>
          <w:color w:val="auto"/>
        </w:rPr>
      </w:pPr>
    </w:p>
    <w:p>
      <w:pPr>
        <w:ind w:right="140" w:firstLine="1281"/>
        <w:spacing w:after="0" w:line="26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Transaction Agreements</w:t>
      </w:r>
      <w:r>
        <w:rPr>
          <w:rFonts w:ascii="Times New Roman" w:cs="Times New Roman" w:eastAsia="Times New Roman" w:hAnsi="Times New Roman"/>
          <w:sz w:val="18"/>
          <w:szCs w:val="18"/>
          <w:color w:val="auto"/>
        </w:rPr>
        <w:t>. The Company shall have delivered to Acquiror executed counterparts of the following Transaction Agreements to which the Company is a party: (i) the Sponsor Support Agreements, (ii) the Support Agreements, (iii) the Certificate of Merger, and (iv) any instrument entered into in connection with the Future PIPE Investment.</w:t>
      </w:r>
    </w:p>
    <w:p>
      <w:pPr>
        <w:spacing w:after="0" w:line="176" w:lineRule="exact"/>
        <w:rPr>
          <w:sz w:val="20"/>
          <w:szCs w:val="20"/>
          <w:color w:val="auto"/>
        </w:rPr>
      </w:pPr>
    </w:p>
    <w:p>
      <w:pPr>
        <w:ind w:right="740" w:firstLine="1281"/>
        <w:spacing w:after="0" w:line="277"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Termination of Certain Agreements</w:t>
      </w:r>
      <w:r>
        <w:rPr>
          <w:rFonts w:ascii="Times New Roman" w:cs="Times New Roman" w:eastAsia="Times New Roman" w:hAnsi="Times New Roman"/>
          <w:sz w:val="18"/>
          <w:szCs w:val="18"/>
          <w:color w:val="auto"/>
        </w:rPr>
        <w:t xml:space="preserve">. The Company shall have delivered to Acquiror evidence as to the termination of each agreement set forth on </w:t>
      </w:r>
      <w:r>
        <w:rPr>
          <w:rFonts w:ascii="Times New Roman" w:cs="Times New Roman" w:eastAsia="Times New Roman" w:hAnsi="Times New Roman"/>
          <w:sz w:val="18"/>
          <w:szCs w:val="18"/>
          <w:u w:val="single" w:color="auto"/>
          <w:color w:val="auto"/>
        </w:rPr>
        <w:t>Schedule 10.02(f).</w:t>
      </w:r>
    </w:p>
    <w:p>
      <w:pPr>
        <w:spacing w:after="0" w:line="163" w:lineRule="exact"/>
        <w:rPr>
          <w:sz w:val="20"/>
          <w:szCs w:val="20"/>
          <w:color w:val="auto"/>
        </w:rPr>
      </w:pPr>
    </w:p>
    <w:p>
      <w:pPr>
        <w:ind w:right="260" w:firstLine="1281"/>
        <w:spacing w:after="0" w:line="253"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Reimbursement Approval</w:t>
      </w:r>
      <w:r>
        <w:rPr>
          <w:rFonts w:ascii="Times New Roman" w:cs="Times New Roman" w:eastAsia="Times New Roman" w:hAnsi="Times New Roman"/>
          <w:sz w:val="18"/>
          <w:szCs w:val="18"/>
          <w:color w:val="auto"/>
        </w:rPr>
        <w:t>. For the calendar year ending December 31, 2023, either (i) in the OPPS/ASC Final Rule, or following legislative action, the Centers for Medicare &amp; Medicaid Services shall have (A) used its equitable adjustment authority to extend the Transitional Pass Through Payment (“</w:t>
      </w:r>
      <w:r>
        <w:rPr>
          <w:rFonts w:ascii="Times New Roman" w:cs="Times New Roman" w:eastAsia="Times New Roman" w:hAnsi="Times New Roman"/>
          <w:sz w:val="18"/>
          <w:szCs w:val="18"/>
          <w:u w:val="single" w:color="auto"/>
          <w:color w:val="auto"/>
        </w:rPr>
        <w:t>TPT</w:t>
      </w:r>
      <w:r>
        <w:rPr>
          <w:rFonts w:ascii="Times New Roman" w:cs="Times New Roman" w:eastAsia="Times New Roman" w:hAnsi="Times New Roman"/>
          <w:sz w:val="18"/>
          <w:szCs w:val="18"/>
          <w:color w:val="auto"/>
        </w:rPr>
        <w:t>”) provision applicable for the Company’s TriNav™ Infusion System through December 31, 2023, or (B) assigned the clinical Ambulatory Payment Classification C-APC 5194 (Level 4 Cardiovascular Procedures) to the Company’s TriNav™ Infusion System, or (ii) use of the existing clinical Ambulatory Payment Classification C-APC 5193 (Level 3 Cardiovascular Procedures) with respect to the Company’s TriNav™ Infusion System provides adequate profitability for the Company.</w:t>
      </w:r>
    </w:p>
    <w:p>
      <w:pPr>
        <w:spacing w:after="0" w:line="185"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Section 10.03        </w:t>
      </w:r>
      <w:r>
        <w:rPr>
          <w:rFonts w:ascii="Times New Roman" w:cs="Times New Roman" w:eastAsia="Times New Roman" w:hAnsi="Times New Roman"/>
          <w:sz w:val="18"/>
          <w:szCs w:val="18"/>
          <w:u w:val="single" w:color="auto"/>
          <w:color w:val="auto"/>
        </w:rPr>
        <w:t>  Additional Conditions to the Obligations of the Company</w:t>
      </w:r>
      <w:r>
        <w:rPr>
          <w:rFonts w:ascii="Times New Roman" w:cs="Times New Roman" w:eastAsia="Times New Roman" w:hAnsi="Times New Roman"/>
          <w:sz w:val="18"/>
          <w:szCs w:val="18"/>
          <w:color w:val="auto"/>
        </w:rPr>
        <w:t>. The obligation of the Company to consummate or cause to be consummated the Transactions is subject to the satisfaction of the following additional conditions, any one or more of which may be waived in writing by the Company:</w:t>
      </w:r>
    </w:p>
    <w:p>
      <w:pPr>
        <w:spacing w:after="0" w:line="176" w:lineRule="exact"/>
        <w:rPr>
          <w:sz w:val="20"/>
          <w:szCs w:val="20"/>
          <w:color w:val="auto"/>
        </w:rPr>
      </w:pPr>
    </w:p>
    <w:p>
      <w:pPr>
        <w:ind w:firstLine="1281"/>
        <w:spacing w:after="0" w:line="273"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Representations and Warranties</w:t>
      </w:r>
      <w:r>
        <w:rPr>
          <w:rFonts w:ascii="Times New Roman" w:cs="Times New Roman" w:eastAsia="Times New Roman" w:hAnsi="Times New Roman"/>
          <w:sz w:val="17"/>
          <w:szCs w:val="17"/>
          <w:color w:val="auto"/>
        </w:rPr>
        <w:t xml:space="preserve">. Each of the representations and warranties of the Acquiror contained in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shall be true and correct (without giving any effect to any limitation as to “materiality” or “Acquiror Material Adverse Effect” or any similar limitation set forth therein) as of the Agreement Date and as of the Closing Date (except that such representations and warranties that by their terms speak specifically as of the Agreement Date or another date shall be true and correct in all respects as of such date), in all respects, except where the failure of such representations and warranties to be so true and correct, individually or in the aggregate, has not had, and would not reasonably be expected to result in, an Acquiror Material Adverse Effect.</w:t>
      </w:r>
    </w:p>
    <w:p>
      <w:pPr>
        <w:spacing w:after="0" w:line="169" w:lineRule="exact"/>
        <w:rPr>
          <w:sz w:val="20"/>
          <w:szCs w:val="20"/>
          <w:color w:val="auto"/>
        </w:rPr>
      </w:pPr>
    </w:p>
    <w:p>
      <w:pPr>
        <w:ind w:right="120" w:firstLine="1281"/>
        <w:spacing w:after="0" w:line="27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Agreements and Covenants</w:t>
      </w:r>
      <w:r>
        <w:rPr>
          <w:rFonts w:ascii="Times New Roman" w:cs="Times New Roman" w:eastAsia="Times New Roman" w:hAnsi="Times New Roman"/>
          <w:sz w:val="18"/>
          <w:szCs w:val="18"/>
          <w:color w:val="auto"/>
        </w:rPr>
        <w:t>. The covenants, agreements, and obligations of the Acquiror Parties in this Agreement to be performed or compiled with as of or prior to the Closing shall have been performed in all material respects.</w:t>
      </w:r>
    </w:p>
    <w:p>
      <w:pPr>
        <w:spacing w:after="0" w:line="163" w:lineRule="exact"/>
        <w:rPr>
          <w:sz w:val="20"/>
          <w:szCs w:val="20"/>
          <w:color w:val="auto"/>
        </w:rPr>
      </w:pPr>
    </w:p>
    <w:p>
      <w:pPr>
        <w:ind w:right="100" w:firstLine="1281"/>
        <w:spacing w:after="0" w:line="307"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Officer’s Certificate</w:t>
      </w:r>
      <w:r>
        <w:rPr>
          <w:rFonts w:ascii="Times New Roman" w:cs="Times New Roman" w:eastAsia="Times New Roman" w:hAnsi="Times New Roman"/>
          <w:sz w:val="17"/>
          <w:szCs w:val="17"/>
          <w:color w:val="auto"/>
        </w:rPr>
        <w:t xml:space="preserve">. Acquiror shall have delivered to the Company a certificate signed by an officer of Acquiror, dated the Closing Date, certifying that, to the knowledge and belief of such officer, the conditions specified in </w:t>
      </w:r>
      <w:r>
        <w:rPr>
          <w:rFonts w:ascii="Times New Roman" w:cs="Times New Roman" w:eastAsia="Times New Roman" w:hAnsi="Times New Roman"/>
          <w:sz w:val="17"/>
          <w:szCs w:val="17"/>
          <w:u w:val="single" w:color="auto"/>
          <w:color w:val="auto"/>
        </w:rPr>
        <w:t>Section 10.03(a)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10.03(b)</w:t>
      </w:r>
      <w:r>
        <w:rPr>
          <w:rFonts w:ascii="Times New Roman" w:cs="Times New Roman" w:eastAsia="Times New Roman" w:hAnsi="Times New Roman"/>
          <w:sz w:val="17"/>
          <w:szCs w:val="17"/>
          <w:color w:val="auto"/>
        </w:rPr>
        <w:t xml:space="preserve"> have been fulfilled.</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D&amp;O Resignations</w:t>
      </w:r>
      <w:r>
        <w:rPr>
          <w:rFonts w:ascii="Times New Roman" w:cs="Times New Roman" w:eastAsia="Times New Roman" w:hAnsi="Times New Roman"/>
          <w:sz w:val="18"/>
          <w:szCs w:val="18"/>
          <w:color w:val="auto"/>
        </w:rPr>
        <w:t xml:space="preserve">. Those directors and officers listed on </w:t>
      </w:r>
      <w:r>
        <w:rPr>
          <w:rFonts w:ascii="Times New Roman" w:cs="Times New Roman" w:eastAsia="Times New Roman" w:hAnsi="Times New Roman"/>
          <w:sz w:val="18"/>
          <w:szCs w:val="18"/>
          <w:u w:val="single" w:color="auto"/>
          <w:color w:val="auto"/>
        </w:rPr>
        <w:t>Schedule 10.03(d)</w:t>
      </w:r>
      <w:r>
        <w:rPr>
          <w:rFonts w:ascii="Times New Roman" w:cs="Times New Roman" w:eastAsia="Times New Roman" w:hAnsi="Times New Roman"/>
          <w:sz w:val="18"/>
          <w:szCs w:val="18"/>
          <w:color w:val="auto"/>
        </w:rPr>
        <w:t xml:space="preserve"> shall have resigned, effective as of the Closing.</w:t>
      </w:r>
    </w:p>
    <w:p>
      <w:pPr>
        <w:spacing w:after="0" w:line="220" w:lineRule="exact"/>
        <w:rPr>
          <w:sz w:val="20"/>
          <w:szCs w:val="20"/>
          <w:color w:val="auto"/>
        </w:rPr>
      </w:pPr>
    </w:p>
    <w:p>
      <w:pPr>
        <w:ind w:right="160" w:firstLine="1281"/>
        <w:spacing w:after="0" w:line="284"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Transaction Agreements</w:t>
      </w:r>
      <w:r>
        <w:rPr>
          <w:rFonts w:ascii="Times New Roman" w:cs="Times New Roman" w:eastAsia="Times New Roman" w:hAnsi="Times New Roman"/>
          <w:sz w:val="17"/>
          <w:szCs w:val="17"/>
          <w:color w:val="auto"/>
        </w:rPr>
        <w:t>. Acquiror shall have delivered to the Company executed counterparts of the following Transaction Agreements to which Acquiror or Merger Sub is a party: (i) the Registration Rights Agreements, (ii) the Lock-Up Agreements, (iii) the Sponsor Support Agreement, (iv) the Support Agreements, (v) the Certificate of Merger, and (vi) any agreement entered into in connection with the Future PIPE Investment.</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6" w:name="page97"/>
    <w:bookmarkEnd w:id="96"/>
    <w:p>
      <w:pPr>
        <w:ind w:left="128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Available Closing Acquiror Cash</w:t>
      </w:r>
      <w:r>
        <w:rPr>
          <w:rFonts w:ascii="Times New Roman" w:cs="Times New Roman" w:eastAsia="Times New Roman" w:hAnsi="Times New Roman"/>
          <w:sz w:val="18"/>
          <w:szCs w:val="18"/>
          <w:color w:val="auto"/>
        </w:rPr>
        <w:t>. The Available Closing Acquiror Cash shall not be less than $60,000,000.</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No Acquiror Material Adverse Effect</w:t>
      </w:r>
      <w:r>
        <w:rPr>
          <w:rFonts w:ascii="Times New Roman" w:cs="Times New Roman" w:eastAsia="Times New Roman" w:hAnsi="Times New Roman"/>
          <w:sz w:val="17"/>
          <w:szCs w:val="17"/>
          <w:color w:val="auto"/>
        </w:rPr>
        <w:t>. Since the Agreement Date, no Acquiror Material Adverse Effect shall have occurred and be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w:t>
      </w:r>
    </w:p>
    <w:p>
      <w:pPr>
        <w:spacing w:after="0" w:line="201" w:lineRule="exact"/>
        <w:rPr>
          <w:sz w:val="20"/>
          <w:szCs w:val="20"/>
          <w:color w:val="auto"/>
        </w:rPr>
      </w:pPr>
    </w:p>
    <w:p>
      <w:pPr>
        <w:ind w:right="20" w:firstLine="1281"/>
        <w:spacing w:after="0" w:line="257"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Acquiror Transaction Expense Amount</w:t>
      </w:r>
      <w:r>
        <w:rPr>
          <w:rFonts w:ascii="Times New Roman" w:cs="Times New Roman" w:eastAsia="Times New Roman" w:hAnsi="Times New Roman"/>
          <w:sz w:val="18"/>
          <w:szCs w:val="18"/>
          <w:color w:val="auto"/>
        </w:rPr>
        <w:t>. (i) The total amount of the Acquiror Transaction Expenses to be paid out of the Trust Account as of immediately after the Effective Time shall be no greater than the Acquiror Transaction Expenses Cap, and (ii) other than as paid in accordance with the immediately foregoing prong (i), there shall be no other Acquiror Transaction Expenses for which any of the Acquiror Parties, the Company or the Surviving Corporation shall have continuing obligations to pay for such Transaction Expenses in cash.</w:t>
      </w:r>
    </w:p>
    <w:p>
      <w:pPr>
        <w:spacing w:after="0" w:line="181" w:lineRule="exact"/>
        <w:rPr>
          <w:sz w:val="20"/>
          <w:szCs w:val="20"/>
          <w:color w:val="auto"/>
        </w:rPr>
      </w:pPr>
    </w:p>
    <w:p>
      <w:pPr>
        <w:ind w:right="440" w:firstLine="1281"/>
        <w:spacing w:after="0" w:line="27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Acquiror Charter</w:t>
      </w:r>
      <w:r>
        <w:rPr>
          <w:rFonts w:ascii="Times New Roman" w:cs="Times New Roman" w:eastAsia="Times New Roman" w:hAnsi="Times New Roman"/>
          <w:sz w:val="18"/>
          <w:szCs w:val="18"/>
          <w:color w:val="auto"/>
        </w:rPr>
        <w:t xml:space="preserve">. The Acquiror Certificate of Incorporation shall be amended and restated in the form of the Acquiror Charter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700" w:firstLine="1281"/>
        <w:spacing w:after="0" w:line="277"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Raymond James Amendment</w:t>
      </w:r>
      <w:r>
        <w:rPr>
          <w:rFonts w:ascii="Times New Roman" w:cs="Times New Roman" w:eastAsia="Times New Roman" w:hAnsi="Times New Roman"/>
          <w:sz w:val="18"/>
          <w:szCs w:val="18"/>
          <w:color w:val="auto"/>
        </w:rPr>
        <w:t>. Acquiror shall have delivered to the Company a fully-executed copy of the Raymond James Amendment, which shall be in full force and effect.</w:t>
      </w:r>
    </w:p>
    <w:p>
      <w:pPr>
        <w:spacing w:after="0" w:line="163" w:lineRule="exact"/>
        <w:rPr>
          <w:sz w:val="20"/>
          <w:szCs w:val="20"/>
          <w:color w:val="auto"/>
        </w:rPr>
      </w:pPr>
    </w:p>
    <w:p>
      <w:pPr>
        <w:ind w:right="20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8"/>
          <w:szCs w:val="8"/>
          <w:color w:val="auto"/>
        </w:rPr>
        <w:t>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Frustration of Conditions</w:t>
      </w:r>
      <w:r>
        <w:rPr>
          <w:rFonts w:ascii="Times New Roman" w:cs="Times New Roman" w:eastAsia="Times New Roman" w:hAnsi="Times New Roman"/>
          <w:sz w:val="18"/>
          <w:szCs w:val="18"/>
          <w:color w:val="auto"/>
        </w:rPr>
        <w:t xml:space="preserve">. None of the Acquiror Parties or the Company may rely on the failure of any condition set forth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to be satisfied if such failure was caused by such Party’s failure to act in good faith or to take such actions as may be necessary to cause the conditions of the other Party to be satisfied, as required by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TERMINATION/EFFECTIVENESS</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8"/>
          <w:szCs w:val="8"/>
          <w:color w:val="auto"/>
        </w:rPr>
        <w:t>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and the Transactions abandoned:</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by written consent of the Company and Acquiror;</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             by either Acquiror or the Company, by giving notice of such termination to the other Party, if:</w:t>
      </w:r>
    </w:p>
    <w:p>
      <w:pPr>
        <w:spacing w:after="0" w:line="220" w:lineRule="exact"/>
        <w:rPr>
          <w:sz w:val="20"/>
          <w:szCs w:val="20"/>
          <w:color w:val="auto"/>
        </w:rPr>
      </w:pPr>
    </w:p>
    <w:p>
      <w:pPr>
        <w:ind w:left="1280" w:firstLine="640"/>
        <w:spacing w:after="0" w:line="254" w:lineRule="auto"/>
        <w:rPr>
          <w:sz w:val="20"/>
          <w:szCs w:val="20"/>
          <w:color w:val="auto"/>
        </w:rPr>
      </w:pPr>
      <w:r>
        <w:rPr>
          <w:rFonts w:ascii="Times New Roman" w:cs="Times New Roman" w:eastAsia="Times New Roman" w:hAnsi="Times New Roman"/>
          <w:sz w:val="18"/>
          <w:szCs w:val="18"/>
          <w:color w:val="auto"/>
        </w:rPr>
        <w:t>(i)              the Closing has not occurred on or before December 22, 2022 (the “</w:t>
      </w:r>
      <w:r>
        <w:rPr>
          <w:rFonts w:ascii="Times New Roman" w:cs="Times New Roman" w:eastAsia="Times New Roman" w:hAnsi="Times New Roman"/>
          <w:sz w:val="18"/>
          <w:szCs w:val="18"/>
          <w:u w:val="single" w:color="auto"/>
          <w:color w:val="auto"/>
        </w:rPr>
        <w:t>Initial Outside Date</w:t>
      </w:r>
      <w:r>
        <w:rPr>
          <w:rFonts w:ascii="Times New Roman" w:cs="Times New Roman" w:eastAsia="Times New Roman" w:hAnsi="Times New Roman"/>
          <w:sz w:val="18"/>
          <w:szCs w:val="18"/>
          <w:color w:val="auto"/>
        </w:rPr>
        <w:t xml:space="preserve">”), as such date shall be extended to match the Final Outside Date following Acquiror stockholder approval of the Extension in accordance with the Acquiror Certificate of Incorporation pursuant to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the right to terminate this Agreement under this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shall not be available to a Party if the breach or violation by such Party or its Affiliates of its obligation under this Agreement was the cause of, or resulted in, the failure of the Closing to occur on or before the Outside Date;</w:t>
      </w:r>
    </w:p>
    <w:p>
      <w:pPr>
        <w:spacing w:after="0" w:line="186" w:lineRule="exact"/>
        <w:rPr>
          <w:sz w:val="20"/>
          <w:szCs w:val="20"/>
          <w:color w:val="auto"/>
        </w:rPr>
      </w:pPr>
    </w:p>
    <w:p>
      <w:pPr>
        <w:ind w:left="1280" w:right="940" w:firstLine="640"/>
        <w:spacing w:after="0" w:line="277" w:lineRule="auto"/>
        <w:rPr>
          <w:sz w:val="20"/>
          <w:szCs w:val="20"/>
          <w:color w:val="auto"/>
        </w:rPr>
      </w:pPr>
      <w:r>
        <w:rPr>
          <w:rFonts w:ascii="Times New Roman" w:cs="Times New Roman" w:eastAsia="Times New Roman" w:hAnsi="Times New Roman"/>
          <w:sz w:val="18"/>
          <w:szCs w:val="18"/>
          <w:color w:val="auto"/>
        </w:rPr>
        <w:t>(ii)             the consummation of the Merger is permanently enjoined or prohibited by the terms of a final, non-appealable Governmental Order or a statute, rule or regulation;</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97" w:name="page98"/>
    <w:bookmarkEnd w:id="97"/>
    <w:p>
      <w:pPr>
        <w:ind w:left="1280" w:right="220" w:firstLine="640"/>
        <w:spacing w:after="0" w:line="277" w:lineRule="auto"/>
        <w:rPr>
          <w:sz w:val="20"/>
          <w:szCs w:val="20"/>
          <w:color w:val="auto"/>
        </w:rPr>
      </w:pPr>
      <w:r>
        <w:rPr>
          <w:rFonts w:ascii="Times New Roman" w:cs="Times New Roman" w:eastAsia="Times New Roman" w:hAnsi="Times New Roman"/>
          <w:sz w:val="18"/>
          <w:szCs w:val="18"/>
          <w:color w:val="auto"/>
        </w:rPr>
        <w:t>(iii)            the Acquiror Stockholder Approval is not obtained at the Special Meeting (subject to any adjournment, postponement or recess of the meeting); or</w:t>
      </w:r>
    </w:p>
    <w:p>
      <w:pPr>
        <w:spacing w:after="0" w:line="163" w:lineRule="exact"/>
        <w:rPr>
          <w:sz w:val="20"/>
          <w:szCs w:val="20"/>
          <w:color w:val="auto"/>
        </w:rPr>
      </w:pPr>
    </w:p>
    <w:p>
      <w:pPr>
        <w:ind w:left="1280" w:right="480" w:firstLine="640"/>
        <w:spacing w:after="0" w:line="277" w:lineRule="auto"/>
        <w:rPr>
          <w:sz w:val="20"/>
          <w:szCs w:val="20"/>
          <w:color w:val="auto"/>
        </w:rPr>
      </w:pPr>
      <w:r>
        <w:rPr>
          <w:rFonts w:ascii="Times New Roman" w:cs="Times New Roman" w:eastAsia="Times New Roman" w:hAnsi="Times New Roman"/>
          <w:sz w:val="18"/>
          <w:szCs w:val="18"/>
          <w:color w:val="auto"/>
        </w:rPr>
        <w:t>(iv)            on and after March 31, 2023, the Acquiror has not yet received commitments for Future PIPE Investments of at least $40,000,0000 in the aggregate;</w:t>
      </w:r>
    </w:p>
    <w:p>
      <w:pPr>
        <w:spacing w:after="0" w:line="163" w:lineRule="exact"/>
        <w:rPr>
          <w:sz w:val="20"/>
          <w:szCs w:val="20"/>
          <w:color w:val="auto"/>
        </w:rPr>
      </w:pPr>
    </w:p>
    <w:p>
      <w:pPr>
        <w:ind w:firstLine="1281"/>
        <w:spacing w:after="0" w:line="268" w:lineRule="auto"/>
        <w:rPr>
          <w:sz w:val="20"/>
          <w:szCs w:val="20"/>
          <w:color w:val="auto"/>
        </w:rPr>
      </w:pPr>
      <w:r>
        <w:rPr>
          <w:rFonts w:ascii="Times New Roman" w:cs="Times New Roman" w:eastAsia="Times New Roman" w:hAnsi="Times New Roman"/>
          <w:sz w:val="17"/>
          <w:szCs w:val="17"/>
          <w:color w:val="auto"/>
        </w:rPr>
        <w:t xml:space="preserve">(c)             prior to the Closing, by written notice to the Company from Acquiror if there is any breach of any representation, warranty, covenant or agreement on the part of the Company set forth in this Agreement, such that the conditions specified in </w:t>
      </w:r>
      <w:r>
        <w:rPr>
          <w:rFonts w:ascii="Times New Roman" w:cs="Times New Roman" w:eastAsia="Times New Roman" w:hAnsi="Times New Roman"/>
          <w:sz w:val="17"/>
          <w:szCs w:val="17"/>
          <w:u w:val="single" w:color="auto"/>
          <w:color w:val="auto"/>
        </w:rPr>
        <w:t>Section 10.02(a)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10.02(b)</w:t>
      </w:r>
      <w:r>
        <w:rPr>
          <w:rFonts w:ascii="Times New Roman" w:cs="Times New Roman" w:eastAsia="Times New Roman" w:hAnsi="Times New Roman"/>
          <w:sz w:val="17"/>
          <w:szCs w:val="17"/>
          <w:color w:val="auto"/>
        </w:rPr>
        <w:t xml:space="preserve"> would not be satisfied at the Closing (a “</w:t>
      </w:r>
      <w:r>
        <w:rPr>
          <w:rFonts w:ascii="Times New Roman" w:cs="Times New Roman" w:eastAsia="Times New Roman" w:hAnsi="Times New Roman"/>
          <w:sz w:val="17"/>
          <w:szCs w:val="17"/>
          <w:u w:val="single" w:color="auto"/>
          <w:color w:val="auto"/>
        </w:rPr>
        <w:t>Terminating Company Breach</w:t>
      </w:r>
      <w:r>
        <w:rPr>
          <w:rFonts w:ascii="Times New Roman" w:cs="Times New Roman" w:eastAsia="Times New Roman" w:hAnsi="Times New Roman"/>
          <w:sz w:val="17"/>
          <w:szCs w:val="17"/>
          <w:color w:val="auto"/>
        </w:rPr>
        <w:t>”), except that, if such Terminating Company Breach is curable by the Company through the exercise of its commercially reasonable efforts, then, for a period of up to 30 days after receipt by the Company of notice from Acquiror of such breach, but only as long as the Company continues to use its commercially reasonable efforts to cure such Terminating Company Breach (the “</w:t>
      </w:r>
      <w:r>
        <w:rPr>
          <w:rFonts w:ascii="Times New Roman" w:cs="Times New Roman" w:eastAsia="Times New Roman" w:hAnsi="Times New Roman"/>
          <w:sz w:val="17"/>
          <w:szCs w:val="17"/>
          <w:u w:val="single" w:color="auto"/>
          <w:color w:val="auto"/>
        </w:rPr>
        <w:t>Company Cure Period</w:t>
      </w:r>
      <w:r>
        <w:rPr>
          <w:rFonts w:ascii="Times New Roman" w:cs="Times New Roman" w:eastAsia="Times New Roman" w:hAnsi="Times New Roman"/>
          <w:sz w:val="17"/>
          <w:szCs w:val="17"/>
          <w:color w:val="auto"/>
        </w:rPr>
        <w:t xml:space="preserve">”), such termination shall not be effective, and such termination shall become effective only if the Terminating Company Breach is not cured within the Company Cure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right to terminate this Agreement under this </w:t>
      </w:r>
      <w:r>
        <w:rPr>
          <w:rFonts w:ascii="Times New Roman" w:cs="Times New Roman" w:eastAsia="Times New Roman" w:hAnsi="Times New Roman"/>
          <w:sz w:val="17"/>
          <w:szCs w:val="17"/>
          <w:u w:val="single" w:color="auto"/>
          <w:color w:val="auto"/>
        </w:rPr>
        <w:t>Section 11.01(c)</w:t>
      </w:r>
      <w:r>
        <w:rPr>
          <w:rFonts w:ascii="Times New Roman" w:cs="Times New Roman" w:eastAsia="Times New Roman" w:hAnsi="Times New Roman"/>
          <w:sz w:val="17"/>
          <w:szCs w:val="17"/>
          <w:color w:val="auto"/>
        </w:rPr>
        <w:t xml:space="preserve"> shall not be available if Acquiror’s failure to fulfill any obligation under this Agreement has been the primary cause of, or primarily resulted in, the failure of the Closing to occur on or before such date;</w:t>
      </w:r>
    </w:p>
    <w:p>
      <w:pPr>
        <w:spacing w:after="0" w:line="175" w:lineRule="exact"/>
        <w:rPr>
          <w:sz w:val="20"/>
          <w:szCs w:val="20"/>
          <w:color w:val="auto"/>
        </w:rPr>
      </w:pPr>
    </w:p>
    <w:p>
      <w:pPr>
        <w:ind w:right="680" w:firstLine="1281"/>
        <w:spacing w:after="0" w:line="273" w:lineRule="auto"/>
        <w:rPr>
          <w:sz w:val="20"/>
          <w:szCs w:val="20"/>
          <w:color w:val="auto"/>
        </w:rPr>
      </w:pPr>
      <w:r>
        <w:rPr>
          <w:rFonts w:ascii="Times New Roman" w:cs="Times New Roman" w:eastAsia="Times New Roman" w:hAnsi="Times New Roman"/>
          <w:sz w:val="17"/>
          <w:szCs w:val="17"/>
          <w:color w:val="auto"/>
        </w:rPr>
        <w:t xml:space="preserve">(d)             prior to the Closing, by written notice to Acquiror from the Company if there is any breach of any representation, warranty, covenant or agreement on the part of any Acquiror Party set forth in this Agreement, such that the conditions specified in </w:t>
      </w:r>
      <w:r>
        <w:rPr>
          <w:rFonts w:ascii="Times New Roman" w:cs="Times New Roman" w:eastAsia="Times New Roman" w:hAnsi="Times New Roman"/>
          <w:sz w:val="17"/>
          <w:szCs w:val="17"/>
          <w:u w:val="single" w:color="auto"/>
          <w:color w:val="auto"/>
        </w:rPr>
        <w:t>Section 10.03(a)</w:t>
      </w:r>
      <w:r>
        <w:rPr>
          <w:rFonts w:ascii="Times New Roman" w:cs="Times New Roman" w:eastAsia="Times New Roman" w:hAnsi="Times New Roman"/>
          <w:sz w:val="17"/>
          <w:szCs w:val="17"/>
          <w:color w:val="auto"/>
        </w:rPr>
        <w:t xml:space="preserve"> or</w:t>
      </w:r>
    </w:p>
    <w:p>
      <w:pPr>
        <w:spacing w:after="0" w:line="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 xml:space="preserve"> would not be satisfied at the Closing (a “</w:t>
      </w:r>
      <w:r>
        <w:rPr>
          <w:rFonts w:ascii="Times New Roman" w:cs="Times New Roman" w:eastAsia="Times New Roman" w:hAnsi="Times New Roman"/>
          <w:sz w:val="18"/>
          <w:szCs w:val="18"/>
          <w:u w:val="single" w:color="auto"/>
          <w:color w:val="auto"/>
        </w:rPr>
        <w:t>Terminating Acquiror Breach</w:t>
      </w:r>
      <w:r>
        <w:rPr>
          <w:rFonts w:ascii="Times New Roman" w:cs="Times New Roman" w:eastAsia="Times New Roman" w:hAnsi="Times New Roman"/>
          <w:sz w:val="18"/>
          <w:szCs w:val="18"/>
          <w:color w:val="auto"/>
        </w:rPr>
        <w:t>”), except that, if any such Terminating Acquiror Breach is curable by such Acquiror Party through the exercise of its commercially reasonable efforts, then, for a period of up to 30 days after receipt by Acquiror of notice from the Company of such breach, but only as long as Acquiror continues to exercise such commercially reasonable efforts to cure such Terminating Acquiror Breach (the “</w:t>
      </w:r>
      <w:r>
        <w:rPr>
          <w:rFonts w:ascii="Times New Roman" w:cs="Times New Roman" w:eastAsia="Times New Roman" w:hAnsi="Times New Roman"/>
          <w:sz w:val="18"/>
          <w:szCs w:val="18"/>
          <w:u w:val="single" w:color="auto"/>
          <w:color w:val="auto"/>
        </w:rPr>
        <w:t>Acquiror Cure Period</w:t>
      </w:r>
      <w:r>
        <w:rPr>
          <w:rFonts w:ascii="Times New Roman" w:cs="Times New Roman" w:eastAsia="Times New Roman" w:hAnsi="Times New Roman"/>
          <w:sz w:val="18"/>
          <w:szCs w:val="18"/>
          <w:color w:val="auto"/>
        </w:rPr>
        <w:t xml:space="preserve">”), such termination shall not be effective, and such termination shall become effective only if the Terminating Acquiror Breach is not cured within the Acquiror Cure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11.01(d)</w:t>
      </w:r>
      <w:r>
        <w:rPr>
          <w:rFonts w:ascii="Times New Roman" w:cs="Times New Roman" w:eastAsia="Times New Roman" w:hAnsi="Times New Roman"/>
          <w:sz w:val="18"/>
          <w:szCs w:val="18"/>
          <w:color w:val="auto"/>
        </w:rPr>
        <w:t xml:space="preserve"> shall not be available if the Company’s failure to fulfill any obligation under this Agreement has been the primary cause of, or primarily resulted in, the failure of the Closing to occur on or before such date;</w:t>
      </w:r>
    </w:p>
    <w:p>
      <w:pPr>
        <w:spacing w:after="0" w:line="19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             by the Company if Acquiror has made a Change in Recommendation; or</w:t>
      </w:r>
    </w:p>
    <w:p>
      <w:pPr>
        <w:spacing w:after="0" w:line="220" w:lineRule="exact"/>
        <w:rPr>
          <w:sz w:val="20"/>
          <w:szCs w:val="20"/>
          <w:color w:val="auto"/>
        </w:rPr>
      </w:pPr>
    </w:p>
    <w:p>
      <w:pPr>
        <w:ind w:right="200" w:firstLine="1281"/>
        <w:spacing w:after="0" w:line="277" w:lineRule="auto"/>
        <w:rPr>
          <w:sz w:val="20"/>
          <w:szCs w:val="20"/>
          <w:color w:val="auto"/>
        </w:rPr>
      </w:pPr>
      <w:r>
        <w:rPr>
          <w:rFonts w:ascii="Times New Roman" w:cs="Times New Roman" w:eastAsia="Times New Roman" w:hAnsi="Times New Roman"/>
          <w:sz w:val="18"/>
          <w:szCs w:val="18"/>
          <w:color w:val="auto"/>
        </w:rPr>
        <w:t xml:space="preserve">(f)             by written notice to the Company from Acquiror if the Company does not deliver the Company Stockholder Approval to Acquiror within twenty-five days after the Information Statement is delivered to the Company Stockholders in accordance with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100" w:firstLine="1281"/>
        <w:spacing w:after="0" w:line="262"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shall deliver a written notice of such termination to the other Party specifying the provision hereof pursuant to which such termination is made and the factual basis therefor in reasonable detail.</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11.02        </w:t>
      </w:r>
      <w:r>
        <w:rPr>
          <w:rFonts w:ascii="Times New Roman" w:cs="Times New Roman" w:eastAsia="Times New Roman" w:hAnsi="Times New Roman"/>
          <w:sz w:val="17"/>
          <w:szCs w:val="17"/>
          <w:u w:val="single" w:color="auto"/>
          <w:color w:val="auto"/>
        </w:rPr>
        <w:t>  Effect of Termination</w:t>
      </w:r>
      <w:r>
        <w:rPr>
          <w:rFonts w:ascii="Times New Roman" w:cs="Times New Roman" w:eastAsia="Times New Roman" w:hAnsi="Times New Roman"/>
          <w:sz w:val="17"/>
          <w:szCs w:val="17"/>
          <w:color w:val="auto"/>
        </w:rPr>
        <w:t xml:space="preserve">. Except as otherwise set forth in this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12.13</w:t>
      </w:r>
      <w:r>
        <w:rPr>
          <w:rFonts w:ascii="Times New Roman" w:cs="Times New Roman" w:eastAsia="Times New Roman" w:hAnsi="Times New Roman"/>
          <w:sz w:val="17"/>
          <w:szCs w:val="17"/>
          <w:color w:val="auto"/>
        </w:rPr>
        <w:t>, in the event of the termination of this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this Agreement shall forthwith become void and have no effect, without any liability on the part of any Party or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respective Affiliates, officers, directors, employees or stockholders. The provisions of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(‘No Claim Against the Trust Account’), </w:t>
      </w:r>
      <w:r>
        <w:rPr>
          <w:rFonts w:ascii="Times New Roman" w:cs="Times New Roman" w:eastAsia="Times New Roman" w:hAnsi="Times New Roman"/>
          <w:sz w:val="18"/>
          <w:szCs w:val="18"/>
          <w:u w:val="single" w:color="auto"/>
          <w:color w:val="auto"/>
        </w:rPr>
        <w:t>Section 9.07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(‘Confidentiality; Publicity’), this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(‘Effect of Termination’),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(collectively, with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Surviving Provisions</w:t>
      </w:r>
      <w:r>
        <w:rPr>
          <w:rFonts w:ascii="Times New Roman" w:cs="Times New Roman" w:eastAsia="Times New Roman" w:hAnsi="Times New Roman"/>
          <w:sz w:val="17"/>
          <w:szCs w:val="17"/>
          <w:color w:val="auto"/>
        </w:rPr>
        <w:t>”) and the Confidentiality Agreement, and any other Section or Article of this Agreement referenced in the Surviving Provisions which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required to survive in order to give appropriate effect to the Surviving Provisions, shall in each case survive any termination of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Notwithstanding the foregoing, the termination of this Agreement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shall not affect any liability on the part of any Party for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Willful Breach of this Agreement.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8" w:name="page99"/>
    <w:bookmarkEnd w:id="98"/>
    <w:p>
      <w:pPr>
        <w:ind w:left="504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1"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Section 12.01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xml:space="preserve">. Any Party may, at any time prior to the Closing, by action taken by its board of directors or equivalent governing body, or officers thereunto duly authorized, waive any of the terms or conditions of this Agreement or agree to an amendment or modification to this Agreement in the manner contemplated by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and by an agreement in writing executed in the same manner as this Agreement.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Section 12.02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among the Parties shall be in writing and shall be deemed to have been duly given</w:t>
      </w:r>
    </w:p>
    <w:p>
      <w:pPr>
        <w:spacing w:after="0" w:line="37" w:lineRule="exact"/>
        <w:rPr>
          <w:sz w:val="20"/>
          <w:szCs w:val="20"/>
          <w:color w:val="auto"/>
        </w:rPr>
      </w:pPr>
    </w:p>
    <w:p>
      <w:pPr>
        <w:jc w:val="both"/>
        <w:ind w:right="80" w:firstLine="7"/>
        <w:spacing w:after="0" w:line="251" w:lineRule="auto"/>
        <w:tabs>
          <w:tab w:leader="none" w:pos="2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in person, (ii) when delivered after posting in the United States mail having been sent registered or certified mail return receipt requested, postage prepaid, (iii) when delivered by FedEx or other nationally recognized overnight delivery service or (iv) when e-mailed during normal business hours (and otherwise as of the immediately following Business Day), addressed as follows:</w:t>
      </w:r>
    </w:p>
    <w:p>
      <w:pPr>
        <w:spacing w:after="0" w:line="185" w:lineRule="exact"/>
        <w:rPr>
          <w:rFonts w:ascii="Times New Roman" w:cs="Times New Roman" w:eastAsia="Times New Roman" w:hAnsi="Times New Roman"/>
          <w:sz w:val="18"/>
          <w:szCs w:val="18"/>
          <w:color w:val="auto"/>
        </w:rPr>
      </w:pPr>
    </w:p>
    <w:p>
      <w:pPr>
        <w:ind w:left="1960" w:hanging="672"/>
        <w:spacing w:after="0"/>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Acquiror or Merger Sub, to:</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MedTech Acquisition Corporation</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48 Maple Avenue</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Greenwich, Connecticut 06830</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Attention: Christopher C. Dewey</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Email: ccdewey@gmail.com</w:t>
      </w:r>
    </w:p>
    <w:p>
      <w:pPr>
        <w:spacing w:after="0" w:line="20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Foley &amp; Lardner LLP</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100 N. Tampa Street, Suite 2700</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Tampa, FL 33602</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Attn:    Kevin Shuler</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Email:   kshuler@foley.com</w:t>
      </w:r>
    </w:p>
    <w:p>
      <w:pPr>
        <w:spacing w:after="0" w:line="201" w:lineRule="exact"/>
        <w:rPr>
          <w:sz w:val="20"/>
          <w:szCs w:val="20"/>
          <w:color w:val="auto"/>
        </w:rPr>
      </w:pPr>
    </w:p>
    <w:p>
      <w:pPr>
        <w:ind w:left="1940" w:hanging="652"/>
        <w:spacing w:after="0"/>
        <w:tabs>
          <w:tab w:leader="none" w:pos="1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prior to the Closing, or to the Surviving Corporation after the Effective Time, to:</w:t>
      </w:r>
    </w:p>
    <w:p>
      <w:pPr>
        <w:spacing w:after="0" w:line="219"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TriSalus Life Sciences, Inc.</w:t>
      </w:r>
    </w:p>
    <w:p>
      <w:pPr>
        <w:spacing w:after="0" w:line="25" w:lineRule="exact"/>
        <w:rPr>
          <w:rFonts w:ascii="Times New Roman" w:cs="Times New Roman" w:eastAsia="Times New Roman" w:hAnsi="Times New Roman"/>
          <w:sz w:val="18"/>
          <w:szCs w:val="18"/>
          <w:color w:val="auto"/>
        </w:rPr>
      </w:pPr>
    </w:p>
    <w:p>
      <w:pPr>
        <w:ind w:left="1920" w:right="6400"/>
        <w:spacing w:after="0" w:line="4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6272 W. 91st Avenue Westminster, CO 80031 Attn:    Sean Murphy Email:   sean.murphy@trisaluslifesci.com</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9" w:name="page100"/>
    <w:bookmarkEnd w:id="99"/>
    <w:p>
      <w:pPr>
        <w:ind w:left="192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Cooley LLP</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10265 Science Center Drive</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Attn:    Rama Padmanabhan; Matt Browne</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Email:   rama@cooley.com; mbrowne@cooley.com</w:t>
      </w:r>
    </w:p>
    <w:p>
      <w:pPr>
        <w:spacing w:after="0" w:line="20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or to such other address or addresses as the Parties may from time to time designate in writing. Without limiting the foregoing, any Party may give any notice, request, instruction, demand, document or other communication hereunder using any other means (including personal delivery, expedited courier, messenger service, ordinary mail or electronic mail), but no such notice, request, instruction, demand, document or other communication shall be deemed to have been duly given unless and until it actually is received by the Party for whom it is intended.</w:t>
      </w:r>
    </w:p>
    <w:p>
      <w:pPr>
        <w:spacing w:after="0" w:line="181" w:lineRule="exact"/>
        <w:rPr>
          <w:sz w:val="20"/>
          <w:szCs w:val="20"/>
          <w:color w:val="auto"/>
        </w:rPr>
      </w:pPr>
    </w:p>
    <w:p>
      <w:pPr>
        <w:ind w:right="80" w:firstLine="640"/>
        <w:spacing w:after="0" w:line="262" w:lineRule="auto"/>
        <w:rPr>
          <w:sz w:val="20"/>
          <w:szCs w:val="20"/>
          <w:color w:val="auto"/>
        </w:rPr>
      </w:pPr>
      <w:r>
        <w:rPr>
          <w:rFonts w:ascii="Times New Roman" w:cs="Times New Roman" w:eastAsia="Times New Roman" w:hAnsi="Times New Roman"/>
          <w:sz w:val="18"/>
          <w:szCs w:val="18"/>
          <w:color w:val="auto"/>
        </w:rPr>
        <w:t>Section 12.03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No Party shall assign this Agreement or any part hereof without the prior written consent of the other Parties. Subject to the foregoing, this Agreement shall be binding upon and inure to the benefit of the Parties and their respective permitted successors and assigns. Any attempted assignment in violation of the terms of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640"/>
        <w:spacing w:after="0" w:line="254" w:lineRule="auto"/>
        <w:rPr>
          <w:sz w:val="20"/>
          <w:szCs w:val="20"/>
          <w:color w:val="auto"/>
        </w:rPr>
      </w:pPr>
      <w:r>
        <w:rPr>
          <w:rFonts w:ascii="Times New Roman" w:cs="Times New Roman" w:eastAsia="Times New Roman" w:hAnsi="Times New Roman"/>
          <w:sz w:val="18"/>
          <w:szCs w:val="18"/>
          <w:color w:val="auto"/>
        </w:rPr>
        <w:t>Section 12.04        </w:t>
      </w:r>
      <w:r>
        <w:rPr>
          <w:rFonts w:ascii="Times New Roman" w:cs="Times New Roman" w:eastAsia="Times New Roman" w:hAnsi="Times New Roman"/>
          <w:sz w:val="18"/>
          <w:szCs w:val="18"/>
          <w:u w:val="single" w:color="auto"/>
          <w:color w:val="auto"/>
        </w:rPr>
        <w:t>  Rights of Third Parties</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 this Agreement is exclusively for the benefit of the Company, and its successors and permitted assigns, with respect to the obligations of Acquiror and the Merger Sub under this Agreement, and for the benefit of Acquiror and the Merger Sub, and their respective successors and permitted assigns, with respect to the obligations of the Company under this Agreement, and this Agreement shall not be deemed to confer upon or give to any other third party any remedy, claim, liability, reimbursement, cause of action or other right.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12.05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54" w:lineRule="auto"/>
        <w:rPr>
          <w:sz w:val="20"/>
          <w:szCs w:val="20"/>
          <w:color w:val="auto"/>
        </w:rPr>
      </w:pPr>
      <w:r>
        <w:rPr>
          <w:rFonts w:ascii="Times New Roman" w:cs="Times New Roman" w:eastAsia="Times New Roman" w:hAnsi="Times New Roman"/>
          <w:sz w:val="18"/>
          <w:szCs w:val="18"/>
          <w:color w:val="auto"/>
        </w:rPr>
        <w:t xml:space="preserve">(a)             If the Closing does not occur, (i) the Company shall be responsible for the Company Transaction Expenses (other than fees and costs associated with the Acquiror D&amp;O Tail, which, for clarity, shall be paid on the Closing Date) and any other fees and expenses of the Company and its Affiliates incurred in connection with the Agreement and the Transactions and (ii) Acquiror shall be responsible for the Acquiror Transaction Expenses and any other fees and expenses of the Acquiror and its Affiliates (including, solely for purposes of this </w:t>
      </w:r>
      <w:r>
        <w:rPr>
          <w:rFonts w:ascii="Times New Roman" w:cs="Times New Roman" w:eastAsia="Times New Roman" w:hAnsi="Times New Roman"/>
          <w:sz w:val="18"/>
          <w:szCs w:val="18"/>
          <w:u w:val="single" w:color="auto"/>
          <w:color w:val="auto"/>
        </w:rPr>
        <w:t>Section 12.05(a)</w:t>
      </w:r>
      <w:r>
        <w:rPr>
          <w:rFonts w:ascii="Times New Roman" w:cs="Times New Roman" w:eastAsia="Times New Roman" w:hAnsi="Times New Roman"/>
          <w:sz w:val="18"/>
          <w:szCs w:val="18"/>
          <w:color w:val="auto"/>
        </w:rPr>
        <w:t>, any PIPE Investor Reimbursable Expenses) incurred in connection with this Agreement and the Transactions.</w:t>
      </w:r>
    </w:p>
    <w:p>
      <w:pPr>
        <w:spacing w:after="0" w:line="186" w:lineRule="exact"/>
        <w:rPr>
          <w:sz w:val="20"/>
          <w:szCs w:val="20"/>
          <w:color w:val="auto"/>
        </w:rPr>
      </w:pPr>
    </w:p>
    <w:p>
      <w:pPr>
        <w:ind w:firstLine="1281"/>
        <w:spacing w:after="0" w:line="257" w:lineRule="auto"/>
        <w:rPr>
          <w:sz w:val="20"/>
          <w:szCs w:val="20"/>
          <w:color w:val="auto"/>
        </w:rPr>
      </w:pPr>
      <w:r>
        <w:rPr>
          <w:rFonts w:ascii="Times New Roman" w:cs="Times New Roman" w:eastAsia="Times New Roman" w:hAnsi="Times New Roman"/>
          <w:sz w:val="18"/>
          <w:szCs w:val="18"/>
          <w:color w:val="auto"/>
        </w:rPr>
        <w:t>(b)             Upon and subject to the Closing, the Company Transaction Expenses, any PIPE Investor Reimbursable Expenses and the Acquiror Transaction Expenses up to, but not exceeding, the Acquiror Transaction Expenses Cap, shall be paid from the proceeds remaining in the Trust Account by Acquiror at Closing. Any Acquiror Transaction Expenses in excess of the Acquiror Transaction Expenses Cap shall be paid in accordance with the provisions of the Sponsor Support Agreement.</w:t>
      </w:r>
    </w:p>
    <w:p>
      <w:pPr>
        <w:spacing w:after="0" w:line="181" w:lineRule="exact"/>
        <w:rPr>
          <w:sz w:val="20"/>
          <w:szCs w:val="20"/>
          <w:color w:val="auto"/>
        </w:rPr>
      </w:pPr>
    </w:p>
    <w:p>
      <w:pPr>
        <w:ind w:right="20" w:firstLine="1281"/>
        <w:spacing w:after="0" w:line="238" w:lineRule="auto"/>
        <w:rPr>
          <w:sz w:val="20"/>
          <w:szCs w:val="20"/>
          <w:color w:val="auto"/>
        </w:rPr>
      </w:pPr>
      <w:r>
        <w:rPr>
          <w:rFonts w:ascii="Times New Roman" w:cs="Times New Roman" w:eastAsia="Times New Roman" w:hAnsi="Times New Roman"/>
          <w:sz w:val="17"/>
          <w:szCs w:val="17"/>
          <w:color w:val="auto"/>
        </w:rPr>
        <w:t>(c)             Notwithstanding the foregoing, the Acquiror and the Company each agree that (i) Acquiror and the Company will split evenly, and each shall be responsible for fifty percent (50%) of, all filing fees and expenses under any applicable Antitrust Laws, including the fees and expenses relating to any pre-merger notification required the HSR Act (“</w:t>
      </w:r>
      <w:r>
        <w:rPr>
          <w:rFonts w:ascii="Times New Roman" w:cs="Times New Roman" w:eastAsia="Times New Roman" w:hAnsi="Times New Roman"/>
          <w:sz w:val="17"/>
          <w:szCs w:val="17"/>
          <w:u w:val="single" w:color="auto"/>
          <w:color w:val="auto"/>
        </w:rPr>
        <w:t>Antitrust Expenses</w:t>
      </w:r>
      <w:r>
        <w:rPr>
          <w:rFonts w:ascii="Times New Roman" w:cs="Times New Roman" w:eastAsia="Times New Roman" w:hAnsi="Times New Roman"/>
          <w:sz w:val="17"/>
          <w:szCs w:val="17"/>
          <w:color w:val="auto"/>
        </w:rPr>
        <w:t xml:space="preserve">”), (ii) Acquiror and the Company will split evenly, and each shall be responsible for, fifty percent (50%) of the preparation and filing of the applicable proxy materials and the holding of the stockholder meeting to approve the Extension as contemplated by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 xml:space="preserve"> (such amounts described in foregoing clause (ii), the “</w:t>
      </w:r>
      <w:r>
        <w:rPr>
          <w:rFonts w:ascii="Times New Roman" w:cs="Times New Roman" w:eastAsia="Times New Roman" w:hAnsi="Times New Roman"/>
          <w:sz w:val="17"/>
          <w:szCs w:val="17"/>
          <w:u w:val="single" w:color="auto"/>
          <w:color w:val="auto"/>
        </w:rPr>
        <w:t>Extension Costs</w:t>
      </w:r>
      <w:r>
        <w:rPr>
          <w:rFonts w:ascii="Times New Roman" w:cs="Times New Roman" w:eastAsia="Times New Roman" w:hAnsi="Times New Roman"/>
          <w:sz w:val="17"/>
          <w:szCs w:val="17"/>
          <w:color w:val="auto"/>
        </w:rPr>
        <w:t>”), and (iii) to the extent the Acquiror’s stockholders approve the Extension, Acquiror and the Company will split evenly, and each shall be responsible for, fifty percent (50%) of the Monthly Extension Amount to be placed each month into the Trust Account with Continental Stock Transfer &amp; Trust Company (the aggregate of such amounts described in foregoing clause (iii), the “</w:t>
      </w:r>
      <w:r>
        <w:rPr>
          <w:rFonts w:ascii="Times New Roman" w:cs="Times New Roman" w:eastAsia="Times New Roman" w:hAnsi="Times New Roman"/>
          <w:sz w:val="17"/>
          <w:szCs w:val="17"/>
          <w:u w:val="single" w:color="auto"/>
          <w:color w:val="auto"/>
        </w:rPr>
        <w:t>Extension Expenses</w:t>
      </w:r>
      <w:r>
        <w:rPr>
          <w:rFonts w:ascii="Times New Roman" w:cs="Times New Roman" w:eastAsia="Times New Roman" w:hAnsi="Times New Roman"/>
          <w:sz w:val="17"/>
          <w:szCs w:val="17"/>
          <w:color w:val="auto"/>
        </w:rPr>
        <w:t>”), with such amounts to be for the benefit of the holders of unredeemed shares of Acquiror Class A Common Stock upon redemption or liquidation of the Acquiror in accordance with the Acquiror’s Amended and Restated Certificate of Incorporation, and shall be payable by the Sponsor and the Company between the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and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of each month (or a portion thereof) from December 2022 through June 2023 (provided,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that the Company’s first payment pursuant to this clause (iii) shall be made on or about December 7, 2022, concurrently with the Sponsor’s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execution of the Extension Note and promptly following the Acquiror’s written notice to the Company thereof), up until the earlier of (A) the date on which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 is validly terminated in accordance with its terms and (B) the Effective Date. The Sponsor’s payment referenced in clause (iii) shall be in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form of a loan to the Acquiror, and shall be made pursuant to the terms of a promissory note in substantially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Extension Note</w:t>
      </w:r>
      <w:r>
        <w:rPr>
          <w:rFonts w:ascii="Times New Roman" w:cs="Times New Roman" w:eastAsia="Times New Roman" w:hAnsi="Times New Roman"/>
          <w:sz w:val="17"/>
          <w:szCs w:val="17"/>
          <w:color w:val="auto"/>
        </w:rPr>
        <w:t>”). For the avoidance of doubt, any Extension Note so issued to Sponsor shall constitute an Acquiror Transaction Expense. Notwithstanding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anything to the contrary set forth herein, (x) the Company’s obligation to pay its portion of the Extension Expenses shall terminate immediately at the earliest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occur of (I) the Effective Time, and (II) the valid termination of this Agreement in accordance with its terms, and (y) the Company agrees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acknowledges that Acquiror shall have no obligation to repay any portion of the Extension Expenses paid by the Company hereunder, and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further expressly waives any rights to such repayment or recoupment.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0" w:name="page101"/>
    <w:bookmarkEnd w:id="100"/>
    <w:p>
      <w:pPr>
        <w:ind w:right="120" w:firstLine="640"/>
        <w:spacing w:after="0" w:line="262" w:lineRule="auto"/>
        <w:rPr>
          <w:sz w:val="20"/>
          <w:szCs w:val="20"/>
          <w:color w:val="auto"/>
        </w:rPr>
      </w:pPr>
      <w:r>
        <w:rPr>
          <w:rFonts w:ascii="Times New Roman" w:cs="Times New Roman" w:eastAsia="Times New Roman" w:hAnsi="Times New Roman"/>
          <w:sz w:val="18"/>
          <w:szCs w:val="18"/>
          <w:color w:val="auto"/>
        </w:rPr>
        <w:t>Section 12.06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76" w:lineRule="exact"/>
        <w:rPr>
          <w:sz w:val="20"/>
          <w:szCs w:val="20"/>
          <w:color w:val="auto"/>
        </w:rPr>
      </w:pPr>
    </w:p>
    <w:p>
      <w:pPr>
        <w:ind w:right="60" w:firstLine="640"/>
        <w:spacing w:after="0" w:line="262" w:lineRule="auto"/>
        <w:rPr>
          <w:sz w:val="20"/>
          <w:szCs w:val="20"/>
          <w:color w:val="auto"/>
        </w:rPr>
      </w:pPr>
      <w:r>
        <w:rPr>
          <w:rFonts w:ascii="Times New Roman" w:cs="Times New Roman" w:eastAsia="Times New Roman" w:hAnsi="Times New Roman"/>
          <w:sz w:val="18"/>
          <w:szCs w:val="18"/>
          <w:color w:val="auto"/>
        </w:rPr>
        <w:t>Section 12.07        </w:t>
      </w:r>
      <w:r>
        <w:rPr>
          <w:rFonts w:ascii="Times New Roman" w:cs="Times New Roman" w:eastAsia="Times New Roman" w:hAnsi="Times New Roman"/>
          <w:sz w:val="18"/>
          <w:szCs w:val="18"/>
          <w:u w:val="single" w:color="auto"/>
          <w:color w:val="auto"/>
        </w:rPr>
        <w:t>  Captions; Counterparts</w:t>
      </w:r>
      <w:r>
        <w:rPr>
          <w:rFonts w:ascii="Times New Roman" w:cs="Times New Roman" w:eastAsia="Times New Roman" w:hAnsi="Times New Roman"/>
          <w:sz w:val="18"/>
          <w:szCs w:val="18"/>
          <w:color w:val="auto"/>
        </w:rPr>
        <w:t>. The captions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w:t>
      </w:r>
    </w:p>
    <w:p>
      <w:pPr>
        <w:spacing w:after="0" w:line="176"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Section 12.08        </w:t>
      </w:r>
      <w:r>
        <w:rPr>
          <w:rFonts w:ascii="Times New Roman" w:cs="Times New Roman" w:eastAsia="Times New Roman" w:hAnsi="Times New Roman"/>
          <w:sz w:val="18"/>
          <w:szCs w:val="18"/>
          <w:u w:val="single" w:color="auto"/>
          <w:color w:val="auto"/>
        </w:rPr>
        <w:t>  Schedules and Exhibits</w:t>
      </w:r>
      <w:r>
        <w:rPr>
          <w:rFonts w:ascii="Times New Roman" w:cs="Times New Roman" w:eastAsia="Times New Roman" w:hAnsi="Times New Roman"/>
          <w:sz w:val="18"/>
          <w:szCs w:val="18"/>
          <w:color w:val="auto"/>
        </w:rPr>
        <w:t>. The Schedules and Exhibits referenced herein are a part of this Agreement as if fully set forth herein. All references herein to Schedules and Exhibits shall be deemed references to such parts of this Agreement, unless the context shall otherwise require. Any disclosure made by a Party in the Schedules with reference to any section or schedule of this Agreement shall be deemed to be a disclosure with respect to all other sections or schedules to which such disclosure may apply solely to the extent the relevance of such disclosure is reasonably apparent on the face of the disclosure in such Schedule. Certain information set forth in the Schedules is included solely for informational purposes.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187" w:lineRule="exact"/>
        <w:rPr>
          <w:sz w:val="20"/>
          <w:szCs w:val="20"/>
          <w:color w:val="auto"/>
        </w:rPr>
      </w:pPr>
    </w:p>
    <w:p>
      <w:pPr>
        <w:ind w:right="80" w:firstLine="640"/>
        <w:spacing w:after="0" w:line="271" w:lineRule="auto"/>
        <w:rPr>
          <w:sz w:val="20"/>
          <w:szCs w:val="20"/>
          <w:color w:val="auto"/>
        </w:rPr>
      </w:pPr>
      <w:r>
        <w:rPr>
          <w:rFonts w:ascii="Times New Roman" w:cs="Times New Roman" w:eastAsia="Times New Roman" w:hAnsi="Times New Roman"/>
          <w:sz w:val="17"/>
          <w:szCs w:val="17"/>
          <w:color w:val="auto"/>
        </w:rPr>
        <w:t>Section 12.09        </w:t>
      </w:r>
      <w:r>
        <w:rPr>
          <w:rFonts w:ascii="Times New Roman" w:cs="Times New Roman" w:eastAsia="Times New Roman" w:hAnsi="Times New Roman"/>
          <w:sz w:val="17"/>
          <w:szCs w:val="17"/>
          <w:u w:val="single" w:color="auto"/>
          <w:color w:val="auto"/>
        </w:rPr>
        <w:t>  Entire Agreement</w:t>
      </w:r>
      <w:r>
        <w:rPr>
          <w:rFonts w:ascii="Times New Roman" w:cs="Times New Roman" w:eastAsia="Times New Roman" w:hAnsi="Times New Roman"/>
          <w:sz w:val="17"/>
          <w:szCs w:val="17"/>
          <w:color w:val="auto"/>
        </w:rPr>
        <w:t>. This Agreement (together with the Schedules and Exhibits to this Agreement), the Transaction Agreements and that certain Confidentiality Agreement, dated as of June 17, 2022, by and between the Company and Acquiror (as amended, modified or supplemented from time to time, the “</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 constitute the entire agreement among the Parties relating to the Transactions and supersede any other agreements, whether written or oral, that may have been made or entered into by or among any of the Parties or any of their respective Subsidiaries relating to the Transactions. No representations, warranties, covenants, understandings, agreements, oral or otherwise, relating to the Transactions exist between the Parties except as expressly set forth or referenced in this Agreement, the Transaction Agreements and the Confidentiality Agreement.</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01" w:name="page102"/>
    <w:bookmarkEnd w:id="101"/>
    <w:p>
      <w:pPr>
        <w:ind w:right="40" w:firstLine="640"/>
        <w:spacing w:after="0" w:line="257" w:lineRule="auto"/>
        <w:rPr>
          <w:sz w:val="20"/>
          <w:szCs w:val="20"/>
          <w:color w:val="auto"/>
        </w:rPr>
      </w:pPr>
      <w:r>
        <w:rPr>
          <w:rFonts w:ascii="Times New Roman" w:cs="Times New Roman" w:eastAsia="Times New Roman" w:hAnsi="Times New Roman"/>
          <w:sz w:val="18"/>
          <w:szCs w:val="18"/>
          <w:color w:val="auto"/>
        </w:rPr>
        <w:t>Section 12.10        </w:t>
      </w:r>
      <w:r>
        <w:rPr>
          <w:rFonts w:ascii="Times New Roman" w:cs="Times New Roman" w:eastAsia="Times New Roman" w:hAnsi="Times New Roman"/>
          <w:sz w:val="18"/>
          <w:szCs w:val="18"/>
          <w:u w:val="single" w:color="auto"/>
          <w:color w:val="auto"/>
        </w:rPr>
        <w:t>  Amendments</w:t>
      </w:r>
      <w:r>
        <w:rPr>
          <w:rFonts w:ascii="Times New Roman" w:cs="Times New Roman" w:eastAsia="Times New Roman" w:hAnsi="Times New Roman"/>
          <w:sz w:val="18"/>
          <w:szCs w:val="18"/>
          <w:color w:val="auto"/>
        </w:rPr>
        <w:t xml:space="preserve">. This Agreement may be amended or modified in whole or in part, only by a duly authorized agreement in writing executed in the same manner as this Agreement and which makes reference to this Agreement. The approval of this Agreement by the stockholders of any of the Parties shall not restrict the ability of the board of directors (or other body performing similar functions) of any of the Parties to terminate this Agreement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to cause such Party to enter into an amendment to this Agreement pursuant to this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0" w:firstLine="640"/>
        <w:spacing w:after="0" w:line="273" w:lineRule="auto"/>
        <w:rPr>
          <w:sz w:val="20"/>
          <w:szCs w:val="20"/>
          <w:color w:val="auto"/>
        </w:rPr>
      </w:pPr>
      <w:r>
        <w:rPr>
          <w:rFonts w:ascii="Times New Roman" w:cs="Times New Roman" w:eastAsia="Times New Roman" w:hAnsi="Times New Roman"/>
          <w:sz w:val="17"/>
          <w:szCs w:val="17"/>
          <w:color w:val="auto"/>
        </w:rPr>
        <w:t>Section 12.11        </w:t>
      </w:r>
      <w:r>
        <w:rPr>
          <w:rFonts w:ascii="Times New Roman" w:cs="Times New Roman" w:eastAsia="Times New Roman" w:hAnsi="Times New Roman"/>
          <w:sz w:val="17"/>
          <w:szCs w:val="17"/>
          <w:u w:val="single" w:color="auto"/>
          <w:color w:val="auto"/>
        </w:rPr>
        <w:t>  Severability</w:t>
      </w:r>
      <w:r>
        <w:rPr>
          <w:rFonts w:ascii="Times New Roman" w:cs="Times New Roman" w:eastAsia="Times New Roman" w:hAnsi="Times New Roman"/>
          <w:sz w:val="17"/>
          <w:szCs w:val="17"/>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69"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Section 12.12        </w:t>
      </w:r>
      <w:r>
        <w:rPr>
          <w:rFonts w:ascii="Times New Roman" w:cs="Times New Roman" w:eastAsia="Times New Roman" w:hAnsi="Times New Roman"/>
          <w:sz w:val="18"/>
          <w:szCs w:val="18"/>
          <w:u w:val="single" w:color="auto"/>
          <w:color w:val="auto"/>
        </w:rPr>
        <w:t>  Jurisdiction; WAIVER OF TRIAL BY JURY</w:t>
      </w:r>
      <w:r>
        <w:rPr>
          <w:rFonts w:ascii="Times New Roman" w:cs="Times New Roman" w:eastAsia="Times New Roman" w:hAnsi="Times New Roman"/>
          <w:sz w:val="18"/>
          <w:szCs w:val="18"/>
          <w:color w:val="auto"/>
        </w:rPr>
        <w:t xml:space="preserve">. Any Action based upon, arising out of or related to this Agreement or the Transactions must be brought in federal and state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EACH OF THE PARTIES HEREBY IRREVOCABLY WAIVES ANY AND ALL RIGHT TO TRIAL BY JURY IN ANY ACTION BASED UPON, ARISING OUT OF OR RELATED TO THIS AGREEMENT OR THE TRANSACTIONS.</w:t>
      </w:r>
    </w:p>
    <w:p>
      <w:pPr>
        <w:spacing w:after="0" w:line="187" w:lineRule="exact"/>
        <w:rPr>
          <w:sz w:val="20"/>
          <w:szCs w:val="20"/>
          <w:color w:val="auto"/>
        </w:rPr>
      </w:pPr>
    </w:p>
    <w:p>
      <w:pPr>
        <w:ind w:right="20" w:firstLine="640"/>
        <w:spacing w:after="0" w:line="252" w:lineRule="auto"/>
        <w:rPr>
          <w:sz w:val="20"/>
          <w:szCs w:val="20"/>
          <w:color w:val="auto"/>
        </w:rPr>
      </w:pPr>
      <w:r>
        <w:rPr>
          <w:rFonts w:ascii="Times New Roman" w:cs="Times New Roman" w:eastAsia="Times New Roman" w:hAnsi="Times New Roman"/>
          <w:sz w:val="18"/>
          <w:szCs w:val="18"/>
          <w:color w:val="auto"/>
        </w:rPr>
        <w:t>Section 12.13        </w:t>
      </w:r>
      <w:r>
        <w:rPr>
          <w:rFonts w:ascii="Times New Roman" w:cs="Times New Roman" w:eastAsia="Times New Roman" w:hAnsi="Times New Roman"/>
          <w:sz w:val="18"/>
          <w:szCs w:val="18"/>
          <w:u w:val="single" w:color="auto"/>
          <w:color w:val="auto"/>
        </w:rPr>
        <w:t>  Enforcement</w:t>
      </w:r>
      <w:r>
        <w:rPr>
          <w:rFonts w:ascii="Times New Roman" w:cs="Times New Roman" w:eastAsia="Times New Roman" w:hAnsi="Times New Roman"/>
          <w:sz w:val="18"/>
          <w:szCs w:val="18"/>
          <w:color w:val="auto"/>
        </w:rPr>
        <w:t xml:space="preserve">. The Parties agree that irreparable damage would occur in the event that the Parties do not perform their obligations under the provisions of this Agreement (including failing to take such actions as are required of them hereunder to consummate this Agreement) or any Transaction Agreement in accordance with its specified terms or otherwise breach such provisions. Accordingly, each Party shall be entitled to seek one or more injunctions to prevent any breach of covenant and to enforce specifically this Agreement, in addition to any other remedy to which such Party may be entitled at law or in equity. The Parties acknowledge and agree that any Party seeking an injunction to prevent breaches of this Agreement or any Transaction Agreement and to enforce specifically the terms and provisions of this Agreement or any Transaction Agreement in accordance with this </w:t>
      </w:r>
      <w:r>
        <w:rPr>
          <w:rFonts w:ascii="Times New Roman" w:cs="Times New Roman" w:eastAsia="Times New Roman" w:hAnsi="Times New Roman"/>
          <w:sz w:val="18"/>
          <w:szCs w:val="18"/>
          <w:u w:val="single" w:color="auto"/>
          <w:color w:val="auto"/>
        </w:rPr>
        <w:t>Section 12.13</w:t>
      </w:r>
      <w:r>
        <w:rPr>
          <w:rFonts w:ascii="Times New Roman" w:cs="Times New Roman" w:eastAsia="Times New Roman" w:hAnsi="Times New Roman"/>
          <w:sz w:val="18"/>
          <w:szCs w:val="18"/>
          <w:color w:val="auto"/>
        </w:rPr>
        <w:t xml:space="preserve"> shall not be required to provide any bond or other security in connection with any such injunction.</w:t>
      </w:r>
    </w:p>
    <w:p>
      <w:pPr>
        <w:spacing w:after="0" w:line="187" w:lineRule="exact"/>
        <w:rPr>
          <w:sz w:val="20"/>
          <w:szCs w:val="20"/>
          <w:color w:val="auto"/>
        </w:rPr>
      </w:pPr>
    </w:p>
    <w:p>
      <w:pPr>
        <w:ind w:firstLine="640"/>
        <w:spacing w:after="0" w:line="268" w:lineRule="auto"/>
        <w:rPr>
          <w:sz w:val="20"/>
          <w:szCs w:val="20"/>
          <w:color w:val="auto"/>
        </w:rPr>
      </w:pPr>
      <w:r>
        <w:rPr>
          <w:rFonts w:ascii="Times New Roman" w:cs="Times New Roman" w:eastAsia="Times New Roman" w:hAnsi="Times New Roman"/>
          <w:sz w:val="17"/>
          <w:szCs w:val="17"/>
          <w:color w:val="auto"/>
        </w:rPr>
        <w:t>Section 12.14        </w:t>
      </w:r>
      <w:r>
        <w:rPr>
          <w:rFonts w:ascii="Times New Roman" w:cs="Times New Roman" w:eastAsia="Times New Roman" w:hAnsi="Times New Roman"/>
          <w:sz w:val="17"/>
          <w:szCs w:val="17"/>
          <w:u w:val="single" w:color="auto"/>
          <w:color w:val="auto"/>
        </w:rPr>
        <w:t>  Non-Recourse</w:t>
      </w:r>
      <w:r>
        <w:rPr>
          <w:rFonts w:ascii="Times New Roman" w:cs="Times New Roman" w:eastAsia="Times New Roman" w:hAnsi="Times New Roman"/>
          <w:sz w:val="17"/>
          <w:szCs w:val="17"/>
          <w:color w:val="auto"/>
        </w:rPr>
        <w:t>. This Agreement may only be enforced against, and any claim or cause of action based upon, arising out of, or related to this Agreement or the Transactions may only be brought against, the entities that are expressly named as Parties and then only with respect to the specific obligations set forth herein with respect to such Party. Except to the extent a Party (and then only to the extent of the specific obligations undertaken by such Party in this Agreement), (a) no past, present or future director, officer, employee, incorporator, member, partner, stockholder, Affiliate, agent, attorney, advisor or representative or Affiliate of any Party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Acquiror, or Merger Sub under this Agreement of or for any claim based on, arising out of, or related to this Agreement or the Transactions.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2" w:name="page103"/>
    <w:bookmarkEnd w:id="102"/>
    <w:p>
      <w:pPr>
        <w:ind w:firstLine="640"/>
        <w:spacing w:after="0" w:line="253" w:lineRule="auto"/>
        <w:rPr>
          <w:sz w:val="20"/>
          <w:szCs w:val="20"/>
          <w:color w:val="auto"/>
        </w:rPr>
      </w:pPr>
      <w:r>
        <w:rPr>
          <w:rFonts w:ascii="Times New Roman" w:cs="Times New Roman" w:eastAsia="Times New Roman" w:hAnsi="Times New Roman"/>
          <w:sz w:val="18"/>
          <w:szCs w:val="18"/>
          <w:color w:val="auto"/>
        </w:rPr>
        <w:t>Section 12.15        </w:t>
      </w:r>
      <w:r>
        <w:rPr>
          <w:rFonts w:ascii="Times New Roman" w:cs="Times New Roman" w:eastAsia="Times New Roman" w:hAnsi="Times New Roman"/>
          <w:sz w:val="18"/>
          <w:szCs w:val="18"/>
          <w:u w:val="single" w:color="auto"/>
          <w:color w:val="auto"/>
        </w:rPr>
        <w:t>  Nonsurvival of Representations, Warranties and Covenants</w:t>
      </w:r>
      <w:r>
        <w:rPr>
          <w:rFonts w:ascii="Times New Roman" w:cs="Times New Roman" w:eastAsia="Times New Roman" w:hAnsi="Times New Roman"/>
          <w:sz w:val="18"/>
          <w:szCs w:val="18"/>
          <w:color w:val="auto"/>
        </w:rPr>
        <w:t xml:space="preserve">.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(and there shall be no liability to any Party or its respective Affiliates, officers, directors, employees or stockholders after the Closing in respect thereof), except for (a) those covenants and agreements contained herein that by their terms expressly apply in whole or in part at or after the Closing and then only with respect to any breaches occurring at or after the Closing and (b)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firstLine="640"/>
        <w:spacing w:after="0" w:line="249" w:lineRule="auto"/>
        <w:rPr>
          <w:sz w:val="20"/>
          <w:szCs w:val="20"/>
          <w:color w:val="auto"/>
        </w:rPr>
      </w:pPr>
      <w:r>
        <w:rPr>
          <w:rFonts w:ascii="Times New Roman" w:cs="Times New Roman" w:eastAsia="Times New Roman" w:hAnsi="Times New Roman"/>
          <w:sz w:val="18"/>
          <w:szCs w:val="18"/>
          <w:color w:val="auto"/>
        </w:rPr>
        <w:t>Section 12.16        </w:t>
      </w:r>
      <w:r>
        <w:rPr>
          <w:rFonts w:ascii="Times New Roman" w:cs="Times New Roman" w:eastAsia="Times New Roman" w:hAnsi="Times New Roman"/>
          <w:sz w:val="18"/>
          <w:szCs w:val="18"/>
          <w:u w:val="single" w:color="auto"/>
          <w:color w:val="auto"/>
        </w:rPr>
        <w:t>  Acknowledgements</w:t>
      </w:r>
      <w:r>
        <w:rPr>
          <w:rFonts w:ascii="Times New Roman" w:cs="Times New Roman" w:eastAsia="Times New Roman" w:hAnsi="Times New Roman"/>
          <w:sz w:val="18"/>
          <w:szCs w:val="18"/>
          <w:color w:val="auto"/>
        </w:rPr>
        <w:t>. Each of the Parties acknowledges and agrees (on its own behalf and on behalf of its respective Affiliates and its and their respective Representatives) that: (i) it has conducted its own independent investigation of the financial condition, results of operations, assets, liabilities, properties and projected operations of the other Parties (and their respective Subsidiaries) and has been afforded satisfactory access to the books and records, facilities and personnel of the other Parties (and their respective Subsidiaries) for purposes of conducting such investigation; (ii) the Company Representations constitute the sole and exclusive representations and warranties of the Company in connection with the Transactions; (iii) the Acquiror Party Representations constitute the sole and exclusive representations and warranties of Acquiror and Merger Sub; (iv) except for the Company Representations by the Company and the Acquiror Party Representations by the Acquiror Parties, none of the Parties or any other Person makes, or has made, any other express or implied representation or warranty with respect to any Party (or any Party’s Affiliates) or the Transactions and all other representations and warranties of any kind or nature expressed or implied as to condition, merchantability, suitability or fitness for a particular purpose or trade as to any of the assets of the Company (including (x) regarding the completeness or accuracy of, or any omission to state or to disclose, any information, including in the estimates, projections or forecasts or any other information, document or material provided to or made available to any Party or their respective Affiliates or Representatives in certain “data rooms,” management presentations or in any other form in expectation of the Transactions, including meetings, calls or correspondence with management of any Party (or any Party’s Subsidiaries), and (y) any relating to the future or historical business, condition (financial or otherwise), results of operations, prospects, assets or liabilities of any Party (or its Subsidiaries), or the quality, quantity or condition of any Party’s or its Subsidiaries’ assets) are specifically disclaimed by all Parties and their respective Subsidiaries and all other Persons (including the Representatives and Affiliates of any Party or its Subsidiaries); and (v) each Party and its respective Affiliates are not relying on any representations and warranties in connection with the Transactions except solely the Company Representations made by the Company and solely the Acquiror Party Representations made by the Acquiror Parties.</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12.17        </w:t>
      </w:r>
      <w:r>
        <w:rPr>
          <w:rFonts w:ascii="Times New Roman" w:cs="Times New Roman" w:eastAsia="Times New Roman" w:hAnsi="Times New Roman"/>
          <w:sz w:val="18"/>
          <w:szCs w:val="18"/>
          <w:u w:val="single" w:color="auto"/>
          <w:color w:val="auto"/>
        </w:rPr>
        <w:t>  Conflicts and Privilege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60" w:firstLine="1281"/>
        <w:spacing w:after="0" w:line="264" w:lineRule="auto"/>
        <w:rPr>
          <w:sz w:val="20"/>
          <w:szCs w:val="20"/>
          <w:color w:val="auto"/>
        </w:rPr>
      </w:pPr>
      <w:r>
        <w:rPr>
          <w:rFonts w:ascii="Times New Roman" w:cs="Times New Roman" w:eastAsia="Times New Roman" w:hAnsi="Times New Roman"/>
          <w:sz w:val="17"/>
          <w:szCs w:val="17"/>
          <w:color w:val="auto"/>
        </w:rPr>
        <w:t>(a)             Each of the Parties hereby irrevocably acknowledge and agree that: (i) Cooley LLP (the “</w:t>
      </w:r>
      <w:r>
        <w:rPr>
          <w:rFonts w:ascii="Times New Roman" w:cs="Times New Roman" w:eastAsia="Times New Roman" w:hAnsi="Times New Roman"/>
          <w:sz w:val="17"/>
          <w:szCs w:val="17"/>
          <w:u w:val="single" w:color="auto"/>
          <w:color w:val="auto"/>
        </w:rPr>
        <w:t>Designated Firm</w:t>
      </w:r>
      <w:r>
        <w:rPr>
          <w:rFonts w:ascii="Times New Roman" w:cs="Times New Roman" w:eastAsia="Times New Roman" w:hAnsi="Times New Roman"/>
          <w:sz w:val="17"/>
          <w:szCs w:val="17"/>
          <w:color w:val="auto"/>
        </w:rPr>
        <w:t>”) has acted as counsel to the Company prior to the Closing, including in connection with the Transactions contemplated hereby, (ii) in connection with any dispute arising under or in connection with this Agreement, any agreement, instrument or document entered into pursuant to this Agreement or the Transaction or other transactions contemplated by this Agreement (a “</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Acquiror hereby irrevocably waives and agrees not to assert, and agrees to cause the Company and its Subsidiaries after the Closing to irrevocably waive and agree not to assert, any conflict of interest arising from or in connection with the Designated Firm’s representation of the Company prior to and after the Closing; (iii) all communications between or among any of the Company, its Representatives, any of the Company Stockholders or any of the Company’s directors, officers, managers, employees, agents, advisors (including the Designated Firm) or their representatives made in connection with the negotiation, preparation, execution, delivery and closing under, or any Dispute or otherwise relating to any potential sale or acquisition of the Company, and all related documents and files (the “</w:t>
      </w:r>
      <w:r>
        <w:rPr>
          <w:rFonts w:ascii="Times New Roman" w:cs="Times New Roman" w:eastAsia="Times New Roman" w:hAnsi="Times New Roman"/>
          <w:sz w:val="17"/>
          <w:szCs w:val="17"/>
          <w:u w:val="single" w:color="auto"/>
          <w:color w:val="auto"/>
        </w:rPr>
        <w:t>Protected Seller Communications</w:t>
      </w:r>
      <w:r>
        <w:rPr>
          <w:rFonts w:ascii="Times New Roman" w:cs="Times New Roman" w:eastAsia="Times New Roman" w:hAnsi="Times New Roman"/>
          <w:sz w:val="17"/>
          <w:szCs w:val="17"/>
          <w:color w:val="auto"/>
        </w:rPr>
        <w:t xml:space="preserve">”), shall be deemed to be privileged and confidential communications and shall be excluded from the assets to be transferred to Acquiror pursuant to this Agreement or any other agreement, instrument or document contemplated hereby; (iv) all rights to such Protected Seller Communications, and the control of the confidentiality and privilege applicable thereto shall be vested exclusively in the Surviving Company on behalf of the Company and shall remain privileged after the Closing and the privilege and the expectation of client confidence relating thereto shall belong solely to the Surviving Corporation on behalf of the Company; (v) neither Acquiror nor Merger Sub shall have any right, directly or indirectly, to assert or waive any privilege or protection against disclosure, or discover, use or disclose any Protected Seller Communications in any manner, including in connection with any dispute or legal proceeding relating to or in connection with this Agreement, the events and negotiations leading to this Agreement or the Transaction or other transactions contemplated by this Agreement; and (vi) the Designated Firm shall have no duty to disclose any Protected Seller Communications to Acquiror or Merger Sub or otherwise. This </w:t>
      </w:r>
      <w:r>
        <w:rPr>
          <w:rFonts w:ascii="Times New Roman" w:cs="Times New Roman" w:eastAsia="Times New Roman" w:hAnsi="Times New Roman"/>
          <w:sz w:val="17"/>
          <w:szCs w:val="17"/>
          <w:u w:val="single" w:color="auto"/>
          <w:color w:val="auto"/>
        </w:rPr>
        <w:t>Section 12.17(a)</w:t>
      </w:r>
      <w:r>
        <w:rPr>
          <w:rFonts w:ascii="Times New Roman" w:cs="Times New Roman" w:eastAsia="Times New Roman" w:hAnsi="Times New Roman"/>
          <w:sz w:val="17"/>
          <w:szCs w:val="17"/>
          <w:color w:val="auto"/>
        </w:rPr>
        <w:t xml:space="preserve"> is irrevocable, and no term may be amended, waived or modified without the prior written consent of the Company Stockholders owning a majority of the issued and outstanding Company Shares immediately prior to the Effective Time and the Designated Firm.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3" w:name="page104"/>
    <w:bookmarkEnd w:id="103"/>
    <w:p>
      <w:pPr>
        <w:ind w:left="1280"/>
        <w:spacing w:after="0"/>
        <w:rPr>
          <w:sz w:val="20"/>
          <w:szCs w:val="20"/>
          <w:color w:val="auto"/>
        </w:rPr>
      </w:pPr>
      <w:r>
        <w:rPr>
          <w:rFonts w:ascii="Times New Roman" w:cs="Times New Roman" w:eastAsia="Times New Roman" w:hAnsi="Times New Roman"/>
          <w:sz w:val="17"/>
          <w:szCs w:val="17"/>
          <w:color w:val="auto"/>
        </w:rPr>
        <w:t>(b)             The Company hereby irrevocably acknowledges and agrees, on behalf of itself and its directors, stockholders, officers, employees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Affiliates, and each of their respective successors and assigns (all such parties, the “</w:t>
      </w:r>
      <w:r>
        <w:rPr>
          <w:rFonts w:ascii="Times New Roman" w:cs="Times New Roman" w:eastAsia="Times New Roman" w:hAnsi="Times New Roman"/>
          <w:sz w:val="18"/>
          <w:szCs w:val="18"/>
          <w:u w:val="single" w:color="auto"/>
          <w:color w:val="auto"/>
        </w:rPr>
        <w:t>Company Waiving Parties</w:t>
      </w:r>
      <w:r>
        <w:rPr>
          <w:rFonts w:ascii="Times New Roman" w:cs="Times New Roman" w:eastAsia="Times New Roman" w:hAnsi="Times New Roman"/>
          <w:sz w:val="18"/>
          <w:szCs w:val="18"/>
          <w:color w:val="auto"/>
        </w:rPr>
        <w:t>”), that any legal counsel (including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Foley &amp; Lardner LLP (the “</w:t>
      </w:r>
      <w:r>
        <w:rPr>
          <w:rFonts w:ascii="Times New Roman" w:cs="Times New Roman" w:eastAsia="Times New Roman" w:hAnsi="Times New Roman"/>
          <w:sz w:val="18"/>
          <w:szCs w:val="18"/>
          <w:u w:val="single" w:color="auto"/>
          <w:color w:val="auto"/>
        </w:rPr>
        <w:t>Prior Acquiror Firm</w:t>
      </w:r>
      <w:r>
        <w:rPr>
          <w:rFonts w:ascii="Times New Roman" w:cs="Times New Roman" w:eastAsia="Times New Roman" w:hAnsi="Times New Roman"/>
          <w:sz w:val="18"/>
          <w:szCs w:val="18"/>
          <w:color w:val="auto"/>
        </w:rPr>
        <w:t>”)) that represented Acquiror, the Sponsor and/or any director nominee designated by the Sponsor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MTAC Designee</w:t>
      </w:r>
      <w:r>
        <w:rPr>
          <w:rFonts w:ascii="Times New Roman" w:cs="Times New Roman" w:eastAsia="Times New Roman" w:hAnsi="Times New Roman"/>
          <w:sz w:val="17"/>
          <w:szCs w:val="17"/>
          <w:color w:val="auto"/>
        </w:rPr>
        <w:t>”) prior to the Closing, including in connection with the Transactions contemplated hereby, (ii) the Prior Acquiror Firm may represent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MTAC Designee, the Sponsor or any of the Sponsor’s Affiliates (excluding, for the avoidance of doubt, Acquiror) or its Affiliates’ respective directors,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members, managers, officers or employees, in each case, after the Closing in connection with any Dispute, notwithstanding such counsel’s representation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prior to the Closing, and each of Acquiror and the Company, on behalf of itself and the Company Waiving Parties, hereby consents thereto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irrevocably waives (and will not assert) any conflict of interest, breach of duty or any other objection arising therefrom or relating thereto. Each of Acquiror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Company, on behalf of itself and the Company Waiving Parties, hereby further agrees that, all legally privileged communications prior to the Closing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or among any legal counsel (including the Prior Acquiror Firm) and the Acquiror, the MTAC Designee, the Sponsor, or any of the Sponsor’s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or any of the Sponsor’s or its Affiliates’ respective directors, members, managers, or employees prior to the Closing in any way related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contemplated hereby, the attorney/client privilege and the expectation of client confidence (i) belongs to the MTAC Designee and the Sponsor,</w:t>
      </w:r>
    </w:p>
    <w:p>
      <w:pPr>
        <w:spacing w:after="0" w:line="18" w:lineRule="exact"/>
        <w:rPr>
          <w:sz w:val="20"/>
          <w:szCs w:val="20"/>
          <w:color w:val="auto"/>
        </w:rPr>
      </w:pPr>
    </w:p>
    <w:p>
      <w:pPr>
        <w:jc w:val="both"/>
        <w:ind w:right="60" w:firstLine="7"/>
        <w:spacing w:after="0" w:line="262" w:lineRule="auto"/>
        <w:tabs>
          <w:tab w:leader="none" w:pos="26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may be controlled by the MTAC Designee and the Sponsor, and (iii) shall not pass to or be claimed or controlled by Acquiror, the Surviving Corporation or any other Company Waiving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(y) the MTAC Designee and the Sponsor shall not waive such attorney/client privilege other than to the extent they determine appropriate in connection with the enforcement or defense of their respective rights or obligations existing under this Agreement and</w:t>
      </w:r>
    </w:p>
    <w:p>
      <w:pPr>
        <w:jc w:val="both"/>
        <w:ind w:right="60" w:firstLine="7"/>
        <w:spacing w:after="0" w:line="251" w:lineRule="auto"/>
        <w:tabs>
          <w:tab w:leader="none" w:pos="2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legal counsel (including the Prior Acquiror Firm) that represented the Acquiror, the MTAC Designee, the Sponsor, or any of the Sponsor’s Affiliates or any of the Sponsor’s or its Affiliates’ respective directors, members, managers, or employees prior to the Closing shall have no duty to disclose any such communications or information to Acquiror or the Surviving Company, or otherwise.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color w:val="auto"/>
        </w:rPr>
        <w:t>IN WITNESS WHEREOF, the parties hereto have hereunto caused this Agreement and Plan of Merger to be duly executed as of the date hereof.</w:t>
      </w:r>
    </w:p>
    <w:p>
      <w:pPr>
        <w:spacing w:after="0" w:line="2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MEDTECH ACQUISITION CORPORATION</w:t>
      </w:r>
    </w:p>
    <w:p>
      <w:pPr>
        <w:spacing w:after="0" w:line="200" w:lineRule="exact"/>
        <w:rPr>
          <w:sz w:val="20"/>
          <w:szCs w:val="20"/>
          <w:color w:val="auto"/>
        </w:rPr>
      </w:pPr>
    </w:p>
    <w:p>
      <w:pPr>
        <w:spacing w:after="0" w:line="237" w:lineRule="exact"/>
        <w:rPr>
          <w:sz w:val="20"/>
          <w:szCs w:val="20"/>
          <w:color w:val="auto"/>
        </w:rPr>
      </w:pPr>
    </w:p>
    <w:p>
      <w:pPr>
        <w:ind w:left="5100"/>
        <w:spacing w:after="0"/>
        <w:tabs>
          <w:tab w:leader="none" w:pos="5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15875</wp:posOffset>
            </wp:positionV>
            <wp:extent cx="31349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spacing w:after="0" w:line="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Christopher Dewey</w:t>
      </w:r>
    </w:p>
    <w:p>
      <w:pPr>
        <w:spacing w:after="0" w:line="20" w:lineRule="exact"/>
        <w:rPr>
          <w:sz w:val="20"/>
          <w:szCs w:val="20"/>
          <w:color w:val="auto"/>
        </w:rPr>
      </w:pPr>
    </w:p>
    <w:p>
      <w:pPr>
        <w:ind w:left="5100"/>
        <w:spacing w:after="0"/>
        <w:tabs>
          <w:tab w:leader="none" w:pos="5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19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MTAC MERGER SUB, INC.</w:t>
      </w:r>
    </w:p>
    <w:p>
      <w:pPr>
        <w:spacing w:after="0" w:line="200" w:lineRule="exact"/>
        <w:rPr>
          <w:sz w:val="20"/>
          <w:szCs w:val="20"/>
          <w:color w:val="auto"/>
        </w:rPr>
      </w:pPr>
    </w:p>
    <w:p>
      <w:pPr>
        <w:spacing w:after="0" w:line="237" w:lineRule="exact"/>
        <w:rPr>
          <w:sz w:val="20"/>
          <w:szCs w:val="20"/>
          <w:color w:val="auto"/>
        </w:rPr>
      </w:pPr>
    </w:p>
    <w:p>
      <w:pPr>
        <w:ind w:left="5100"/>
        <w:spacing w:after="0"/>
        <w:tabs>
          <w:tab w:leader="none" w:pos="5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15875</wp:posOffset>
            </wp:positionV>
            <wp:extent cx="31349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spacing w:after="0" w:line="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Christopher Dewey</w:t>
      </w:r>
    </w:p>
    <w:p>
      <w:pPr>
        <w:spacing w:after="0" w:line="20" w:lineRule="exact"/>
        <w:rPr>
          <w:sz w:val="20"/>
          <w:szCs w:val="20"/>
          <w:color w:val="auto"/>
        </w:rPr>
      </w:pPr>
    </w:p>
    <w:p>
      <w:pPr>
        <w:ind w:left="5100"/>
        <w:spacing w:after="0"/>
        <w:tabs>
          <w:tab w:leader="none" w:pos="5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1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440690</wp:posOffset>
            </wp:positionV>
            <wp:extent cx="7134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300"/>
          </w:cols>
          <w:pgMar w:left="960" w:top="895" w:right="6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color w:val="auto"/>
        </w:rPr>
        <w:t>IN WITNESS WHEREOF, the parties hereto have hereunto caused this Agreement and Plan of Merger to be duly executed as of the date hereof.</w:t>
      </w:r>
    </w:p>
    <w:p>
      <w:pPr>
        <w:spacing w:after="0" w:line="2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200" w:lineRule="exact"/>
        <w:rPr>
          <w:sz w:val="20"/>
          <w:szCs w:val="20"/>
          <w:color w:val="auto"/>
        </w:rPr>
      </w:pPr>
    </w:p>
    <w:p>
      <w:pPr>
        <w:spacing w:after="0" w:line="237" w:lineRule="exact"/>
        <w:rPr>
          <w:sz w:val="20"/>
          <w:szCs w:val="20"/>
          <w:color w:val="auto"/>
        </w:rPr>
      </w:pPr>
    </w:p>
    <w:p>
      <w:pPr>
        <w:ind w:left="5100"/>
        <w:spacing w:after="0"/>
        <w:tabs>
          <w:tab w:leader="none" w:pos="5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15875</wp:posOffset>
            </wp:positionV>
            <wp:extent cx="31349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spacing w:after="0" w:line="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Mary Szela</w:t>
      </w:r>
    </w:p>
    <w:p>
      <w:pPr>
        <w:spacing w:after="0" w:line="20" w:lineRule="exact"/>
        <w:rPr>
          <w:sz w:val="20"/>
          <w:szCs w:val="20"/>
          <w:color w:val="auto"/>
        </w:rPr>
      </w:pPr>
    </w:p>
    <w:p>
      <w:pPr>
        <w:ind w:left="5100"/>
        <w:spacing w:after="0"/>
        <w:tabs>
          <w:tab w:leader="none" w:pos="5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and President, TriSalus Life Sciences</w:t>
      </w:r>
    </w:p>
    <w:p>
      <w:pPr>
        <w:spacing w:after="0" w:line="1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440690</wp:posOffset>
            </wp:positionV>
            <wp:extent cx="7134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300"/>
          </w:cols>
          <w:pgMar w:left="960" w:top="895" w:right="6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SPONSOR SUPPORT AGREEMENT</w:t>
      </w:r>
    </w:p>
    <w:p>
      <w:pPr>
        <w:spacing w:after="0" w:line="224" w:lineRule="exact"/>
        <w:rPr>
          <w:sz w:val="20"/>
          <w:szCs w:val="20"/>
          <w:color w:val="auto"/>
        </w:rPr>
      </w:pPr>
    </w:p>
    <w:p>
      <w:pPr>
        <w:ind w:right="20" w:firstLine="640"/>
        <w:spacing w:after="0" w:line="284" w:lineRule="auto"/>
        <w:rPr>
          <w:sz w:val="20"/>
          <w:szCs w:val="20"/>
          <w:color w:val="auto"/>
        </w:rPr>
      </w:pPr>
      <w:r>
        <w:rPr>
          <w:rFonts w:ascii="Times New Roman" w:cs="Times New Roman" w:eastAsia="Times New Roman" w:hAnsi="Times New Roman"/>
          <w:sz w:val="17"/>
          <w:szCs w:val="17"/>
          <w:color w:val="auto"/>
        </w:rPr>
        <w:t>This SPONSOR SUPPORT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November 11, 2022, is entered into by and among MedTech Acquisition Sponsor LLC, a Delaware limited liability company (the “</w:t>
      </w:r>
      <w:r>
        <w:rPr>
          <w:rFonts w:ascii="Times New Roman" w:cs="Times New Roman" w:eastAsia="Times New Roman" w:hAnsi="Times New Roman"/>
          <w:sz w:val="17"/>
          <w:szCs w:val="17"/>
          <w:u w:val="single" w:color="auto"/>
          <w:color w:val="auto"/>
        </w:rPr>
        <w:t>Sponsor</w:t>
      </w:r>
      <w:r>
        <w:rPr>
          <w:rFonts w:ascii="Times New Roman" w:cs="Times New Roman" w:eastAsia="Times New Roman" w:hAnsi="Times New Roman"/>
          <w:sz w:val="17"/>
          <w:szCs w:val="17"/>
          <w:color w:val="auto"/>
        </w:rPr>
        <w:t>”), MedTech Acquisition Corporation, a Delaware corporation (“</w:t>
      </w:r>
      <w:r>
        <w:rPr>
          <w:rFonts w:ascii="Times New Roman" w:cs="Times New Roman" w:eastAsia="Times New Roman" w:hAnsi="Times New Roman"/>
          <w:sz w:val="17"/>
          <w:szCs w:val="17"/>
          <w:u w:val="single" w:color="auto"/>
          <w:color w:val="auto"/>
        </w:rPr>
        <w:t>Acquiror</w:t>
      </w:r>
      <w:r>
        <w:rPr>
          <w:rFonts w:ascii="Times New Roman" w:cs="Times New Roman" w:eastAsia="Times New Roman" w:hAnsi="Times New Roman"/>
          <w:sz w:val="17"/>
          <w:szCs w:val="17"/>
          <w:color w:val="auto"/>
        </w:rPr>
        <w:t>”) and TriSalus Life Sciences,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together with Acquiror and the Sponsor, each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4" w:lineRule="exact"/>
        <w:rPr>
          <w:sz w:val="20"/>
          <w:szCs w:val="20"/>
          <w:color w:val="auto"/>
        </w:rPr>
      </w:pPr>
    </w:p>
    <w:p>
      <w:pPr>
        <w:ind w:right="100" w:firstLine="640"/>
        <w:spacing w:after="0" w:line="257" w:lineRule="auto"/>
        <w:rPr>
          <w:sz w:val="20"/>
          <w:szCs w:val="20"/>
          <w:color w:val="auto"/>
        </w:rPr>
      </w:pPr>
      <w:r>
        <w:rPr>
          <w:rFonts w:ascii="Times New Roman" w:cs="Times New Roman" w:eastAsia="Times New Roman" w:hAnsi="Times New Roman"/>
          <w:sz w:val="18"/>
          <w:szCs w:val="18"/>
          <w:color w:val="auto"/>
        </w:rPr>
        <w:t>WHEREAS, the Company, Acquiror and MTAC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the Agreement and Plan of Merger, dated as of November 11, 2022 (as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which provides for the merger of Merger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wholly-owned subsidiary of Acquiror;</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WHEREAS, capitalized terms used but not otherwise defined in this Agreement shall have the meaning ascribed to them in the Merger Agreement;</w:t>
      </w:r>
    </w:p>
    <w:p>
      <w:pPr>
        <w:spacing w:after="0" w:line="231" w:lineRule="exact"/>
        <w:rPr>
          <w:sz w:val="20"/>
          <w:szCs w:val="20"/>
          <w:color w:val="auto"/>
        </w:rPr>
      </w:pPr>
    </w:p>
    <w:p>
      <w:pPr>
        <w:ind w:right="100" w:firstLine="640"/>
        <w:spacing w:after="0" w:line="262" w:lineRule="auto"/>
        <w:rPr>
          <w:sz w:val="20"/>
          <w:szCs w:val="20"/>
          <w:color w:val="auto"/>
        </w:rPr>
      </w:pPr>
      <w:r>
        <w:rPr>
          <w:rFonts w:ascii="Times New Roman" w:cs="Times New Roman" w:eastAsia="Times New Roman" w:hAnsi="Times New Roman"/>
          <w:sz w:val="18"/>
          <w:szCs w:val="18"/>
          <w:color w:val="auto"/>
        </w:rPr>
        <w:t>WHEREAS, as of the date of this Agreement, the Sponsor is the record holder and the “beneficial owner” (within the meaning of Rule 13d-3 promulgated under the Exchange Act) of (i) 6,250,000 shares of Acquiror Class B Common Stock (the “</w:t>
      </w:r>
      <w:r>
        <w:rPr>
          <w:rFonts w:ascii="Times New Roman" w:cs="Times New Roman" w:eastAsia="Times New Roman" w:hAnsi="Times New Roman"/>
          <w:sz w:val="18"/>
          <w:szCs w:val="18"/>
          <w:u w:val="single" w:color="auto"/>
          <w:color w:val="auto"/>
        </w:rPr>
        <w:t>Sponsor Shares</w:t>
      </w:r>
      <w:r>
        <w:rPr>
          <w:rFonts w:ascii="Times New Roman" w:cs="Times New Roman" w:eastAsia="Times New Roman" w:hAnsi="Times New Roman"/>
          <w:sz w:val="18"/>
          <w:szCs w:val="18"/>
          <w:color w:val="auto"/>
        </w:rPr>
        <w:t>”) and (ii) 4,933,333 warrants issued in a private placement simultaneously with the closing of the Acquiror’s initial public offering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firstLine="640"/>
        <w:spacing w:after="0" w:line="277" w:lineRule="auto"/>
        <w:rPr>
          <w:sz w:val="20"/>
          <w:szCs w:val="20"/>
          <w:color w:val="auto"/>
        </w:rPr>
      </w:pPr>
      <w:r>
        <w:rPr>
          <w:rFonts w:ascii="Times New Roman" w:cs="Times New Roman" w:eastAsia="Times New Roman" w:hAnsi="Times New Roman"/>
          <w:sz w:val="18"/>
          <w:szCs w:val="18"/>
          <w:color w:val="auto"/>
        </w:rPr>
        <w:t>WHEREAS, as a condition and inducement to the Company’s willingness to enter into the Merger Agreement and to consummate the transactions contemplated therein, the Parties desire to agree to certain matters as set forth herein.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NOW, THEREFORE, in consideration of the foregoing premises and the representations, warranties, covenants and agreements set forth in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Parties agree as follows: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TRANSFER OF SHARES; OTHER COVENANTS</w:t>
      </w:r>
    </w:p>
    <w:p>
      <w:pPr>
        <w:spacing w:after="0" w:line="224" w:lineRule="exact"/>
        <w:rPr>
          <w:sz w:val="20"/>
          <w:szCs w:val="20"/>
          <w:color w:val="auto"/>
        </w:rPr>
      </w:pPr>
    </w:p>
    <w:p>
      <w:pPr>
        <w:ind w:right="460" w:firstLine="640"/>
        <w:spacing w:after="0" w:line="257"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Binding Effect of Merger Agreement</w:t>
      </w:r>
      <w:r>
        <w:rPr>
          <w:rFonts w:ascii="Times New Roman" w:cs="Times New Roman" w:eastAsia="Times New Roman" w:hAnsi="Times New Roman"/>
          <w:sz w:val="18"/>
          <w:szCs w:val="18"/>
          <w:color w:val="auto"/>
        </w:rPr>
        <w:t>. The Sponsor hereby acknowledges that it has read the Merger Agreement and this Agreement and has had the opportunity to consult with its tax and legal advisors. The Sponsor shall be bound by and comply with Sections 9.04 (‘Exclusivity’), 9.07 (‘Confidentiality; Publicity’) and 9.08 (‘Cooperation; Further Assurances’) of the Merger Agreement (and any relevant definitions contained in any such Sections) as if the Sponsor was an original signatory to the Merger Agreement with respect to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134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107" w:name="page108"/>
    <w:bookmarkEnd w:id="107"/>
    <w:p>
      <w:pPr>
        <w:ind w:left="60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u w:val="single" w:color="auto"/>
          <w:color w:val="auto"/>
        </w:rPr>
        <w:t>Voting; Waiver of Anti-Dilution Protection</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40" w:right="80" w:firstLine="647"/>
        <w:spacing w:after="0" w:line="251" w:lineRule="auto"/>
        <w:tabs>
          <w:tab w:leader="none" w:pos="13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Sponsor irrevocably and unconditionally agrees, during the period beginning on the date of this Agreement and ending on the earlier of (i) the Closing or (ii) the valid termination of this Agreement in accordance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at each meeting of the stockholders of Acquiror (whether annual or special, however called, a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and at each adjournment or postponement thereof, and in any other circumstance in which the vote, consent or other approval of the stockholders of Acquiror is sought (a “</w:t>
      </w:r>
      <w:r>
        <w:rPr>
          <w:rFonts w:ascii="Times New Roman" w:cs="Times New Roman" w:eastAsia="Times New Roman" w:hAnsi="Times New Roman"/>
          <w:sz w:val="18"/>
          <w:szCs w:val="18"/>
          <w:u w:val="single" w:color="auto"/>
          <w:color w:val="auto"/>
        </w:rPr>
        <w:t>Consent Solicitation</w:t>
      </w:r>
      <w:r>
        <w:rPr>
          <w:rFonts w:ascii="Times New Roman" w:cs="Times New Roman" w:eastAsia="Times New Roman" w:hAnsi="Times New Roman"/>
          <w:sz w:val="18"/>
          <w:szCs w:val="18"/>
          <w:color w:val="auto"/>
        </w:rPr>
        <w:t>”), to cause to be present in person or represented by proxy and to vote or cause to be voted (or validly execute and deliver and take all other action necessary to grant legally effective express consent or dissent in writing, as applicable) all of its Sponsor Shares and any New Securities that are owned as of the applicable record date by the Sponsor (or validly execute and deliver and take all other action necessary to grant legally effective express consent or dissent in writing, as applicable), in each case as follows:</w:t>
      </w:r>
    </w:p>
    <w:p>
      <w:pPr>
        <w:spacing w:after="0" w:line="189" w:lineRule="exact"/>
        <w:rPr>
          <w:rFonts w:ascii="Times New Roman" w:cs="Times New Roman" w:eastAsia="Times New Roman" w:hAnsi="Times New Roman"/>
          <w:sz w:val="18"/>
          <w:szCs w:val="18"/>
          <w:color w:val="auto"/>
        </w:rPr>
      </w:pPr>
    </w:p>
    <w:p>
      <w:pPr>
        <w:ind w:left="-40" w:right="480" w:firstLine="1288"/>
        <w:spacing w:after="0" w:line="277" w:lineRule="auto"/>
        <w:tabs>
          <w:tab w:leader="none" w:pos="194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each of the Acquiror Stockholder Matters and any other matters necessary for consummation of the transactions contemplated by the Merger Agreement, including the Merger;</w:t>
      </w:r>
    </w:p>
    <w:p>
      <w:pPr>
        <w:spacing w:after="0" w:line="162" w:lineRule="exact"/>
        <w:rPr>
          <w:rFonts w:ascii="Times New Roman" w:cs="Times New Roman" w:eastAsia="Times New Roman" w:hAnsi="Times New Roman"/>
          <w:sz w:val="18"/>
          <w:szCs w:val="18"/>
          <w:color w:val="auto"/>
        </w:rPr>
      </w:pPr>
    </w:p>
    <w:p>
      <w:pPr>
        <w:ind w:left="-40" w:right="100" w:firstLine="1288"/>
        <w:spacing w:after="0" w:line="262" w:lineRule="auto"/>
        <w:tabs>
          <w:tab w:leader="none" w:pos="199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proposal (i) providing for a Business Combination Proposal, (ii) any action that is likely to result in a breach of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of the Merger Agreement or (iii) the adoption of any agreement to enter into a Business Combination Proposal, in each case, other than with the Company pursuant to the Merger Agreement;</w:t>
      </w:r>
    </w:p>
    <w:p>
      <w:pPr>
        <w:spacing w:after="0" w:line="176" w:lineRule="exact"/>
        <w:rPr>
          <w:rFonts w:ascii="Times New Roman" w:cs="Times New Roman" w:eastAsia="Times New Roman" w:hAnsi="Times New Roman"/>
          <w:sz w:val="18"/>
          <w:szCs w:val="18"/>
          <w:color w:val="auto"/>
        </w:rPr>
      </w:pPr>
    </w:p>
    <w:p>
      <w:pPr>
        <w:jc w:val="both"/>
        <w:ind w:left="-40" w:firstLine="1288"/>
        <w:spacing w:after="0" w:line="262" w:lineRule="auto"/>
        <w:tabs>
          <w:tab w:leader="none" w:pos="204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merger agreement or merger (other than the Merger Agreement and the Merger), consolidation, combination, sale of substantial assets, reorganization, recapitalization, issuance of Acquiror Common Stock (other than pursuant to the PIPE Investment), dissolution, liquidation or winding up of or by Acquiror;</w:t>
      </w:r>
    </w:p>
    <w:p>
      <w:pPr>
        <w:spacing w:after="0" w:line="176" w:lineRule="exact"/>
        <w:rPr>
          <w:rFonts w:ascii="Times New Roman" w:cs="Times New Roman" w:eastAsia="Times New Roman" w:hAnsi="Times New Roman"/>
          <w:sz w:val="18"/>
          <w:szCs w:val="18"/>
          <w:color w:val="auto"/>
        </w:rPr>
      </w:pPr>
    </w:p>
    <w:p>
      <w:pPr>
        <w:ind w:left="-40" w:right="160" w:firstLine="1288"/>
        <w:spacing w:after="0" w:line="277" w:lineRule="auto"/>
        <w:tabs>
          <w:tab w:leader="none" w:pos="203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that would result in the change in the business, management or board of directors of Acquiror (other than in connection with the Acquiror Stockholder Matters); and</w:t>
      </w:r>
    </w:p>
    <w:p>
      <w:pPr>
        <w:spacing w:after="0" w:line="162" w:lineRule="exact"/>
        <w:rPr>
          <w:rFonts w:ascii="Times New Roman" w:cs="Times New Roman" w:eastAsia="Times New Roman" w:hAnsi="Times New Roman"/>
          <w:sz w:val="18"/>
          <w:szCs w:val="18"/>
          <w:color w:val="auto"/>
        </w:rPr>
      </w:pPr>
    </w:p>
    <w:p>
      <w:pPr>
        <w:ind w:left="-40" w:right="80" w:firstLine="1288"/>
        <w:spacing w:after="0" w:line="254" w:lineRule="auto"/>
        <w:tabs>
          <w:tab w:leader="none" w:pos="198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transaction or agreement that would reasonably be expected to (A) result in a breach of any representation or warranty or covenant of Acquiror or the Merger Sub under the Merger Agreement or this Agreement; (B) prevent, delay or impair (i) any of the Acquiror Stockholder Matters or (ii) consummation of the Transactions in any material respect; (C) result in any of the conditions set forth in Article X of the Merger Agreement not being fulfilled; or (D) change in any manner the dividend policy or capitalization of, including the voting rights of any class of capital stock of, Acquiror.</w:t>
      </w:r>
    </w:p>
    <w:p>
      <w:pPr>
        <w:spacing w:after="0" w:line="185" w:lineRule="exact"/>
        <w:rPr>
          <w:rFonts w:ascii="Times New Roman" w:cs="Times New Roman" w:eastAsia="Times New Roman" w:hAnsi="Times New Roman"/>
          <w:sz w:val="18"/>
          <w:szCs w:val="18"/>
          <w:color w:val="auto"/>
        </w:rPr>
      </w:pPr>
    </w:p>
    <w:p>
      <w:pPr>
        <w:ind w:left="-40" w:right="100" w:firstLine="647"/>
        <w:spacing w:after="0" w:line="254" w:lineRule="auto"/>
        <w:tabs>
          <w:tab w:leader="none" w:pos="134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vote required to be cast or consent or dissent in writing required to be expressed pursuant to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shall be cast or expressed in accordance with the applicable procedures relating thereto so as to ensure that it is duly counted for purposes of determining that a quorum is present (if applicable) and for purposes of recording the results of that vote or Consent Solicitation. For the avoidance of doubt, nothing contained herein requires the Sponsor (or entitles any proxy of the Sponsor) to convert, exercise or exchange any options, warrants or convertible securities in order to obtain any underlying shares of Acquiror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15875</wp:posOffset>
            </wp:positionV>
            <wp:extent cx="7134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sectPr>
      </w:pPr>
    </w:p>
    <w:bookmarkStart w:id="108" w:name="page109"/>
    <w:bookmarkEnd w:id="108"/>
    <w:p>
      <w:pPr>
        <w:ind w:left="-7" w:right="400" w:firstLine="647"/>
        <w:spacing w:after="0" w:line="262" w:lineRule="auto"/>
        <w:tabs>
          <w:tab w:leader="none" w:pos="13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Sponsor specified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will apply whether or not any of the Acquiror Stockholder Matters is recommended by the board of directors of Acquiror and whether or not the board of directors of Acquiror previously recommended any of the Acquiror Stockholder Matters but later changed such recommendation.</w:t>
      </w:r>
    </w:p>
    <w:p>
      <w:pPr>
        <w:spacing w:after="0" w:line="176" w:lineRule="exact"/>
        <w:rPr>
          <w:rFonts w:ascii="Times New Roman" w:cs="Times New Roman" w:eastAsia="Times New Roman" w:hAnsi="Times New Roman"/>
          <w:sz w:val="18"/>
          <w:szCs w:val="18"/>
          <w:color w:val="auto"/>
        </w:rPr>
      </w:pPr>
    </w:p>
    <w:p>
      <w:pPr>
        <w:jc w:val="both"/>
        <w:ind w:left="-7" w:right="260" w:firstLine="647"/>
        <w:spacing w:after="0" w:line="257" w:lineRule="auto"/>
        <w:tabs>
          <w:tab w:leader="none" w:pos="13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Sponsor agrees not to enter into any commitment, agreement, understanding or similar arrangement with any Person (i) to vote or give voting instructions or express consent or dissent in writing in any manner inconsistent with the terms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(ii) that would make any representation or warranty or obligation of Sponsor contained herein untrue or incorrect in any respect or have the effect of preventing Sponsor from performing its obligations hereunder.</w:t>
      </w:r>
    </w:p>
    <w:p>
      <w:pPr>
        <w:spacing w:after="0" w:line="181" w:lineRule="exact"/>
        <w:rPr>
          <w:sz w:val="20"/>
          <w:szCs w:val="20"/>
          <w:color w:val="auto"/>
        </w:rPr>
      </w:pPr>
    </w:p>
    <w:p>
      <w:pPr>
        <w:ind w:left="-7" w:firstLine="647"/>
        <w:spacing w:after="0" w:line="265" w:lineRule="auto"/>
        <w:tabs>
          <w:tab w:leader="none" w:pos="1374"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shall comply with, and fully perform all of its obligations, covenants and agreements set forth in, that certain Letter Agreement, dated as of December 17, 2020, by and among the Sponsor, Acquiror and other parties thereto (the “</w:t>
      </w:r>
      <w:r>
        <w:rPr>
          <w:rFonts w:ascii="Times New Roman" w:cs="Times New Roman" w:eastAsia="Times New Roman" w:hAnsi="Times New Roman"/>
          <w:sz w:val="17"/>
          <w:szCs w:val="17"/>
          <w:u w:val="single" w:color="auto"/>
          <w:color w:val="auto"/>
        </w:rPr>
        <w:t>Letter Agreement</w:t>
      </w:r>
      <w:r>
        <w:rPr>
          <w:rFonts w:ascii="Times New Roman" w:cs="Times New Roman" w:eastAsia="Times New Roman" w:hAnsi="Times New Roman"/>
          <w:sz w:val="17"/>
          <w:szCs w:val="17"/>
          <w:color w:val="auto"/>
        </w:rPr>
        <w:t>”), including (but not limited to): (i) the obligations of the Sponsor pursuant to Section 1 therein to not redeem any shares of Acquiror Common Stock owned by the Sponsor, including its Sponsor Shares and any New Securities owned by it at any time, including in connection with (A) the transactions contemplated by the Merger Agreement or (B) any Extension and (ii) the obligations of Sponsor pursuant to Section 7 therein to not Transfer (as defined therein), except as otherwise permitted therein, (A) any Founder Shares (or shares of Common Stock issuable upon conversion thereof) until the earlier of (1) one year after the Closing or</w:t>
      </w:r>
    </w:p>
    <w:p>
      <w:pPr>
        <w:spacing w:after="0" w:line="4" w:lineRule="exact"/>
        <w:rPr>
          <w:rFonts w:ascii="Times New Roman" w:cs="Times New Roman" w:eastAsia="Times New Roman" w:hAnsi="Times New Roman"/>
          <w:sz w:val="17"/>
          <w:szCs w:val="17"/>
          <w:color w:val="auto"/>
        </w:rPr>
      </w:pPr>
    </w:p>
    <w:p>
      <w:pPr>
        <w:ind w:left="253" w:hanging="253"/>
        <w:spacing w:after="0"/>
        <w:tabs>
          <w:tab w:leader="none" w:pos="25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early-release provisions described in Section 7(a) therein and (B) any Private Placement Warrants until 30 days after the Closing.</w:t>
      </w:r>
    </w:p>
    <w:p>
      <w:pPr>
        <w:spacing w:after="0" w:line="200" w:lineRule="exact"/>
        <w:rPr>
          <w:rFonts w:ascii="Times New Roman" w:cs="Times New Roman" w:eastAsia="Times New Roman" w:hAnsi="Times New Roman"/>
          <w:sz w:val="18"/>
          <w:szCs w:val="18"/>
          <w:color w:val="auto"/>
        </w:rPr>
      </w:pPr>
    </w:p>
    <w:p>
      <w:pPr>
        <w:ind w:left="-7" w:right="20" w:firstLine="647"/>
        <w:spacing w:after="0" w:line="250" w:lineRule="auto"/>
        <w:tabs>
          <w:tab w:leader="none" w:pos="13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conditioned upon the occurrence of and effective as of immediately prior to the Closing, the Sponsor (i) hereby irrevocably waives (for itself and for its successors and assigns), to the fullest extent permitted by law and the organizational documents of the Acquiror Parties, those certain anti-dilution protection provisions contained in Section 4.3(b)(ii) of the Acquiror Certificate of Incorporation, (ii) agrees to provide its consent, as the sole holder of Acquiror Class B Common Stock, to amend, alter or repeal Section 4.3(b)(ii) of the Acquiror Certificate of Incorporation to waive such anti-dilution protection provisions in accordance with Section 4.3(b)(iii) of the Acquiror Certificate of Incorporation, (iii) agrees not to assert or perfect, any other right to adjustment or other anti-dilution protections with respect to the conversion of its Sponsor Shares into shares of Class A Common Stock in connection with the transactions contemplated by the Merger Agreement and (iv) immediately prior to Closing, agrees to convert its Sponsor Shares into shares of Acquiror Class A Common Stock on a one-for-one basis. Sponsor acknowledges and agrees that in no event shall Sponsor convert its Sponsor Shares into shares of Class A Common Stock at a ratio of greater than one-for-one and agrees to take any and all actions necessary to carry out the intent of this </w:t>
      </w:r>
      <w:r>
        <w:rPr>
          <w:rFonts w:ascii="Times New Roman" w:cs="Times New Roman" w:eastAsia="Times New Roman" w:hAnsi="Times New Roman"/>
          <w:sz w:val="18"/>
          <w:szCs w:val="18"/>
          <w:u w:val="single" w:color="auto"/>
          <w:color w:val="auto"/>
        </w:rPr>
        <w:t>Section 1.02(f)</w:t>
      </w:r>
      <w:r>
        <w:rPr>
          <w:rFonts w:ascii="Times New Roman" w:cs="Times New Roman" w:eastAsia="Times New Roman" w:hAnsi="Times New Roman"/>
          <w:sz w:val="18"/>
          <w:szCs w:val="18"/>
          <w:color w:val="auto"/>
        </w:rPr>
        <w:t xml:space="preserve">. The waiver specified in this </w:t>
      </w:r>
      <w:r>
        <w:rPr>
          <w:rFonts w:ascii="Times New Roman" w:cs="Times New Roman" w:eastAsia="Times New Roman" w:hAnsi="Times New Roman"/>
          <w:sz w:val="18"/>
          <w:szCs w:val="18"/>
          <w:u w:val="single" w:color="auto"/>
          <w:color w:val="auto"/>
        </w:rPr>
        <w:t>Section 1.02(f)</w:t>
      </w:r>
      <w:r>
        <w:rPr>
          <w:rFonts w:ascii="Times New Roman" w:cs="Times New Roman" w:eastAsia="Times New Roman" w:hAnsi="Times New Roman"/>
          <w:sz w:val="18"/>
          <w:szCs w:val="18"/>
          <w:color w:val="auto"/>
        </w:rPr>
        <w:t xml:space="preserve"> shall be effective contingent upon the Closing and shall be void and of no further force and effect if this Agreement is validly terminated in accordance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93"/>
          </w:cols>
          <w:pgMar w:left="327" w:top="895" w:right="379" w:bottom="1440" w:gutter="0" w:footer="0" w:header="0"/>
        </w:sectPr>
      </w:pPr>
    </w:p>
    <w:bookmarkStart w:id="109" w:name="page110"/>
    <w:bookmarkEnd w:id="109"/>
    <w:p>
      <w:pPr>
        <w:ind w:firstLine="640"/>
        <w:spacing w:after="0" w:line="263" w:lineRule="auto"/>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No Transfers</w:t>
      </w:r>
      <w:r>
        <w:rPr>
          <w:rFonts w:ascii="Times New Roman" w:cs="Times New Roman" w:eastAsia="Times New Roman" w:hAnsi="Times New Roman"/>
          <w:sz w:val="17"/>
          <w:szCs w:val="17"/>
          <w:color w:val="auto"/>
        </w:rPr>
        <w:t>. During the Applicable Period and, in the case of Sponsor Earnout Shares, for so long as such Sponsor Earnout Shares are subject to vesting in accordance with Section 1.12, the Sponsor shall not, directly or indirectly: (a) sell, convey, assign, transfer (including by succession or otherwise by operation of Law), file or participate in the filing of a registration statement with the SEC, exchange, pledge, hypothecate or otherwise encumber or dispose of any of its Sponsor Shares, Sponsor Earnout Shares, New Securities or Warrants (or any right, title or interest therein) or any rights to acquire any securities or equity interests of Acquiror; (b) deposit any shares of its Sponsor Shares, Sponsor Earnout Shares, New Securities or Warrants or any rights to acquire any securities or equity interests of Acquiror into a voting trust or enter into a voting agreement or any other arrangement with respect to such securities or any rights to acquire any securities or equity interests of Acquiror or grant or purport to grant any proxy or power of attorney with respect thereto; (c) enter into any contract, option, call or other arrangement or undertaking, whether or not in writing, with respect to the sale, conveyance, assignment, transfer (including by succession or otherwise by operation of Law), exchange, pledge, hypothecation or other encumbrance or disposition, or limitation on the voting rights, of any of its Sponsor Shares, Sponsor Earnout Shares, New Securities or Warrants (or any right, title or interest therein) or any rights to acquire any securities or equity interests of Acquiror; (d) otherwise grant, permit or suffer the creation of any Encumbrances on any shares of its Sponsor Shares, Sponsor Earnout Shares, New Securities or Warrants (other than applicable restrictions on transfer under U.S. state or federal securities or “blue sky” Laws) or (e) commit or agree to take any of the foregoing actions or discuss, negotiate, publicly announce or make an offer to enter into a commitment, agreement, understanding or similar agreement to take any of the foregoing actions (any action described in clauses (a), (b), (c), (d) and (e), a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shall not prohibit (i) Transfers between the Sponsor and any Affiliate of the Sponsor so long as, prior to and as a condition to the effectiveness of any such Transfer, (A) Sponsor provides Acquiror and the Company with written notice prior to such Transfer and</w:t>
      </w:r>
    </w:p>
    <w:p>
      <w:pPr>
        <w:spacing w:after="0" w:line="7" w:lineRule="exact"/>
        <w:rPr>
          <w:sz w:val="20"/>
          <w:szCs w:val="20"/>
          <w:color w:val="auto"/>
        </w:rPr>
      </w:pPr>
    </w:p>
    <w:p>
      <w:pPr>
        <w:ind w:right="80" w:firstLine="7"/>
        <w:spacing w:after="0" w:line="248" w:lineRule="auto"/>
        <w:tabs>
          <w:tab w:leader="none" w:pos="28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Affiliate or transferee executes and delivers to Acquiror and the Company a joinder to this Agreement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(ii) any Transfer by Sponsor in connection with any arrangement in connection with any forward purchase agreement, backstop agreement or similar arrangement in connection with the consummation of the Merger (as well as any commitment, agreement or understanding to Transfer such shares or Warrants (and the Transfer of such shares or Warrants) at the Closing in satisfaction of any Transaction Expenses of the Company that are to be paid by Sponsor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of this Agreement), so long as, prior to and as a condition to the effectiveness of any such Transfer or commitment, agreement or understanding to Transfer, such transferee executes and delivers to Acquiror and the Company a joinder to this Agreement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Any Transfer or action in violation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If any involuntary Transfer of any shares of Sponsor Shares, Sponsor Earnout Shares, New Securities or Warrants occurs, the transferee (and all transferees and subsequent transferees of such transferee) shall take and hold such shares of such Sponsor Shares, Sponsor Earnout Shares, New Securities or Warrants subject to all of the restrictions, liabilities and rights under this Agreement, which shall continue in full force and effect during the Applicable Period or in the case of Sponsor Earnout Shares, for so long as Sponsor Earnout Shares are subject to vesting in accordance with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80" w:firstLine="640"/>
        <w:spacing w:after="0" w:line="257"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Stop Transfer</w:t>
      </w:r>
      <w:r>
        <w:rPr>
          <w:rFonts w:ascii="Times New Roman" w:cs="Times New Roman" w:eastAsia="Times New Roman" w:hAnsi="Times New Roman"/>
          <w:sz w:val="18"/>
          <w:szCs w:val="18"/>
          <w:color w:val="auto"/>
        </w:rPr>
        <w:t xml:space="preserve">. The Sponsor shall not request that Acquiror register any transfer of any Certificate or other uncertificated interest representing any shares of its Sponsor Shares, Sponsor Earnout Shares, New Shares or Warrants made in violation of the restrictions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during the Applicable Period or in the case of Sponsor Earnout Shares, during the period which such Sponsor Earnout Shares are subject to vesting in accordance with Section 1.12.</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0" w:name="page111"/>
    <w:bookmarkEnd w:id="110"/>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The Sponsor hereby agrees not to (a) assert, exercise or perfect, directly or indirectly, and irrevocably and unconditionally waives, any appraisal rights (including under Section 262 of the DGCL) with respect to the Merger and any rights to dissent with respect to the Merger (collectively,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or (b) commence or participate in any claim, derivative or otherwise, against Acquiror, the board of directors of Acquiror or Acquiror’s management, the Company, the Board of Directors of the Company or the Company’s management, relating to the negotiation, execution or delivery of this Agreement or the Merger Agreement or the consummation of the Transactions, including any claim (i) challenging the validity of, or seeking to enjoin the operation of, any provision of this Agreement or the Merger Agreement, or challenging the validity of, or seeking to enjoin any of the Transactions, or (ii) alleging a breach of any fiduciary duty or any self-dealing of the board of directors of Acquiror in connection with this Agreement, the Merger Agreement or the Transactions.</w:t>
      </w:r>
    </w:p>
    <w:p>
      <w:pPr>
        <w:spacing w:after="0" w:line="190" w:lineRule="exact"/>
        <w:rPr>
          <w:sz w:val="20"/>
          <w:szCs w:val="20"/>
          <w:color w:val="auto"/>
        </w:rPr>
      </w:pPr>
    </w:p>
    <w:p>
      <w:pPr>
        <w:ind w:right="8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 Agreement as Director or Officer</w:t>
      </w:r>
      <w:r>
        <w:rPr>
          <w:rFonts w:ascii="Times New Roman" w:cs="Times New Roman" w:eastAsia="Times New Roman" w:hAnsi="Times New Roman"/>
          <w:sz w:val="18"/>
          <w:szCs w:val="18"/>
          <w:color w:val="auto"/>
        </w:rPr>
        <w:t>. The Sponsor is entering into this Agreement solely in the Sponsor’s capacity as record or beneficial owner of shares of Acquiror Common Stock and Warrants, and nothing herein is intended to or shall limit or affect any actions taken by any employee, officer, director (or person performing similar functions), partner or other Affiliate (including, for this purpose, any appointee or representative of the Sponsor to the board of directors of Acquiror) of the Sponsor, solely in his or her capacity as a director or officer of Acquiror (or a Subsidiary of Acquiror).</w:t>
      </w:r>
    </w:p>
    <w:p>
      <w:pPr>
        <w:spacing w:after="0" w:line="186"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1.07.</w:t>
      </w:r>
      <w:r>
        <w:rPr>
          <w:sz w:val="20"/>
          <w:szCs w:val="20"/>
          <w:color w:val="auto"/>
        </w:rPr>
        <w:tab/>
      </w:r>
      <w:r>
        <w:rPr>
          <w:rFonts w:ascii="Times New Roman" w:cs="Times New Roman" w:eastAsia="Times New Roman" w:hAnsi="Times New Roman"/>
          <w:sz w:val="17"/>
          <w:szCs w:val="17"/>
          <w:u w:val="single" w:color="auto"/>
          <w:color w:val="auto"/>
        </w:rPr>
        <w:t>New Securities</w:t>
      </w:r>
      <w:r>
        <w:rPr>
          <w:rFonts w:ascii="Times New Roman" w:cs="Times New Roman" w:eastAsia="Times New Roman" w:hAnsi="Times New Roman"/>
          <w:sz w:val="17"/>
          <w:szCs w:val="17"/>
          <w:color w:val="auto"/>
        </w:rPr>
        <w:t>. In the event that (a) any shares of Acquiror Preferred Stock, Acquiror Common Stock, Warrants or other equity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of Acquiror are issued to the Sponsor after the date of this Agreement pursuant to any stock dividend, stock split, recapitalization, reclassification,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combination or exchange of shares of Acquiror Common Stock or Warrants of, on or affecting the shares of Acquiror Common Stock or Warrants owned by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Sponsor or otherwise, (b) the Sponsor purchases or otherwise acquires beneficial ownership of any shares of Acquiror Preferred Stock, Acquiror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Warrants or other equity securities of Acquiror after the date of this Agreement, including warrants exercisable for shares of Acquiror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 that the Sponsor may receive upon conversion of the Convertible Sponsor Note, or (c) the Sponsor acquires the right to vote or share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voting of any shares of Acquiror Preferred Stock, Acquiror Common Stock or other equity securities of Acquiror after the date of this Agreement (such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Acquiror Preferred Stock, Acquiror Common Stock, Warrants or other equity securities of Acquiror, described collectively in the foregoing clauses</w:t>
      </w:r>
    </w:p>
    <w:p>
      <w:pPr>
        <w:spacing w:after="0" w:line="18" w:lineRule="exact"/>
        <w:rPr>
          <w:sz w:val="20"/>
          <w:szCs w:val="20"/>
          <w:color w:val="auto"/>
        </w:rPr>
      </w:pPr>
    </w:p>
    <w:p>
      <w:pPr>
        <w:ind w:right="440" w:firstLine="7"/>
        <w:spacing w:after="0" w:line="255" w:lineRule="auto"/>
        <w:tabs>
          <w:tab w:leader="none" w:pos="24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 the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then such New Securities issued to, or acquired or purchased by, the Sponsor shall be subject to the terms of this Agreement to the same extent as if they constituted the Sponsor Shares or Warrants owned by the Sponsor as of the date hereof.</w:t>
      </w:r>
    </w:p>
    <w:p>
      <w:pPr>
        <w:spacing w:after="0" w:line="182" w:lineRule="exact"/>
        <w:rPr>
          <w:sz w:val="20"/>
          <w:szCs w:val="20"/>
          <w:color w:val="auto"/>
        </w:rPr>
      </w:pPr>
    </w:p>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 Sponsor hereby agrees not to commence, maintain or participate in, or facilitate, assist or encourage, and agrees to take all actions necessary to opt out of any class in any class action with respect to, any claim, derivative or otherwise, suit, proceeding or cause of action, in law or in equity, in any court or before any Governmental Authority against the Company, the Company’s Affiliates, Acquiror or any of their respective successors and assigns (a) challenging the validity of, or seeking to enjoin or delay the operation of, any provision of this Agreement or the Merger Agreement (including (i) challenging the Closing Equity Value of the Company and resulting shares of Common Stock issued as Closing Merger Consideration or (ii) any claim seeking to enjoin or delay the consummation of the Merger in any respect), (b) alleging a breach of any fiduciary duty or self-dealing of any Person in connection with the Merger Agreement or the Transactions, or (c) seeking Appraisal Rights in connection with the Merger. Notwithstanding the foregoing, nothing herein shall be deemed to prohibit the Sponsor from enforcing the Sponsor’s rights under this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1" w:name="page112"/>
    <w:bookmarkEnd w:id="111"/>
    <w:p>
      <w:pPr>
        <w:ind w:right="22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Sponsor shall, without further consideration, execute and deliver, or cause to be executed and delivered, such further certificates, instruments and other documents and to take such further actions as Acquiror or the Company may reasonably request for the purpose of effectively carrying out the transactions contemplated by the Merger Agreement and this Agreement.</w:t>
      </w:r>
    </w:p>
    <w:p>
      <w:pPr>
        <w:spacing w:after="0" w:line="176" w:lineRule="exact"/>
        <w:rPr>
          <w:sz w:val="20"/>
          <w:szCs w:val="20"/>
          <w:color w:val="auto"/>
        </w:rPr>
      </w:pPr>
    </w:p>
    <w:p>
      <w:pPr>
        <w:ind w:right="100" w:firstLine="640"/>
        <w:spacing w:after="0" w:line="269" w:lineRule="auto"/>
        <w:rPr>
          <w:sz w:val="20"/>
          <w:szCs w:val="20"/>
          <w:color w:val="auto"/>
        </w:rPr>
      </w:pPr>
      <w:r>
        <w:rPr>
          <w:rFonts w:ascii="Times New Roman" w:cs="Times New Roman" w:eastAsia="Times New Roman" w:hAnsi="Times New Roman"/>
          <w:sz w:val="17"/>
          <w:szCs w:val="17"/>
          <w:color w:val="auto"/>
        </w:rPr>
        <w:t xml:space="preserve">Section 1.10. </w:t>
      </w:r>
      <w:r>
        <w:rPr>
          <w:rFonts w:ascii="Times New Roman" w:cs="Times New Roman" w:eastAsia="Times New Roman" w:hAnsi="Times New Roman"/>
          <w:sz w:val="17"/>
          <w:szCs w:val="17"/>
          <w:u w:val="single" w:color="auto"/>
          <w:color w:val="auto"/>
        </w:rPr>
        <w:t>Assumption of Acquiror Transaction Expenses</w:t>
      </w:r>
      <w:r>
        <w:rPr>
          <w:rFonts w:ascii="Times New Roman" w:cs="Times New Roman" w:eastAsia="Times New Roman" w:hAnsi="Times New Roman"/>
          <w:sz w:val="17"/>
          <w:szCs w:val="17"/>
          <w:color w:val="auto"/>
        </w:rPr>
        <w:t>. The Sponsor shall be solely responsible for the payment of (and neither the Acquiror, the Company, Merger Sub nor the Surviving Company shall have any obligation or liability with respect to) and pay or cause to be paid at Closing any Acquiror Transaction Expenses in excess of the applicable Acquiror Transaction Expenses Cap, either (a) in cash held outside of the Trust Account or</w:t>
      </w:r>
    </w:p>
    <w:p>
      <w:pPr>
        <w:spacing w:after="0" w:line="2" w:lineRule="exact"/>
        <w:rPr>
          <w:sz w:val="20"/>
          <w:szCs w:val="20"/>
          <w:color w:val="auto"/>
        </w:rPr>
      </w:pPr>
    </w:p>
    <w:p>
      <w:pPr>
        <w:ind w:right="40" w:firstLine="7"/>
        <w:spacing w:after="0" w:line="262" w:lineRule="auto"/>
        <w:tabs>
          <w:tab w:leader="none" w:pos="25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via the Transfer of (i) Sponsor Shares held by Sponsor immediately prior to Closing, (ii) shares of Common Stock held by Sponsor immediately after Closing (which equals the number of shares of Sponsor Shares converted into shares of Acquiror Class A Common Stock on a one-for-one basis immediately prior to Closing and upon the filing of the Acquiror Charter, redesignated as Common Stock), in each case of clause (i) or (ii), excluding Forfeited Sponsor Shares and Sponsor Earnout Shares, or (iii) Warrants, to the applicable party to whom such Acquiror Transaction Expenses are payable; provided that, in lieu of direct Transfer of such securities by Sponsor, at the mutual agreement of the Sponsor and the Company, the Sponsor may instead, forfeit such number of shares of Sponsor Shares (if prior to Closing) or shares of Common Stock (if after Closing), in each case, excluding Forfeited Sponsor Shares and Sponsor Earnout Shares, or Warrants held by Sponsor for no consideration and the Acquiror, subject to compliance with applicable securities laws, shall issue, upon the forfeiture of such Sponsor Shares, shares of Common Stock or Warrants previously held by Sponsor, the corresponding number of shares of Acquiror Class A Common Stock (if prior to Closing), shares of Common Stock (if after Closing) or Warrants to the party to whom such Acquiror Transaction Expenses are payable; provided further, that, prior to the payment of such Acquiror Transaction Expenses pursuant to clause (b) of this </w:t>
      </w:r>
      <w:r>
        <w:rPr>
          <w:rFonts w:ascii="Times New Roman" w:cs="Times New Roman" w:eastAsia="Times New Roman" w:hAnsi="Times New Roman"/>
          <w:sz w:val="17"/>
          <w:szCs w:val="17"/>
          <w:u w:val="single" w:color="auto"/>
          <w:color w:val="auto"/>
        </w:rPr>
        <w:t>Section 1.10</w:t>
      </w:r>
      <w:r>
        <w:rPr>
          <w:rFonts w:ascii="Times New Roman" w:cs="Times New Roman" w:eastAsia="Times New Roman" w:hAnsi="Times New Roman"/>
          <w:sz w:val="17"/>
          <w:szCs w:val="17"/>
          <w:color w:val="auto"/>
        </w:rPr>
        <w:t>, Sponsor shall (i) provide Company with advanced written notice describing the terms of such arrangement, including amounts to be satisfied, the name of the proposed transferor and the number of shares of Common Stock or Warrants to be transferred in satisfaction of such Acquiror Transaction Expense and</w:t>
      </w:r>
    </w:p>
    <w:p>
      <w:pPr>
        <w:ind w:left="260" w:hanging="253"/>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of Acquiror Transaction Expenses shall enter into a customary release agreement with Sponsor and the Acquiror.</w:t>
      </w:r>
    </w:p>
    <w:p>
      <w:pPr>
        <w:spacing w:after="0" w:line="201"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7"/>
          <w:szCs w:val="17"/>
          <w:u w:val="single" w:color="auto"/>
          <w:color w:val="auto"/>
        </w:rPr>
        <w:t>Founder Share Forfeiture</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firstLine="647"/>
        <w:spacing w:after="0" w:line="253" w:lineRule="auto"/>
        <w:tabs>
          <w:tab w:leader="none" w:pos="137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consummation of the Merger, the Sponsor agrees that, upon and subject to the occurrence of the Closing, (i) the Sponsor shall automatically forfeit and cancel, without any further action by the Sponsor or any other Person or any further consideration therefor, 2,187,500 shares of Common Stock held by Sponsor as of immediately after Closing (which such shares represents thirty-five percent (35%) of the total Sponsor Shares held by the Sponsor as of the date of this Agreement to be converted into shares of Class A Common Stock on a one-for-one basis immediately prior to Closing, and upon the filing of the Acquiror Charter, redesignated as Common Stock) (the “</w:t>
      </w:r>
      <w:r>
        <w:rPr>
          <w:rFonts w:ascii="Times New Roman" w:cs="Times New Roman" w:eastAsia="Times New Roman" w:hAnsi="Times New Roman"/>
          <w:sz w:val="18"/>
          <w:szCs w:val="18"/>
          <w:u w:val="single" w:color="auto"/>
          <w:color w:val="auto"/>
        </w:rPr>
        <w:t>Forfeited Sponsor Shares</w:t>
      </w:r>
      <w:r>
        <w:rPr>
          <w:rFonts w:ascii="Times New Roman" w:cs="Times New Roman" w:eastAsia="Times New Roman" w:hAnsi="Times New Roman"/>
          <w:sz w:val="18"/>
          <w:szCs w:val="18"/>
          <w:color w:val="auto"/>
        </w:rPr>
        <w:t>”) and (ii) Acquiror shall direct its Transfer Agent to take any and all such actions necessary to retire and cancel such Forfeited Sponsor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2" w:name="page113"/>
    <w:bookmarkEnd w:id="112"/>
    <w:p>
      <w:pPr>
        <w:ind w:left="640" w:right="600" w:firstLine="7"/>
        <w:spacing w:after="0" w:line="495" w:lineRule="auto"/>
        <w:tabs>
          <w:tab w:leader="none" w:pos="138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Section 1.11 shall be void and of no force and effect if this Agreement is validly terminated in accordance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Section 1.12. </w:t>
      </w:r>
      <w:r>
        <w:rPr>
          <w:rFonts w:ascii="Times New Roman" w:cs="Times New Roman" w:eastAsia="Times New Roman" w:hAnsi="Times New Roman"/>
          <w:sz w:val="18"/>
          <w:szCs w:val="18"/>
          <w:u w:val="single" w:color="auto"/>
          <w:color w:val="auto"/>
        </w:rPr>
        <w:t>Sponsor Earnout</w:t>
      </w:r>
    </w:p>
    <w:p>
      <w:pPr>
        <w:ind w:firstLine="647"/>
        <w:spacing w:after="0" w:line="249" w:lineRule="auto"/>
        <w:tabs>
          <w:tab w:leader="none" w:pos="137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3,125,000 of the shares of Common Stock held by Sponsor as of immediately after Closing (which such shares represents fifty percent (50%) of the total Sponsor Shares held by the Sponsor as of the date of this Agreement to be converted into shares of Class A Common Stock on a one-for-one basis immediately prior to Closing, and upon the filing of the Acquiror Charter, redesignated as Common Stock) (the “</w:t>
      </w:r>
      <w:r>
        <w:rPr>
          <w:rFonts w:ascii="Times New Roman" w:cs="Times New Roman" w:eastAsia="Times New Roman" w:hAnsi="Times New Roman"/>
          <w:sz w:val="18"/>
          <w:szCs w:val="18"/>
          <w:u w:val="single" w:color="auto"/>
          <w:color w:val="auto"/>
        </w:rPr>
        <w:t>Sponsor 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shall be unvested and subject to the vesting and forfeiture provisions set forth in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For the avoidance of doubt, immediately after Closing, all of the remaining shares of Common Stock held by Sponsor (as to which there are 937,500 of such shares as of the date of this Agreement and which such shares, as of the date of this Agreement, represent fifteen percent (15%) of the total Sponsor Shares held by the Sponsor to be converted into shares of Class A Common Stock on a one-for-one basis immediately prior to Closing, and upon the filing of the Acquiror Charter, redesignated as Common Stock) (other than such Sponsor Earnout Shares, Forfeited Shares and Sponsor Shares transferred to satisfy Acquiror Transaction Expenses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shall be fully vested and free from forfeiture. The Sponsor shall not (and will cause its Affiliates not to) Transfer any unvested Sponsor Earnout Shares prior to the later of (i) the expiration of the Earnout Period and (ii) the date such Sponsor Earnout Shares become vested pursuant to this Section 1.12, provided that the foregoing restriction on Transfers shall not restrict any Transfers of Sponsor Earnout Shares by Sponsor prior to the expiration of the Earnout Period to any Affiliate of the Sponsor so long as, prior to and as a condition to the effectiveness of any such Transfer, such Affiliate executes and delivers to Acquiror and the Company a joinder to this Agreement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Sponsor acknowledges and agrees that during the Earnout Period, until such Sponsor Earnout Shares become fully vested in accordance with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Acquiror shall issue stop-transfer instructions to its Transfer Agent with respect to the applicable Sponsor Earnout Shares and Acquiror shall not be required to (a) transfer on its books any Sponsor Earnout Shares that have been sold or otherwise transferred in violation of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including a transfer prior to an applicable Earnout Target is achieved or (b) treat as owner of such shares, or to accord the right to vote or pay dividends, to any purchaser or other transferee to whom such shares have been so transferred.</w:t>
      </w:r>
    </w:p>
    <w:p>
      <w:pPr>
        <w:spacing w:after="0" w:line="190" w:lineRule="exact"/>
        <w:rPr>
          <w:rFonts w:ascii="Times New Roman" w:cs="Times New Roman" w:eastAsia="Times New Roman" w:hAnsi="Times New Roman"/>
          <w:sz w:val="18"/>
          <w:szCs w:val="18"/>
          <w:color w:val="auto"/>
        </w:rPr>
      </w:pPr>
    </w:p>
    <w:p>
      <w:pPr>
        <w:ind w:firstLine="647"/>
        <w:spacing w:after="0" w:line="265" w:lineRule="auto"/>
        <w:tabs>
          <w:tab w:leader="none" w:pos="1381"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Closing, if, at any time during the period following the Closing and expiring on the fifth anniversary of the Closing Date (the “</w:t>
      </w:r>
      <w:r>
        <w:rPr>
          <w:rFonts w:ascii="Times New Roman" w:cs="Times New Roman" w:eastAsia="Times New Roman" w:hAnsi="Times New Roman"/>
          <w:sz w:val="17"/>
          <w:szCs w:val="17"/>
          <w:u w:val="single" w:color="auto"/>
          <w:color w:val="auto"/>
        </w:rPr>
        <w:t>Earnout Period</w:t>
      </w:r>
      <w:r>
        <w:rPr>
          <w:rFonts w:ascii="Times New Roman" w:cs="Times New Roman" w:eastAsia="Times New Roman" w:hAnsi="Times New Roman"/>
          <w:sz w:val="17"/>
          <w:szCs w:val="17"/>
          <w:color w:val="auto"/>
        </w:rPr>
        <w:t>”), (i) the VWAP of the shares of Common Stock equals or exceeds $15 (as adjusted for stock splits, stock dividends, reorganizations, recapitalizations and the like) for any twenty (20) Trading Days within any period of thirty (30) consecutive Trading Days (the “</w:t>
      </w:r>
      <w:r>
        <w:rPr>
          <w:rFonts w:ascii="Times New Roman" w:cs="Times New Roman" w:eastAsia="Times New Roman" w:hAnsi="Times New Roman"/>
          <w:sz w:val="17"/>
          <w:szCs w:val="17"/>
          <w:u w:val="single" w:color="auto"/>
          <w:color w:val="auto"/>
        </w:rPr>
        <w:t>First Level Earnout Target</w:t>
      </w:r>
      <w:r>
        <w:rPr>
          <w:rFonts w:ascii="Times New Roman" w:cs="Times New Roman" w:eastAsia="Times New Roman" w:hAnsi="Times New Roman"/>
          <w:sz w:val="17"/>
          <w:szCs w:val="17"/>
          <w:color w:val="auto"/>
        </w:rPr>
        <w:t>”), 25% of the Sponsor Earnout Shares (the “</w:t>
      </w:r>
      <w:r>
        <w:rPr>
          <w:rFonts w:ascii="Times New Roman" w:cs="Times New Roman" w:eastAsia="Times New Roman" w:hAnsi="Times New Roman"/>
          <w:sz w:val="17"/>
          <w:szCs w:val="17"/>
          <w:u w:val="single" w:color="auto"/>
          <w:color w:val="auto"/>
        </w:rPr>
        <w:t>First Level Sponsor Earnout Shares</w:t>
      </w:r>
      <w:r>
        <w:rPr>
          <w:rFonts w:ascii="Times New Roman" w:cs="Times New Roman" w:eastAsia="Times New Roman" w:hAnsi="Times New Roman"/>
          <w:sz w:val="17"/>
          <w:szCs w:val="17"/>
          <w:color w:val="auto"/>
        </w:rPr>
        <w:t xml:space="preserve">”) shall no longer be subject to forfeiture pursuant to this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(ii) the VWAP of the shares of Common Stock equals or exceeds $20 (as adjusted for stock splits, stock dividends, reorganizations, recapitalizations and the like) for any twenty (20) Trading Days within any period of thirty (30) consecutive Trading Days (the “</w:t>
      </w:r>
      <w:r>
        <w:rPr>
          <w:rFonts w:ascii="Times New Roman" w:cs="Times New Roman" w:eastAsia="Times New Roman" w:hAnsi="Times New Roman"/>
          <w:sz w:val="17"/>
          <w:szCs w:val="17"/>
          <w:u w:val="single" w:color="auto"/>
          <w:color w:val="auto"/>
        </w:rPr>
        <w:t>Second Level Earnout Target</w:t>
      </w:r>
      <w:r>
        <w:rPr>
          <w:rFonts w:ascii="Times New Roman" w:cs="Times New Roman" w:eastAsia="Times New Roman" w:hAnsi="Times New Roman"/>
          <w:sz w:val="17"/>
          <w:szCs w:val="17"/>
          <w:color w:val="auto"/>
        </w:rPr>
        <w:t>”), 25% of the Sponsor Earnout Shares (the “</w:t>
      </w:r>
      <w:r>
        <w:rPr>
          <w:rFonts w:ascii="Times New Roman" w:cs="Times New Roman" w:eastAsia="Times New Roman" w:hAnsi="Times New Roman"/>
          <w:sz w:val="17"/>
          <w:szCs w:val="17"/>
          <w:u w:val="single" w:color="auto"/>
          <w:color w:val="auto"/>
        </w:rPr>
        <w:t>Second Level Sponsor Earnout Shares</w:t>
      </w:r>
      <w:r>
        <w:rPr>
          <w:rFonts w:ascii="Times New Roman" w:cs="Times New Roman" w:eastAsia="Times New Roman" w:hAnsi="Times New Roman"/>
          <w:sz w:val="17"/>
          <w:szCs w:val="17"/>
          <w:color w:val="auto"/>
        </w:rPr>
        <w:t xml:space="preserve">”) shall no longer be subject to forfeiture pursuant to this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(iii) the VWAP of the shares of Common Stock equals or exceeds $25 (as adjusted for stock splits, stock dividends, reorganizations, recapitalizations and the like) for any twenty</w:t>
      </w:r>
    </w:p>
    <w:p>
      <w:pPr>
        <w:ind w:left="340" w:hanging="333"/>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any period of thirty (30) consecutive Trading Days (the “</w:t>
      </w:r>
      <w:r>
        <w:rPr>
          <w:rFonts w:ascii="Times New Roman" w:cs="Times New Roman" w:eastAsia="Times New Roman" w:hAnsi="Times New Roman"/>
          <w:sz w:val="18"/>
          <w:szCs w:val="18"/>
          <w:u w:val="single" w:color="auto"/>
          <w:color w:val="auto"/>
        </w:rPr>
        <w:t>Third Level Earnout Target</w:t>
      </w:r>
      <w:r>
        <w:rPr>
          <w:rFonts w:ascii="Times New Roman" w:cs="Times New Roman" w:eastAsia="Times New Roman" w:hAnsi="Times New Roman"/>
          <w:sz w:val="18"/>
          <w:szCs w:val="18"/>
          <w:color w:val="auto"/>
        </w:rPr>
        <w:t>”), 25% of the Sponsor Earnout Shares (the</w:t>
      </w:r>
    </w:p>
    <w:p>
      <w:pPr>
        <w:spacing w:after="0" w:line="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Level Sponsor Earnout Shares</w:t>
      </w:r>
      <w:r>
        <w:rPr>
          <w:rFonts w:ascii="Times New Roman" w:cs="Times New Roman" w:eastAsia="Times New Roman" w:hAnsi="Times New Roman"/>
          <w:sz w:val="18"/>
          <w:szCs w:val="18"/>
          <w:color w:val="auto"/>
        </w:rPr>
        <w:t xml:space="preserve">”) shall no longer be subject to forfeiture pursuant to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and (iv) the VWAP of the shares of Common Stock equals or exceeds $30 (as adjusted for stock splits, stock dividends, reorganizations, recapitalizations and the like) for any twenty (20) Trading Days within any period of thirty (30) consecutive Trading Days (the “</w:t>
      </w:r>
      <w:r>
        <w:rPr>
          <w:rFonts w:ascii="Times New Roman" w:cs="Times New Roman" w:eastAsia="Times New Roman" w:hAnsi="Times New Roman"/>
          <w:sz w:val="18"/>
          <w:szCs w:val="18"/>
          <w:u w:val="single" w:color="auto"/>
          <w:color w:val="auto"/>
        </w:rPr>
        <w:t>Fourth Level Earnout Target</w:t>
      </w:r>
      <w:r>
        <w:rPr>
          <w:rFonts w:ascii="Times New Roman" w:cs="Times New Roman" w:eastAsia="Times New Roman" w:hAnsi="Times New Roman"/>
          <w:sz w:val="18"/>
          <w:szCs w:val="18"/>
          <w:color w:val="auto"/>
        </w:rPr>
        <w:t>”), 25% of the Sponsor Earnout Shares (the “</w:t>
      </w:r>
      <w:r>
        <w:rPr>
          <w:rFonts w:ascii="Times New Roman" w:cs="Times New Roman" w:eastAsia="Times New Roman" w:hAnsi="Times New Roman"/>
          <w:sz w:val="18"/>
          <w:szCs w:val="18"/>
          <w:u w:val="single" w:color="auto"/>
          <w:color w:val="auto"/>
        </w:rPr>
        <w:t>Fourth Level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Sponsor Earnout Shares</w:t>
      </w:r>
      <w:r>
        <w:rPr>
          <w:rFonts w:ascii="Times New Roman" w:cs="Times New Roman" w:eastAsia="Times New Roman" w:hAnsi="Times New Roman"/>
          <w:sz w:val="18"/>
          <w:szCs w:val="18"/>
          <w:color w:val="auto"/>
        </w:rPr>
        <w:t xml:space="preserve">”) shall no longer be subject to forfeiture pursuant to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Each of the First Level Earnout Target, Second Level Earnout Target, Third Level Earnout Target and Fourth Level Earnout Target shall be referred to herein as an “</w:t>
      </w:r>
      <w:r>
        <w:rPr>
          <w:rFonts w:ascii="Times New Roman" w:cs="Times New Roman" w:eastAsia="Times New Roman" w:hAnsi="Times New Roman"/>
          <w:sz w:val="18"/>
          <w:szCs w:val="18"/>
          <w:u w:val="single" w:color="auto"/>
          <w:color w:val="auto"/>
        </w:rPr>
        <w:t>Earnout Target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3" w:name="page114"/>
    <w:bookmarkEnd w:id="113"/>
    <w:p>
      <w:pPr>
        <w:jc w:val="both"/>
        <w:ind w:left="-20" w:firstLine="647"/>
        <w:spacing w:after="0" w:line="257" w:lineRule="auto"/>
        <w:tabs>
          <w:tab w:leader="none" w:pos="13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one or more of the Earnout Targets in clause (b) above is, or if all Earnout Targets are, achieved on or prior to the last day of the Earnout Period, then, following the achievement of the applicable Earnout Target, the First Level Sponsor Earnout Shares, Second Level Sponsor Earnout Shares, Third Level Sponsor Earnout Shares or Fourth Level Sponsor Earnout Shares, as applicable, for the particular Earnout Targets or Earnout Targets that are so achieved, shall become fully vested and shall no longer be subject to forfeiture or the transfer restrictions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20" w:right="160" w:firstLine="647"/>
        <w:spacing w:after="0" w:line="262" w:lineRule="auto"/>
        <w:tabs>
          <w:tab w:leader="none" w:pos="13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Sponsor Earnout Shares remain unvested on the first Business Day after the expiration of the Earnout Period, (i) such unvested Sponsor Earnout Shares shall be forfeited immediately and shall be cancelled for no consideration and (ii) Acquiror shall direct its Transfer Agent to take any and all such actions necessary to retire and cancel such unvested Sponsor Earnout Shares.</w:t>
      </w:r>
    </w:p>
    <w:p>
      <w:pPr>
        <w:spacing w:after="0" w:line="176" w:lineRule="exact"/>
        <w:rPr>
          <w:rFonts w:ascii="Times New Roman" w:cs="Times New Roman" w:eastAsia="Times New Roman" w:hAnsi="Times New Roman"/>
          <w:sz w:val="18"/>
          <w:szCs w:val="18"/>
          <w:color w:val="auto"/>
        </w:rPr>
      </w:pPr>
    </w:p>
    <w:p>
      <w:pPr>
        <w:ind w:left="-20" w:right="40" w:firstLine="647"/>
        <w:spacing w:after="0" w:line="250" w:lineRule="auto"/>
        <w:tabs>
          <w:tab w:leader="none" w:pos="13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an Acquiror Change of Control occurs during the Earnout Period which results in the holders of Common Stock receiving a Company Sale Price equal to or in excess of the applicable Earnout Target, then immediately prior to the consummation of such Acquiror Change of Control any such Earnout Target that has not previously been satisfied shall be deemed to be satisfied and the related vesting conditions shall also be deemed to have occurred such that the holders of the Sponsor Earnout Shares corresponding to such previously unsatisfied Earnout Targets shall be eligible to participate in such Acquiror Change of Control. For avoidance of doubt, assuming no prior Earnout Targets have been achieved as of the date of the Acquiror Change of Control: (i) if the Company Sale Price is greater than or equal to the First Level Earnout Target, but less than the Second Level Earnout Target, the First Level Sponsor Earnout Shares shall be deemed to have fully vested; (ii) if the Company Sale Price is greater than or equal to the Second Level Earnout Target, but less than the Third Level Earnout Target, the First Level Sponsor Earnout Shares and Second Level Sponsor Earnout Shares shall be deemed to have fully vested; (iii) if the Company Sale Price is greater than or equal to the Third Earnout Target, but less than the Fourth Level Earnout Target, the First Level Sponsor Earnout Shares, the Second Level Sponsor Earnout Shares and the Third Level Sponsor Earnout Shares shall be deemed to have fully vested and (iv) if the Company Sale Price is greater than or equal to the Fourth Earnout Target, then all of the Sponsor Earnout Shares shall be deemed to have fully vested.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71342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114" w:name="page115"/>
    <w:bookmarkEnd w:id="114"/>
    <w:p>
      <w:pPr>
        <w:ind w:right="60" w:firstLine="647"/>
        <w:spacing w:after="0" w:line="268" w:lineRule="auto"/>
        <w:tabs>
          <w:tab w:leader="none" w:pos="135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Agreement, an “</w:t>
      </w:r>
      <w:r>
        <w:rPr>
          <w:rFonts w:ascii="Times New Roman" w:cs="Times New Roman" w:eastAsia="Times New Roman" w:hAnsi="Times New Roman"/>
          <w:sz w:val="17"/>
          <w:szCs w:val="17"/>
          <w:u w:val="single" w:color="auto"/>
          <w:color w:val="auto"/>
        </w:rPr>
        <w:t>Acquiror Change of Control</w:t>
      </w:r>
      <w:r>
        <w:rPr>
          <w:rFonts w:ascii="Times New Roman" w:cs="Times New Roman" w:eastAsia="Times New Roman" w:hAnsi="Times New Roman"/>
          <w:sz w:val="17"/>
          <w:szCs w:val="17"/>
          <w:color w:val="auto"/>
        </w:rPr>
        <w:t>” means (i) a merger, consolidation or other business combination of Acquiror in which any person or “group” (within the meaning of Rules 13d-3 and 13d-5 under the Exchange Act as in effect on the Closing Date) acquires more than fifty percent (50%) of the voting power of the then outstanding capital stock of the Acquiror entitled to vote for the election of directors of Acquiror or the surviving person outstanding immediately after such merger, consolidation or other business combination; (ii) any person or “group” (within the meaning of Rules 13d-3 and 13d-5 under the Exchange Act as in effect on the Closing Date) obtaining beneficial ownership (as defined in Rules 13d-3 and 13d-5 under the Exchange Act) of the voting stock of the Acquiror representing more than fifty percent (50%) of the voting power of the capital stock of the Acquiror entitled to vote for the election of directors of the Acquiror; or (iii) any sale, exclusive license or other disposition, in a single transaction or a series of related transactions, of all or substantially all of the assets of Acquiror and its subsidiaries, taken as a whole.</w:t>
      </w:r>
    </w:p>
    <w:p>
      <w:pPr>
        <w:spacing w:after="0" w:line="175" w:lineRule="exact"/>
        <w:rPr>
          <w:rFonts w:ascii="Times New Roman" w:cs="Times New Roman" w:eastAsia="Times New Roman" w:hAnsi="Times New Roman"/>
          <w:sz w:val="17"/>
          <w:szCs w:val="17"/>
          <w:color w:val="auto"/>
        </w:rPr>
      </w:pPr>
    </w:p>
    <w:p>
      <w:pPr>
        <w:ind w:firstLine="647"/>
        <w:spacing w:after="0" w:line="267" w:lineRule="auto"/>
        <w:tabs>
          <w:tab w:leader="none" w:pos="138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u w:val="single" w:color="auto"/>
          <w:color w:val="auto"/>
        </w:rPr>
        <w:t>Company Sale Price</w:t>
      </w:r>
      <w:r>
        <w:rPr>
          <w:rFonts w:ascii="Times New Roman" w:cs="Times New Roman" w:eastAsia="Times New Roman" w:hAnsi="Times New Roman"/>
          <w:sz w:val="17"/>
          <w:szCs w:val="17"/>
          <w:color w:val="auto"/>
        </w:rPr>
        <w:t>” means the price per share payable per share of Common Stock in an Acquiror Change of Control. If the consideration to be paid for Common Stock in an Acquiror Change of Control includes the issuance of securities to the Acquiror’s stockholders, for purposes of valuing such securities the value shall be computed based on the value of such Common Stock provided in the definitive acquisition agreement and to the extent such price per share is not included in the definitive acquisition agreement then, (i) if the securities are then traded on a national securities exchange or The Nasdaq Stock Market (or a similar national quotation system), then the value shall be computed based on the volume-weighted average dollar price of the securities on such exchange or system over the twenty-day period ending three days prior to the date of such Acquiror Change of Control, (ii) if the securities are actively traded over-the-counter, then the value shall be computed based on the average of the closing bid prices over the twenty-day period ending three days prior to the date of such Acquiror Change of Control and (iii) if there is no active public market, then the value shall be computed based on the fair market value thereof as determined by a third party valuation firm that is mutually agreeable to the Acquiror and Sponsor.</w:t>
      </w:r>
    </w:p>
    <w:p>
      <w:pPr>
        <w:spacing w:after="0" w:line="177" w:lineRule="exact"/>
        <w:rPr>
          <w:rFonts w:ascii="Times New Roman" w:cs="Times New Roman" w:eastAsia="Times New Roman" w:hAnsi="Times New Roman"/>
          <w:sz w:val="17"/>
          <w:szCs w:val="17"/>
          <w:color w:val="auto"/>
        </w:rPr>
      </w:pPr>
    </w:p>
    <w:p>
      <w:pPr>
        <w:ind w:right="100" w:firstLine="647"/>
        <w:spacing w:after="0" w:line="257" w:lineRule="auto"/>
        <w:tabs>
          <w:tab w:leader="none" w:pos="138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shares of Common Stock as of any Trading Day, the volume-weighted average dollar price for such shares traded on Nasdaq or another national securities exchange during the period beginning at 9:30:01 a.m. Eastern Time on each Trading Day during the applicable period and ending at 4:00:00 p.m. Eastern Time on each Trading Day during the applicable period and (ii)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shares of Common Stock are actually traded on Nasdaq or another national securities exchange.</w:t>
      </w:r>
    </w:p>
    <w:p>
      <w:pPr>
        <w:spacing w:after="0" w:line="180" w:lineRule="exact"/>
        <w:rPr>
          <w:rFonts w:ascii="Times New Roman" w:cs="Times New Roman" w:eastAsia="Times New Roman" w:hAnsi="Times New Roman"/>
          <w:sz w:val="18"/>
          <w:szCs w:val="18"/>
          <w:color w:val="auto"/>
        </w:rPr>
      </w:pPr>
    </w:p>
    <w:p>
      <w:pPr>
        <w:ind w:right="200" w:firstLine="647"/>
        <w:spacing w:after="0" w:line="277" w:lineRule="auto"/>
        <w:tabs>
          <w:tab w:leader="none" w:pos="134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and unless the Sponsor Earnout Shares are forfeited, subject to the provisions of this Agreement, Sponsor will have full ownership rights to the Sponsor Earnout Shares, including the right to vote such shares and to receive dividends and distributions thereon.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5" w:name="page116"/>
    <w:bookmarkEnd w:id="115"/>
    <w:p>
      <w:pPr>
        <w:ind w:right="120" w:firstLine="647"/>
        <w:spacing w:after="0" w:line="277" w:lineRule="auto"/>
        <w:tabs>
          <w:tab w:leader="none" w:pos="134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1.12 shall be void and of no force and effect if the Merger Agreement shall be terminated in accordance with its terms or the Closing shall not occur for any reason.</w:t>
      </w:r>
    </w:p>
    <w:p>
      <w:pPr>
        <w:spacing w:after="0" w:line="163"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7"/>
          <w:szCs w:val="17"/>
          <w:u w:val="single" w:color="auto"/>
          <w:color w:val="auto"/>
        </w:rPr>
        <w:t>Public Announcements; Filings; Disclosures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right="80" w:firstLine="647"/>
        <w:spacing w:after="0" w:line="251" w:lineRule="auto"/>
        <w:tabs>
          <w:tab w:leader="none" w:pos="137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its Affiliates) shall not issue any press release or make any other public announcement or public statement (a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xml:space="preserve">”) with respect to this Agreement, the Merger Agreement, or the transactions contemplated by this Agreement or the Merger Agreement, without the prior written consent of the Company (which consent may be withheld in Acquiror’s sole discretion), except (i) as required by applicable Law or court process, in which case Sponsor shall use its reasonable best efforts to provide Company, Company’s outside legal counsel, Acquiror and Acquiror’s outside legal counsel with a reasonable opportunity to review and comment on such Public Communication in advance of its issuance and shall give reasonable and good faith consideration to any such comments or (ii) with respect to a Public Communication that is consistent with prior disclosures made by Acquiror;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to any disclosure required to be made by Sponsor to a Governmental Authority so long as such disclosure is consistent with the terms of this Agreement and the Merger Agreement and the disclosures made by the Company and Acquiror pursuant to the terms of the Merger Agreement.</w:t>
      </w:r>
    </w:p>
    <w:p>
      <w:pPr>
        <w:spacing w:after="0" w:line="186" w:lineRule="exact"/>
        <w:rPr>
          <w:rFonts w:ascii="Times New Roman" w:cs="Times New Roman" w:eastAsia="Times New Roman" w:hAnsi="Times New Roman"/>
          <w:sz w:val="18"/>
          <w:szCs w:val="18"/>
          <w:color w:val="auto"/>
        </w:rPr>
      </w:pPr>
    </w:p>
    <w:p>
      <w:pPr>
        <w:ind w:firstLine="647"/>
        <w:spacing w:after="0" w:line="251" w:lineRule="auto"/>
        <w:tabs>
          <w:tab w:leader="none" w:pos="138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hereby consents to and authorizes Acquiror to (i) publish and disclose in any Public Communication or in any disclosure required by the SEC and in the Registration Statement, the Sponsor’s identity and ownership of Subject Shares and Sponsor’s obligations under this Agreement (the “</w:t>
      </w:r>
      <w:r>
        <w:rPr>
          <w:rFonts w:ascii="Times New Roman" w:cs="Times New Roman" w:eastAsia="Times New Roman" w:hAnsi="Times New Roman"/>
          <w:sz w:val="18"/>
          <w:szCs w:val="18"/>
          <w:u w:val="single" w:color="auto"/>
          <w:color w:val="auto"/>
        </w:rPr>
        <w:t>Sponsor Information</w:t>
      </w:r>
      <w:r>
        <w:rPr>
          <w:rFonts w:ascii="Times New Roman" w:cs="Times New Roman" w:eastAsia="Times New Roman" w:hAnsi="Times New Roman"/>
          <w:sz w:val="18"/>
          <w:szCs w:val="18"/>
          <w:color w:val="auto"/>
        </w:rPr>
        <w:t>”) and (ii) the filing of the form of this Agreement as attached as Exhibit A to the Merger Agreement to the extent required by applicable Law to be filed with the SEC or any regulatory authority relating to the Merger; provided that, with respect to the foregoing clause (i), Acquiror shall use its commercially reasonable efforts to provide Sponsor with a reasonable opportunity to review and comment on any Sponsor Information included in such disclosure in advance of its filing and as promptly as practicable thereafter, Sponsor shall notify Acquiror of any required corrections with respect to any Sponsor Information supplied by Sponsor, if and to the extent Sponsor becomes aware that any such Sponsor Information shall have become false or misleading in any material respect.</w:t>
      </w:r>
    </w:p>
    <w:p>
      <w:pPr>
        <w:spacing w:after="0" w:line="190" w:lineRule="exact"/>
        <w:rPr>
          <w:sz w:val="20"/>
          <w:szCs w:val="20"/>
          <w:color w:val="auto"/>
        </w:rPr>
      </w:pPr>
    </w:p>
    <w:p>
      <w:pPr>
        <w:ind w:right="2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Sponsor acknowledges that Sponsor has read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(‘Exclusivity’) of the Merger Agreement. In addition, Sponsor, solely in its capacity as a stockholder of Acquiror, agrees not to, directly or indirectly, take any action that would violate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of the Merger Agreement if Sponsor were deemed a “Representative” of Acquiror for purposes of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of the Merger Agreement.</w:t>
      </w:r>
    </w:p>
    <w:p>
      <w:pPr>
        <w:spacing w:after="0" w:line="176" w:lineRule="exact"/>
        <w:rPr>
          <w:sz w:val="20"/>
          <w:szCs w:val="20"/>
          <w:color w:val="auto"/>
        </w:rPr>
      </w:pPr>
    </w:p>
    <w:p>
      <w:pPr>
        <w:jc w:val="both"/>
        <w:ind w:right="48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No Adverse Act</w:t>
      </w:r>
      <w:r>
        <w:rPr>
          <w:rFonts w:ascii="Times New Roman" w:cs="Times New Roman" w:eastAsia="Times New Roman" w:hAnsi="Times New Roman"/>
          <w:sz w:val="18"/>
          <w:szCs w:val="18"/>
          <w:color w:val="auto"/>
        </w:rPr>
        <w:t xml:space="preserve">. Sponsor hereby agrees that, except as expressly provided or permitted by this Agreement, Sponsor shall not knowingly, and shall cause its Affiliates not to knowingly, without the prior written consent of Company (in the Company’s sole discretion), directly or indirectly, take or permit any action that would in any way (a) restrict, limit or interfere with the performance of Sponsor’s obligations contained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(b) make any representation or warranty of Sponsor herein materially untrue or inaccurate or (c) otherwise restrict, limit or interfere with Sponsor’s obligations contained under this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6" w:name="page117"/>
    <w:bookmarkEnd w:id="116"/>
    <w:p>
      <w:pPr>
        <w:jc w:val="both"/>
        <w:ind w:right="22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Satisfaction of Sponsor Notes</w:t>
      </w:r>
      <w:r>
        <w:rPr>
          <w:rFonts w:ascii="Times New Roman" w:cs="Times New Roman" w:eastAsia="Times New Roman" w:hAnsi="Times New Roman"/>
          <w:sz w:val="18"/>
          <w:szCs w:val="18"/>
          <w:color w:val="auto"/>
        </w:rPr>
        <w:t xml:space="preserve">. Sponsor acknowledges and agrees that,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attached hereto is a complete and accurate list of all outstanding loans, notes and any other amounts for borrowed money owed to it by Acquiror or which Acquiror may be liable as of the date hereof (the “</w:t>
      </w:r>
      <w:r>
        <w:rPr>
          <w:rFonts w:ascii="Times New Roman" w:cs="Times New Roman" w:eastAsia="Times New Roman" w:hAnsi="Times New Roman"/>
          <w:sz w:val="18"/>
          <w:szCs w:val="18"/>
          <w:u w:val="single" w:color="auto"/>
          <w:color w:val="auto"/>
        </w:rPr>
        <w:t>Sponsor Notes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SPONSOR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Sponsor hereby represents and warrants to Acquiror and the Company as follows:</w:t>
      </w:r>
    </w:p>
    <w:p>
      <w:pPr>
        <w:spacing w:after="0" w:line="220" w:lineRule="exact"/>
        <w:rPr>
          <w:sz w:val="20"/>
          <w:szCs w:val="20"/>
          <w:color w:val="auto"/>
        </w:rPr>
      </w:pPr>
    </w:p>
    <w:p>
      <w:pPr>
        <w:ind w:right="80"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Organization; Authorization</w:t>
      </w:r>
      <w:r>
        <w:rPr>
          <w:rFonts w:ascii="Times New Roman" w:cs="Times New Roman" w:eastAsia="Times New Roman" w:hAnsi="Times New Roman"/>
          <w:sz w:val="18"/>
          <w:szCs w:val="18"/>
          <w:color w:val="auto"/>
        </w:rPr>
        <w:t>. The Sponsor (a) is a legal entity duly organized, validly existing and in good standing under the Laws of the State of Delaware, (b) has all requisite corporate or similar power and authority and has taken all corporate or similar action necessary in order to execute and deliver this Agreement, to perform the Sponsor’s obligations under this Agreement and to consummate the transactions contemplated by this Agreement, and (c) no approval by any holder of the Sponsor’s equity interests is necessary to approve this Agreement. This Agreement has been duly executed and delivered by the Sponsor and this Agreement constitutes a valid and binding agreement of the Sponsor enforceable against the Sponsor in accordance with its terms, subject to the Enforceability Exceptions.</w:t>
      </w:r>
    </w:p>
    <w:p>
      <w:pPr>
        <w:spacing w:after="0" w:line="185"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Governmental Filings; No Violations; Certain Contracts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right="20" w:firstLine="647"/>
        <w:spacing w:after="0" w:line="253" w:lineRule="auto"/>
        <w:tabs>
          <w:tab w:leader="none" w:pos="13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filings with the SEC under the Exchange Act and such other reports under, and such other compliance with, the Exchange Act as may be required in connection with this Agreement, no filings, notices, reports, consents, registrations, approvals, permits or authorizations are required to be made by the Sponsor with, nor are any required to be made or obtained by the Sponsor with or from any Governmental Authority, in connection with the execution, delivery and performance of this Agreement by the Sponsor and the consummation of the transactions contemplated by this Agreement, except as would not, individually or in the aggregate, reasonably be expected to prevent, delay or impair the ability of the Sponsor to perform the Sponsor’s obligations under this Agreement or to consummate the transactions contemplated by this Agreement.</w:t>
      </w:r>
    </w:p>
    <w:p>
      <w:pPr>
        <w:spacing w:after="0" w:line="185" w:lineRule="exact"/>
        <w:rPr>
          <w:rFonts w:ascii="Times New Roman" w:cs="Times New Roman" w:eastAsia="Times New Roman" w:hAnsi="Times New Roman"/>
          <w:sz w:val="18"/>
          <w:szCs w:val="18"/>
          <w:color w:val="auto"/>
        </w:rPr>
      </w:pPr>
    </w:p>
    <w:p>
      <w:pPr>
        <w:ind w:firstLine="647"/>
        <w:spacing w:after="0" w:line="251" w:lineRule="auto"/>
        <w:tabs>
          <w:tab w:leader="none" w:pos="13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by the Sponsor does not, and the consummation of the transactions contemplated by this Agreement by the Sponsor shall not, constitute or result in (i) a breach or violation of, or a default under, the organizational documents of the Sponsor or (ii) with or without notice, lapse of time or both, a breach or violation of, a termination (or right of termination) of or default under, the creation or acceleration of any obligations under or the creation of an Encumbrance on any of the assets of the Sponsor pursuant to, any Contract binding upon the Sponsor or, assuming (solely with respect to performance of this Agreement and consummation of the transactions contemplated by this Agreement) compliance with the matters referred to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under any Law to which the Sponsor is subject, except, in each case, as would not, individually or in the aggregate, reasonably be expected to prevent, delay or impair the ability of the Sponsor to perform its obligations under this Agreement or consummate the transactions contemplated by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7" w:name="page118"/>
    <w:bookmarkEnd w:id="117"/>
    <w:p>
      <w:pPr>
        <w:ind w:right="120" w:firstLine="640"/>
        <w:spacing w:after="0" w:line="273"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As of the date of this Agreement, except as would not, individually or in the aggregate, reasonably be expected to prevent, delay or impair the ability of the Sponsor to perform its obligations under this Agreement or to consummate the transactions contemplated by this Agreement, (a) there are no Actions pending or, to the knowledge of the Sponsor, threatened against the Sponsor or any of its Affiliates or to which Sponsor or any of its Affiliates is otherwise a party, and (b) neither the Sponsor nor any of its Affiliates is a party to or subject to the provisions of any judgment, order, writ, injunction, decree or award of any Governmental Authority that challenges any part of this Agreement or the transactions contemplated hereby.</w:t>
      </w:r>
    </w:p>
    <w:p>
      <w:pPr>
        <w:spacing w:after="0" w:line="169"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Ownership of Acquiror Common Stock and Warrants; Voting Power</w:t>
      </w:r>
      <w:r>
        <w:rPr>
          <w:rFonts w:ascii="Times New Roman" w:cs="Times New Roman" w:eastAsia="Times New Roman" w:hAnsi="Times New Roman"/>
          <w:sz w:val="18"/>
          <w:szCs w:val="18"/>
          <w:color w:val="auto"/>
        </w:rPr>
        <w:t>. As of the date of this Agreement the Sponsor is the record and beneficial owner of (i) 6,250,000 Acquiror Class B Common Stock, (ii) 4,933,333 Warrants and (iii) a Convertible Sponsor Note in the amount of $1,500,000 that may be converted into additional warrants exercisable for shares of Acquiror Class A Common Stock (if exercised prior to Closing) at a price of $1.50 per warrant, and other than the Acquiror securities described in the immediately foregoing clauses (i) through (iii), as of the date of this Agreement, there are no other Acquiror securities (or any other securities convertible, exercisable or exchangeable for, or rights to purchase or acquire, any Acquiror securities of any kind) held of record or beneficially owned by the Sponsor or in respect of which the Sponsor has any voting power over. There are no other shares of Acquiror Class B Common Stock outstanding (other than the 6,250,000 shares of Acquiror Class B Common Stock held by Sponsor) and no other Person, other than the Sponsor, has any record or beneficial ownership or title to any shares of Acquiror Class B Common Stock outstanding. The Sponsor is the record holder and beneficial owner of all of its shares of Acquiror Common Stock and Warrants and has, and shall have throughout the Applicable Period, full voting power and power of disposition with respect to all of its Sponsor Shares and Warrants free and clear of any liens, claims, proxies, voting trusts or agreements, options or any other encumbrances or restrictions on title, transfer or exercise of any rights of a stockholder in respect of its Sponsor Shares and Warrants (collectively, “</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except for any such Encumbrance that may be imposed pursuant to (i) this Agreement, (ii) any applicable restrictions on transfer under U.S. federal securities or state securities or “blue sky” Laws, or (iii) the Acquiror Organizational Documents. No Person has any contractual or other right or obligation to purchase or otherwise acquire any of the Sponsor Shares, Convertible Sponsor Note or Warrants other than pursuant to the Merger Agreement.</w:t>
      </w:r>
    </w:p>
    <w:p>
      <w:pPr>
        <w:spacing w:after="0" w:line="195" w:lineRule="exact"/>
        <w:rPr>
          <w:sz w:val="20"/>
          <w:szCs w:val="20"/>
          <w:color w:val="auto"/>
        </w:rPr>
      </w:pPr>
    </w:p>
    <w:p>
      <w:pPr>
        <w:ind w:right="2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Sponsor understands and acknowledges that Acquiror and the Company are relying upon the Sponsor’s execution, delivery and performance of this Agreement and upon the representations and warranties and covenants of the Sponsor contained in this Agreement.</w:t>
      </w:r>
    </w:p>
    <w:p>
      <w:pPr>
        <w:spacing w:after="0" w:line="163"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As of the date of this Agreement, no agent, broker, investment banker, finder or other intermediary is or shall be entitled to any fee or commission or reimbursement of expenses from Acquiror, Merger Sub or the Company or any of their respective Affiliates in respect of this Agreement, the Merger Agreement or the Transaction Agreements based upon any arrangement or agreement made by or on behalf of the Sponsor, except as set forth in </w:t>
      </w: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 xml:space="preserve"> to the Merger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8" w:name="page119"/>
    <w:bookmarkEnd w:id="118"/>
    <w:p>
      <w:pPr>
        <w:ind w:right="10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Affiliate Arrangements</w:t>
      </w:r>
      <w:r>
        <w:rPr>
          <w:rFonts w:ascii="Times New Roman" w:cs="Times New Roman" w:eastAsia="Times New Roman" w:hAnsi="Times New Roman"/>
          <w:sz w:val="18"/>
          <w:szCs w:val="18"/>
          <w:color w:val="auto"/>
        </w:rPr>
        <w:t xml:space="preserve">. As of the date of this Agreement, neither the Sponsor nor any of its Affiliates or any member of its immediate family (i) is party to, or has any rights with respect to or arising from, any Acquiror Material Contract, except as listed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attached hereto or (ii) other than the Sponsor Notes, is (or will be) entitled to receive from Acquiror, the Company or any of their respective Subsidiaries any finder’s fee, reimbursement, consulting fee, monies or other consideration, in each case, regardless whether in the form of equity or cash or in respect of any repayment of a loan or other compensation prior to, or in connection with the consummation of the Merger.</w:t>
      </w:r>
    </w:p>
    <w:p>
      <w:pPr>
        <w:spacing w:after="0" w:line="186" w:lineRule="exact"/>
        <w:rPr>
          <w:sz w:val="20"/>
          <w:szCs w:val="20"/>
          <w:color w:val="auto"/>
        </w:rPr>
      </w:pPr>
    </w:p>
    <w:p>
      <w:pPr>
        <w:ind w:right="20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the Sponsor in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neither the Sponsor nor any other Person on behalf of the Sponsor makes any express or implied representation or warranty to Acquiror or the Company in connection with this Agreement, and the Sponsor expressly disclaims any such other representations or warranties.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ACQUIROR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Acquiror represents and warrants to the Sponsor and the Company as follows:</w:t>
      </w:r>
    </w:p>
    <w:p>
      <w:pPr>
        <w:spacing w:after="0" w:line="220"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Acquiror is a corporation duly organized, validly existing and in good standing under the Laws of Delaware.</w:t>
      </w:r>
    </w:p>
    <w:p>
      <w:pPr>
        <w:spacing w:after="0" w:line="220"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Acquiror has all requisite corporate power and authority and has taken all corporate or similar action necessary in order to execute and deliver this Agreement, to perform its obligations under this Agreement and to consummate the transactions contemplated by this Agreement. No approval by any holder of Acquiror’s equity interests is necessary to approve this Agreement. This Agreement has been duly executed and delivered by Acquiror and constitutes a valid and binding agreement of Acquiror enforceable against Acquiror in accordance with its terms, subject to the Enforceability Exceptions.</w:t>
      </w:r>
    </w:p>
    <w:p>
      <w:pPr>
        <w:spacing w:after="0" w:line="186" w:lineRule="exact"/>
        <w:rPr>
          <w:sz w:val="20"/>
          <w:szCs w:val="20"/>
          <w:color w:val="auto"/>
        </w:rPr>
      </w:pPr>
    </w:p>
    <w:p>
      <w:pPr>
        <w:jc w:val="both"/>
        <w:ind w:right="12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Acquiror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neither Acquiror nor any other Person on behalf of Acquiror makes any express or implied representation or warranty to the Sponsor or the Company in connection with this Agreement, and Acquiror expressly disclaims any such other representations or warranties.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represents and warrants to the Sponsor and the Acquiror as follows:</w:t>
      </w:r>
    </w:p>
    <w:p>
      <w:pPr>
        <w:spacing w:after="0" w:line="220"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The Company is a corporation duly organized, validly existing and in good standing under the Laws of Delaware.</w:t>
      </w:r>
    </w:p>
    <w:p>
      <w:pPr>
        <w:spacing w:after="0" w:line="220" w:lineRule="exact"/>
        <w:rPr>
          <w:sz w:val="20"/>
          <w:szCs w:val="20"/>
          <w:color w:val="auto"/>
        </w:rPr>
      </w:pPr>
    </w:p>
    <w:p>
      <w:pPr>
        <w:ind w:right="6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The Company has all requisite corporate power and authority and has taken all corporate or similar action necessary in order to execute and deliver this Agreement, to perform its obligations under this Agreement and to consummate the transactions contemplated by this Agreement. No approval by any holder of the Company’s equity interests is necessary to approve this Agreement. This Agreement has been duly executed and delivered by the Company and constitutes a valid and binding agreement of the Company enforceable against the Company in accordance with its terms, subject to the Enforceability Exceptions.</w:t>
      </w:r>
    </w:p>
    <w:p>
      <w:pPr>
        <w:spacing w:after="0" w:line="186" w:lineRule="exact"/>
        <w:rPr>
          <w:sz w:val="20"/>
          <w:szCs w:val="20"/>
          <w:color w:val="auto"/>
        </w:rPr>
      </w:pPr>
    </w:p>
    <w:p>
      <w:pPr>
        <w:ind w:right="8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the Company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neither the Company nor any other Person on behalf of the Company makes any express or implied representation or warranty to the Sponsor or Acquiror in connection with this Agreement, and the Company expressly disclaims any such other representations or warranties.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4"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be terminated at the earliest to occur of: (a) the termination of the Merger Agreement pursuant to Article XI thereof and (b) the effective date of a mutual written agreement duly executed and delivered by Acquiror, the Company and the Sponsor terminating this Agreement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any termination pursuant to clause (b) of this sentence,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(‘Waiver of Appraisal Rights’),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(‘No Litigation’),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(‘Further Assurances’), and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shall survive such termination. Nothing set forth in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elsewhere in this Agreement shall relieve any Party of any liability or damages to any other Party for any breach of this Agreement by such Party prior to such termination or fraud in connection with, arising out of or otherwise related to the express representations and warranties set forth in this Agreement or any instrument or other document delivered pursuant to this Agreement.</w:t>
      </w:r>
    </w:p>
    <w:p>
      <w:pPr>
        <w:spacing w:after="0" w:line="187" w:lineRule="exact"/>
        <w:rPr>
          <w:sz w:val="20"/>
          <w:szCs w:val="20"/>
          <w:color w:val="auto"/>
        </w:rPr>
      </w:pPr>
    </w:p>
    <w:p>
      <w:pPr>
        <w:ind w:right="40"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rights and remedies of the parties shall be cumulative with and not exclusive of any other remedy conferred hereby.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including Sponsor’s obligations to vote its Sponsor Shares and/or New Securities as provided in this Agreement (and each party hereby waives any requirement for the securing or posting of any bond in connection with such remedy), this being in addition to any other remedy to which they are entitled at law or in equity.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20" w:name="page121"/>
    <w:bookmarkEnd w:id="120"/>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among the Parties shall be in writing and shall be deemed to have been duly given</w:t>
      </w:r>
    </w:p>
    <w:p>
      <w:pPr>
        <w:spacing w:after="0" w:line="25" w:lineRule="exact"/>
        <w:rPr>
          <w:sz w:val="20"/>
          <w:szCs w:val="20"/>
          <w:color w:val="auto"/>
        </w:rPr>
      </w:pPr>
    </w:p>
    <w:p>
      <w:pPr>
        <w:jc w:val="both"/>
        <w:ind w:right="80" w:firstLine="7"/>
        <w:spacing w:after="0" w:line="251" w:lineRule="auto"/>
        <w:tabs>
          <w:tab w:leader="none" w:pos="21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in person, (ii) when delivered after posting in the United States mail having been sent registered or certified mail return receipt requested, postage prepaid, (iii) when delivered by FedEx or other nationally recognized overnight delivery service or (iv) when e-mailed during normal business hours (and otherwise as of the immediately following Business Day), addressed as follows:</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If to the Acquiror or the Sponsor:</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MedTech Acquisition Sponsor LLC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48 Maple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Greenwich, Connecticut 06830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Christopher C. Dewey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ccdewey@gmail.com</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Foley &amp; Lardner LLP</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100 N. Tampa Street, Suite 2700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Tampa, FL 33602</w:t>
      </w:r>
    </w:p>
    <w:p>
      <w:pPr>
        <w:spacing w:after="0" w:line="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color w:val="auto"/>
        </w:rPr>
        <w:t>Attn:</w:t>
        <w:tab/>
        <w:t>Kevin Shuler</w:t>
      </w:r>
    </w:p>
    <w:p>
      <w:pPr>
        <w:spacing w:after="0" w:line="6" w:lineRule="exact"/>
        <w:rPr>
          <w:sz w:val="20"/>
          <w:szCs w:val="20"/>
          <w:color w:val="auto"/>
        </w:rPr>
      </w:pPr>
    </w:p>
    <w:p>
      <w:pPr>
        <w:ind w:left="12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tab/>
        <w:t>kshuler@foley.com</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TriSalus Life Sciences Inc.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6272 W. 91st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Westminster, CO 80031</w:t>
      </w:r>
    </w:p>
    <w:p>
      <w:pPr>
        <w:spacing w:after="0" w:line="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color w:val="auto"/>
        </w:rPr>
        <w:t>Attn:</w:t>
        <w:tab/>
        <w:t>Sean Murphy</w:t>
      </w:r>
    </w:p>
    <w:p>
      <w:pPr>
        <w:spacing w:after="0" w:line="6" w:lineRule="exact"/>
        <w:rPr>
          <w:sz w:val="20"/>
          <w:szCs w:val="20"/>
          <w:color w:val="auto"/>
        </w:rPr>
      </w:pPr>
    </w:p>
    <w:p>
      <w:pPr>
        <w:ind w:left="12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tab/>
        <w:t>sean.murphy@trisaluslifesci.com</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Cooley LLP</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10265 Science Center Drive</w:t>
      </w:r>
    </w:p>
    <w:p>
      <w:pPr>
        <w:spacing w:after="0" w:line="6" w:lineRule="exact"/>
        <w:rPr>
          <w:sz w:val="20"/>
          <w:szCs w:val="20"/>
          <w:color w:val="auto"/>
        </w:rPr>
      </w:pPr>
    </w:p>
    <w:p>
      <w:pPr>
        <w:ind w:left="1280"/>
        <w:spacing w:after="0"/>
        <w:tabs>
          <w:tab w:leader="none" w:pos="3520" w:val="left"/>
        </w:tabs>
        <w:rPr>
          <w:sz w:val="20"/>
          <w:szCs w:val="20"/>
          <w:color w:val="auto"/>
        </w:rPr>
      </w:pPr>
      <w:r>
        <w:rPr>
          <w:rFonts w:ascii="Times New Roman" w:cs="Times New Roman" w:eastAsia="Times New Roman" w:hAnsi="Times New Roman"/>
          <w:sz w:val="18"/>
          <w:szCs w:val="18"/>
          <w:color w:val="auto"/>
        </w:rPr>
        <w:t>San Diego, CA 92121 Attn:</w:t>
      </w:r>
      <w:r>
        <w:rPr>
          <w:sz w:val="20"/>
          <w:szCs w:val="20"/>
          <w:color w:val="auto"/>
        </w:rPr>
        <w:tab/>
      </w:r>
      <w:r>
        <w:rPr>
          <w:rFonts w:ascii="Times New Roman" w:cs="Times New Roman" w:eastAsia="Times New Roman" w:hAnsi="Times New Roman"/>
          <w:sz w:val="17"/>
          <w:szCs w:val="17"/>
          <w:color w:val="auto"/>
        </w:rPr>
        <w:t>Rama Padmanabhan; Matt Browne</w:t>
      </w:r>
    </w:p>
    <w:p>
      <w:pPr>
        <w:spacing w:after="0" w:line="6" w:lineRule="exact"/>
        <w:rPr>
          <w:sz w:val="20"/>
          <w:szCs w:val="20"/>
          <w:color w:val="auto"/>
        </w:rPr>
      </w:pPr>
    </w:p>
    <w:p>
      <w:pPr>
        <w:ind w:left="12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tab/>
        <w:t>rama@cooley.com; mbrowne@cooley.com</w:t>
      </w:r>
    </w:p>
    <w:p>
      <w:pPr>
        <w:spacing w:after="0" w:line="199"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5.04.</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Article XII and</w:t>
      </w:r>
      <w:r>
        <w:rPr>
          <w:rFonts w:ascii="Times New Roman" w:cs="Times New Roman" w:eastAsia="Times New Roman" w:hAnsi="Times New Roman"/>
          <w:sz w:val="17"/>
          <w:szCs w:val="17"/>
          <w:u w:val="single" w:color="auto"/>
          <w:color w:val="auto"/>
        </w:rPr>
        <w:t xml:space="preserve"> Section 1.02 </w:t>
      </w:r>
      <w:r>
        <w:rPr>
          <w:rFonts w:ascii="Times New Roman" w:cs="Times New Roman" w:eastAsia="Times New Roman" w:hAnsi="Times New Roman"/>
          <w:sz w:val="17"/>
          <w:szCs w:val="17"/>
          <w:color w:val="auto"/>
        </w:rPr>
        <w:t>of the Merger Agreement shall apply to this Agreement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firstLine="640"/>
        <w:spacing w:after="0" w:line="307" w:lineRule="auto"/>
        <w:rPr>
          <w:sz w:val="20"/>
          <w:szCs w:val="20"/>
          <w:color w:val="auto"/>
        </w:rPr>
      </w:pPr>
      <w:r>
        <w:rPr>
          <w:rFonts w:ascii="Times New Roman" w:cs="Times New Roman" w:eastAsia="Times New Roman" w:hAnsi="Times New Roman"/>
          <w:sz w:val="17"/>
          <w:szCs w:val="17"/>
          <w:color w:val="auto"/>
        </w:rPr>
        <w:t xml:space="preserve">Section 5.05. </w:t>
      </w: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Nothing expressed or implied in this Agreement is intended or shall be construed to confer upon or give any Person, other than the Parties and their respective heirs, successors and permitted assigns, any right or remedy under or by reason of this Agreement.</w:t>
      </w:r>
    </w:p>
    <w:p>
      <w:pPr>
        <w:spacing w:after="0" w:line="140"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Merger Agreement constitute the entire agreement and understanding of the Parties with respect to the subject matter hereof and supersede all prior understandings, agreements and representations by or among the Parties hereto to the extent they relate in any way to the subject matter hereof.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MedTech Acquisition Sponsor LLC</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15875</wp:posOffset>
            </wp:positionV>
            <wp:extent cx="32029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288290</wp:posOffset>
            </wp:positionV>
            <wp:extent cx="7134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499"/>
          </w:cols>
          <w:pgMar w:left="960" w:top="895"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TriSalus Life Sciences, Inc.</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15875</wp:posOffset>
            </wp:positionV>
            <wp:extent cx="32029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288290</wp:posOffset>
            </wp:positionV>
            <wp:extent cx="7134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499"/>
          </w:cols>
          <w:pgMar w:left="960" w:top="895"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MedTech Acquisition Corporation</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15875</wp:posOffset>
            </wp:positionV>
            <wp:extent cx="32029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288290</wp:posOffset>
            </wp:positionV>
            <wp:extent cx="71342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499"/>
          </w:cols>
          <w:pgMar w:left="960" w:top="895"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JOINDER</w:t>
      </w:r>
    </w:p>
    <w:p>
      <w:pPr>
        <w:spacing w:after="0" w:line="224" w:lineRule="exact"/>
        <w:rPr>
          <w:sz w:val="20"/>
          <w:szCs w:val="20"/>
          <w:color w:val="auto"/>
        </w:rPr>
      </w:pPr>
    </w:p>
    <w:p>
      <w:pPr>
        <w:ind w:right="260" w:firstLine="640"/>
        <w:spacing w:after="0" w:line="257"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made as of the date written below by the undersigned (the “</w:t>
      </w:r>
      <w:r>
        <w:rPr>
          <w:rFonts w:ascii="Times New Roman" w:cs="Times New Roman" w:eastAsia="Times New Roman" w:hAnsi="Times New Roman"/>
          <w:sz w:val="18"/>
          <w:szCs w:val="18"/>
          <w:u w:val="single" w:color="auto"/>
          <w:color w:val="auto"/>
        </w:rPr>
        <w:t>Joining Party</w:t>
      </w:r>
      <w:r>
        <w:rPr>
          <w:rFonts w:ascii="Times New Roman" w:cs="Times New Roman" w:eastAsia="Times New Roman" w:hAnsi="Times New Roman"/>
          <w:sz w:val="18"/>
          <w:szCs w:val="18"/>
          <w:color w:val="auto"/>
        </w:rPr>
        <w:t>”) in accordance with the Sponsor Support Agreement dated as of November 11, 2022 (the “</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by and among Acquiror, the Company and the Sponsor that are party thereto as the same may be amended, supplemented or otherwise modified from time to time. Capitalized terms used herein and not otherwise defined shall have the meaning ascribed to them in the Sponsor Support Agreement.</w:t>
      </w:r>
    </w:p>
    <w:p>
      <w:pPr>
        <w:spacing w:after="0" w:line="181"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The Joining Party hereby acknowledges, agrees and confirms that, by its execution of this Joinder Agreement, the Joining Party shall be deemed to be a “Sponsor” under, this Sponsor Support Agreement as of the date hereof and shall have all of the rights and obligations of a Sponsor as if he, she or it had executed the Sponsor Support Agreement as “Sponsor”. The Joining Party hereby ratifies, as of the date hereof, and agrees to be bound by, all of the terms, provisions and conditions contained in the Sponsor Support Agreement applicable to “Sponsor.”</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duly executed this Joinder Agreement as of the date written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 20[●]</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Email Address:</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u w:val="single" w:color="auto"/>
          <w:color w:val="auto"/>
        </w:rPr>
        <w:t>Annex B</w:t>
      </w:r>
    </w:p>
    <w:p>
      <w:pPr>
        <w:spacing w:after="0" w:line="21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Sponsor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289560</wp:posOffset>
            </wp:positionV>
            <wp:extent cx="71342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u w:val="single" w:color="auto"/>
          <w:color w:val="auto"/>
        </w:rPr>
        <w:t>Annex C</w:t>
      </w:r>
    </w:p>
    <w:p>
      <w:pPr>
        <w:spacing w:after="0" w:line="2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Acquiror 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289560</wp:posOffset>
            </wp:positionV>
            <wp:extent cx="71342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SUPPORT AGREEMENT</w:t>
      </w:r>
    </w:p>
    <w:p>
      <w:pPr>
        <w:spacing w:after="0" w:line="224" w:lineRule="exact"/>
        <w:rPr>
          <w:sz w:val="20"/>
          <w:szCs w:val="20"/>
          <w:color w:val="auto"/>
        </w:rPr>
      </w:pPr>
    </w:p>
    <w:p>
      <w:pPr>
        <w:ind w:right="180" w:firstLine="640"/>
        <w:spacing w:after="0" w:line="253" w:lineRule="auto"/>
        <w:rPr>
          <w:sz w:val="20"/>
          <w:szCs w:val="20"/>
          <w:color w:val="auto"/>
        </w:rPr>
      </w:pPr>
      <w:r>
        <w:rPr>
          <w:rFonts w:ascii="Times New Roman" w:cs="Times New Roman" w:eastAsia="Times New Roman" w:hAnsi="Times New Roman"/>
          <w:sz w:val="18"/>
          <w:szCs w:val="18"/>
          <w:color w:val="auto"/>
        </w:rPr>
        <w:t>This STOCKHOLDER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11, 2022, is entered into by and between MedTech Acquisition Corporation, a Delaware corporation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TriSalus Life Sciences,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stockholder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together with Acquiror and the Company,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herein and not otherwise defined shall have the meaning ascribed to them in the Agreement and Plan of Merger, dated as of November 11, 2022 (as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Acquiror and MTAC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4" w:lineRule="exact"/>
        <w:rPr>
          <w:sz w:val="20"/>
          <w:szCs w:val="20"/>
          <w:color w:val="auto"/>
        </w:rPr>
      </w:pPr>
    </w:p>
    <w:p>
      <w:pPr>
        <w:jc w:val="both"/>
        <w:ind w:right="120" w:firstLine="640"/>
        <w:spacing w:after="0" w:line="262" w:lineRule="auto"/>
        <w:rPr>
          <w:sz w:val="20"/>
          <w:szCs w:val="20"/>
          <w:color w:val="auto"/>
        </w:rPr>
      </w:pPr>
      <w:r>
        <w:rPr>
          <w:rFonts w:ascii="Times New Roman" w:cs="Times New Roman" w:eastAsia="Times New Roman" w:hAnsi="Times New Roman"/>
          <w:sz w:val="18"/>
          <w:szCs w:val="18"/>
          <w:color w:val="auto"/>
        </w:rPr>
        <w:t>WHEREAS, as of the date of this Agreement, the Stockholder is the record holder and the beneficial owner (as such term is defined in Rule 13d-3 under the Exchange Act), of, and has full voting power over, (a) the number of Company Common Shares and (b) the number of Company Preferred Shares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set forth on the Stockholder’s signature page hereto;</w:t>
      </w:r>
    </w:p>
    <w:p>
      <w:pPr>
        <w:spacing w:after="0" w:line="176" w:lineRule="exact"/>
        <w:rPr>
          <w:sz w:val="20"/>
          <w:szCs w:val="20"/>
          <w:color w:val="auto"/>
        </w:rPr>
      </w:pPr>
    </w:p>
    <w:p>
      <w:pPr>
        <w:ind w:right="180" w:firstLine="640"/>
        <w:spacing w:after="0" w:line="277" w:lineRule="auto"/>
        <w:rPr>
          <w:sz w:val="20"/>
          <w:szCs w:val="20"/>
          <w:color w:val="auto"/>
        </w:rPr>
      </w:pPr>
      <w:r>
        <w:rPr>
          <w:rFonts w:ascii="Times New Roman" w:cs="Times New Roman" w:eastAsia="Times New Roman" w:hAnsi="Times New Roman"/>
          <w:sz w:val="18"/>
          <w:szCs w:val="18"/>
          <w:color w:val="auto"/>
        </w:rPr>
        <w:t>WHEREAS, the Company, Acquiror and Merger Sub have entered into the Merger Agreement, which provides for the merger of Merger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being the surviving corporation of the Merger, pursuant to the provisions of the DGCL;</w:t>
      </w:r>
    </w:p>
    <w:p>
      <w:pPr>
        <w:spacing w:after="0" w:line="163" w:lineRule="exact"/>
        <w:rPr>
          <w:sz w:val="20"/>
          <w:szCs w:val="20"/>
          <w:color w:val="auto"/>
        </w:rPr>
      </w:pPr>
    </w:p>
    <w:p>
      <w:pPr>
        <w:ind w:right="80" w:firstLine="640"/>
        <w:spacing w:after="0" w:line="254" w:lineRule="auto"/>
        <w:rPr>
          <w:sz w:val="20"/>
          <w:szCs w:val="20"/>
          <w:color w:val="auto"/>
        </w:rPr>
      </w:pPr>
      <w:r>
        <w:rPr>
          <w:rFonts w:ascii="Times New Roman" w:cs="Times New Roman" w:eastAsia="Times New Roman" w:hAnsi="Times New Roman"/>
          <w:sz w:val="18"/>
          <w:szCs w:val="18"/>
          <w:color w:val="auto"/>
        </w:rPr>
        <w:t>WHEREAS, the Stockholder acknowledges that, as a condition and material inducement to Acquiror and Merger Sub’s willingness to enter into the Merger Agreement, Acquiror has required that certain Company Stockholders constituting the Company Requisite Stockholders, concurrently with the execution of the Merger Agreement, execute and deliver Support Agreements, and, in order to induce Acquiror and Merger Sub to enter into the Merger Agreement and consummate the Merger and the other transactions contemplated by the Merger Agreement, the Stockholder is willing to enter into this Agreement;</w:t>
      </w:r>
    </w:p>
    <w:p>
      <w:pPr>
        <w:spacing w:after="0" w:line="186"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WHEREAS, Acquiror desires that the Stockholder agree, and the Stockholder is willing to agree, subject to the limitations herein, not to Transfer (as defined below) any of its Shares, to vote its Shares in favor of the Merger (either at a duly called meeting of the Company or by a written consent action) and to facilitate consummation of the Merger and the other transactions contemplated by the Merger Agreement, and to undertake certain additional obligations pursuant to this Agreement; and</w:t>
      </w:r>
    </w:p>
    <w:p>
      <w:pPr>
        <w:spacing w:after="0" w:line="181" w:lineRule="exact"/>
        <w:rPr>
          <w:sz w:val="20"/>
          <w:szCs w:val="20"/>
          <w:color w:val="auto"/>
        </w:rPr>
      </w:pPr>
    </w:p>
    <w:p>
      <w:pPr>
        <w:ind w:right="360" w:firstLine="640"/>
        <w:spacing w:after="0" w:line="277" w:lineRule="auto"/>
        <w:rPr>
          <w:sz w:val="20"/>
          <w:szCs w:val="20"/>
          <w:color w:val="auto"/>
        </w:rPr>
      </w:pPr>
      <w:r>
        <w:rPr>
          <w:rFonts w:ascii="Times New Roman" w:cs="Times New Roman" w:eastAsia="Times New Roman" w:hAnsi="Times New Roman"/>
          <w:sz w:val="18"/>
          <w:szCs w:val="18"/>
          <w:color w:val="auto"/>
        </w:rPr>
        <w:t>WHEREAS, Acquiror and the Stockholder desire to make certain representations, warranties, covenants and agreements in connection with this Agreement.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NOW, THEREFORE, in consideration of the foregoing premises and the representations, warranties, covenants and agreements set forth in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410210</wp:posOffset>
            </wp:positionV>
            <wp:extent cx="71342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TRANSFER OF SHARES</w:t>
      </w:r>
    </w:p>
    <w:p>
      <w:pPr>
        <w:spacing w:after="0" w:line="224"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60" w:right="80" w:firstLine="647"/>
        <w:spacing w:after="0" w:line="252" w:lineRule="auto"/>
        <w:tabs>
          <w:tab w:leader="none" w:pos="131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irrevocably and unconditionally agrees, during the period beginning on the date of this Agreement and ending on the earlier of (i) the Closing or (ii) the valid termination of this Agreement in accordance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at each meeting of the stockholders of the Company (a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and at each adjournment or postponement thereof, and in any other circumstance in which the vote, consent or other approval of the stockholders of the Company is sought (a “</w:t>
      </w:r>
      <w:r>
        <w:rPr>
          <w:rFonts w:ascii="Times New Roman" w:cs="Times New Roman" w:eastAsia="Times New Roman" w:hAnsi="Times New Roman"/>
          <w:sz w:val="18"/>
          <w:szCs w:val="18"/>
          <w:u w:val="single" w:color="auto"/>
          <w:color w:val="auto"/>
        </w:rPr>
        <w:t>Consent Solicitation</w:t>
      </w:r>
      <w:r>
        <w:rPr>
          <w:rFonts w:ascii="Times New Roman" w:cs="Times New Roman" w:eastAsia="Times New Roman" w:hAnsi="Times New Roman"/>
          <w:sz w:val="18"/>
          <w:szCs w:val="18"/>
          <w:color w:val="auto"/>
        </w:rPr>
        <w:t>”), to cause to be present in person or represented by proxy and to vote or cause to be voted (or validly execute and deliver and take all other action necessary to grant legally effective express consent or dissent in writing, as applicable) that number of Shares set forth on the Stockholder’s signature page hereto and any New Securities (collectively,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that are entitled to vote (or express consent or dissent in writing, as applicable), in each case as follows:</w:t>
      </w:r>
    </w:p>
    <w:p>
      <w:pPr>
        <w:spacing w:after="0" w:line="186" w:lineRule="exact"/>
        <w:rPr>
          <w:rFonts w:ascii="Times New Roman" w:cs="Times New Roman" w:eastAsia="Times New Roman" w:hAnsi="Times New Roman"/>
          <w:sz w:val="18"/>
          <w:szCs w:val="18"/>
          <w:color w:val="auto"/>
        </w:rPr>
      </w:pPr>
    </w:p>
    <w:p>
      <w:pPr>
        <w:ind w:left="-60" w:right="620" w:firstLine="1288"/>
        <w:spacing w:after="0" w:line="307" w:lineRule="auto"/>
        <w:tabs>
          <w:tab w:leader="none" w:pos="1922"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favor of any proposal for stockholders of the Company to adopt the Merger Agreement and approve any other matters necessary for consummation of the transactions contemplated by the Merger Agreement, including the Merger and the Preferred Conversion;</w:t>
      </w:r>
    </w:p>
    <w:p>
      <w:pPr>
        <w:spacing w:after="0" w:line="140" w:lineRule="exact"/>
        <w:rPr>
          <w:rFonts w:ascii="Times New Roman" w:cs="Times New Roman" w:eastAsia="Times New Roman" w:hAnsi="Times New Roman"/>
          <w:sz w:val="17"/>
          <w:szCs w:val="17"/>
          <w:color w:val="auto"/>
        </w:rPr>
      </w:pPr>
    </w:p>
    <w:p>
      <w:pPr>
        <w:jc w:val="both"/>
        <w:ind w:left="-60" w:right="40" w:firstLine="1288"/>
        <w:spacing w:after="0" w:line="262" w:lineRule="auto"/>
        <w:tabs>
          <w:tab w:leader="none" w:pos="197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to adjourn a Meeting at which there is a proposal for stockholders of the Company to adopt the Merger Agreement to a later date if there are not sufficient votes to adopt the Merger Agreement or if there are not sufficient Shares present in person or represented by proxy at such Meeting to constitute a quorum;</w:t>
      </w:r>
    </w:p>
    <w:p>
      <w:pPr>
        <w:spacing w:after="0" w:line="176" w:lineRule="exact"/>
        <w:rPr>
          <w:rFonts w:ascii="Times New Roman" w:cs="Times New Roman" w:eastAsia="Times New Roman" w:hAnsi="Times New Roman"/>
          <w:sz w:val="18"/>
          <w:szCs w:val="18"/>
          <w:color w:val="auto"/>
        </w:rPr>
      </w:pPr>
    </w:p>
    <w:p>
      <w:pPr>
        <w:ind w:left="-60" w:right="700" w:firstLine="1288"/>
        <w:spacing w:after="0" w:line="277" w:lineRule="auto"/>
        <w:tabs>
          <w:tab w:leader="none" w:pos="202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providing for an Acquisition Transaction (other than matters related to the Contemplated Interim Financing) or the adoption of an agreement to enter into an Acquisition Transaction;</w:t>
      </w:r>
    </w:p>
    <w:p>
      <w:pPr>
        <w:spacing w:after="0" w:line="162" w:lineRule="exact"/>
        <w:rPr>
          <w:rFonts w:ascii="Times New Roman" w:cs="Times New Roman" w:eastAsia="Times New Roman" w:hAnsi="Times New Roman"/>
          <w:sz w:val="18"/>
          <w:szCs w:val="18"/>
          <w:color w:val="auto"/>
        </w:rPr>
      </w:pPr>
    </w:p>
    <w:p>
      <w:pPr>
        <w:ind w:left="-60" w:right="40" w:firstLine="1288"/>
        <w:spacing w:after="0" w:line="262" w:lineRule="auto"/>
        <w:tabs>
          <w:tab w:leader="none" w:pos="201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for any amendment or modification of the Company’s organizational documents that would change the voting rights of any Shares or the number of votes required to approval any proposal, including the vote required to adopt the Merger Agreement (other than in connection with the Contemplated Interim Financing); and</w:t>
      </w:r>
    </w:p>
    <w:p>
      <w:pPr>
        <w:spacing w:after="0" w:line="176" w:lineRule="exact"/>
        <w:rPr>
          <w:rFonts w:ascii="Times New Roman" w:cs="Times New Roman" w:eastAsia="Times New Roman" w:hAnsi="Times New Roman"/>
          <w:sz w:val="18"/>
          <w:szCs w:val="18"/>
          <w:color w:val="auto"/>
        </w:rPr>
      </w:pPr>
    </w:p>
    <w:p>
      <w:pPr>
        <w:ind w:left="-60" w:right="280" w:firstLine="1288"/>
        <w:spacing w:after="0" w:line="262" w:lineRule="auto"/>
        <w:tabs>
          <w:tab w:leader="none" w:pos="196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transaction or agreement that would, or would reasonably be expected to, (A) result in a breach of any representation or warranty or covenant of the Stockholder under this Agreement or (B) prevent, delay or impair consummation of the Transactions in any material respect, except, for the avoidance of doubt, any Contemplated Interim Financing.</w:t>
      </w:r>
    </w:p>
    <w:p>
      <w:pPr>
        <w:spacing w:after="0" w:line="176" w:lineRule="exact"/>
        <w:rPr>
          <w:rFonts w:ascii="Times New Roman" w:cs="Times New Roman" w:eastAsia="Times New Roman" w:hAnsi="Times New Roman"/>
          <w:sz w:val="18"/>
          <w:szCs w:val="18"/>
          <w:color w:val="auto"/>
        </w:rPr>
      </w:pPr>
    </w:p>
    <w:p>
      <w:pPr>
        <w:ind w:left="-60" w:firstLine="647"/>
        <w:spacing w:after="0" w:line="254" w:lineRule="auto"/>
        <w:tabs>
          <w:tab w:leader="none" w:pos="132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vote required to be cast or consent or dissent in writing required to be expressed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be cast or expressed in accordance with the applicable procedures relating thereto so as to ensure that it is duly counted for purposes of determining that a quorum is present (if applicable) and for purposes of recording the results of that vote or Consent Solicitation. For the avoidance of doubt, nothing contained herein requires the Stockholder (or entitles any proxy of the Stockholder) to convert, exercise or exchange any options, warrants or convertible securities in order to obtain any underlying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15875</wp:posOffset>
            </wp:positionV>
            <wp:extent cx="7134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20"/>
          </w:cols>
          <w:pgMar w:left="380" w:top="891" w:right="399" w:bottom="1440" w:gutter="0" w:footer="0" w:header="0"/>
        </w:sectPr>
      </w:pPr>
    </w:p>
    <w:bookmarkStart w:id="129" w:name="page130"/>
    <w:bookmarkEnd w:id="129"/>
    <w:p>
      <w:pPr>
        <w:ind w:left="-20" w:right="240" w:firstLine="647"/>
        <w:spacing w:after="0" w:line="277" w:lineRule="auto"/>
        <w:tabs>
          <w:tab w:leader="none" w:pos="13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agrees not to enter into any commitment, agreement, understanding or similar arrangement with any Person to vote or give voting instructions or express consent or dissent in writing in any manner inconsistent with the terms of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20" w:firstLine="647"/>
        <w:spacing w:after="0" w:line="249" w:lineRule="auto"/>
        <w:tabs>
          <w:tab w:leader="none" w:pos="13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with respect to the Subject Shares, irrevocably grants a proxy appointing the Company and any designee of the Company, and each of them individually and with full power of substitution, as the Stockholder’s true and lawful attorney-in-fact and proxy, for and in the Stockholder’s name, place and stead, to be counted as represented by proxy and vote, at any time during the Applicable Period, each Subject Share as the Stockholder’s proxy, at every Meeting (including at any adjournment or postponement thereof) and to execute and deliver on behalf of the Stockholder any written expression of consent or dissent relating to the Subject Shares in order to cause the Stockholder to perform the covenants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provided, however, that the Stockholder’s grant of the proxy and power of attorney contemplated by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will be effective with respect to a Meeting or Consent Solicitation if, and only if, the Stockholder has not delivered or caused to be delivered to the Secretary of the Company (or the Person undertaking the Consent Solicitation, as applicable), at least two (2) Business Days’ prior to the Meeting or deadline for the Consent Solicitation, as applicable, a duly executed irrevocable proxy directing that the Subject Shares be voted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a duly executed irrevocable expression of consent or dissent in writing to be delivered in accordance with Section 7.07 of the Merger Agreement and with respect to the Subject Shares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as applicable. The proxy described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if it becomes effective, is limited solely to the voting of Subject Shares (or expressing consent or dissent in writing with respect thereto) during the Applicable Period solely in order to cause the Stockholder to perform the covenants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The Stockholder hereby affirms that the irrevocable proxy set forth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if it becomes effective, is given in connection with the execution of the Merger Agreement and such irrevocable proxy is given to secure the performance of the obligations of the Stockholder under this Agreement. The proxy described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if it becomes effective, is coupled with an interest, including for the purposes of Section 212 of the DGCL, revokes all prior proxies granted by the Stockholder with respect to the Subject Shares and is irrevocable, provided that this proxy shall automatically terminate upon the last day of the Applicable Period. The power of attorney granted by the Stockholder, if it becomes effective, is a durable power of attorney and, subject to its automatic termination at the end of the Applicable Period, shall survive the bankruptcy, dissolution, death or incapacity of the Stockholder. For Subject Shares as to which the Stockholder is the beneficial owner but not the holder of record, the Stockholder shall cause any holder of record of such Subject Shares to grant to Acquiror a proxy to the same effect as that described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Acquiror may terminate this proxy with respect to the Stockholder at any time at its sole election by written notice provided to the Stockholder.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71342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130" w:name="page131"/>
    <w:bookmarkEnd w:id="130"/>
    <w:p>
      <w:pPr>
        <w:ind w:right="80" w:firstLine="647"/>
        <w:spacing w:after="0" w:line="257" w:lineRule="auto"/>
        <w:tabs>
          <w:tab w:leader="none" w:pos="138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including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shall be deemed to vest in the Company any direct or indirect ownership or incidence of ownership of or with respect to the Subject Shares of the Stockholder. All rights, ownership and economic benefits of and relating to the Subject Shares of the Stockholder shall remain vested in and belong to the Stockholder, and Acquiror shall have no authority to direct the Stockholder in the voting or disposition of any of the Stockholder’s Subject Shares, except as otherwise provided in </w:t>
      </w:r>
      <w:r>
        <w:rPr>
          <w:rFonts w:ascii="Times New Roman" w:cs="Times New Roman" w:eastAsia="Times New Roman" w:hAnsi="Times New Roman"/>
          <w:sz w:val="18"/>
          <w:szCs w:val="18"/>
          <w:u w:val="single" w:color="auto"/>
          <w:color w:val="auto"/>
        </w:rPr>
        <w:t>Section 1.02(a).</w:t>
      </w:r>
    </w:p>
    <w:p>
      <w:pPr>
        <w:spacing w:after="0" w:line="181" w:lineRule="exact"/>
        <w:rPr>
          <w:sz w:val="20"/>
          <w:szCs w:val="20"/>
          <w:color w:val="auto"/>
        </w:rPr>
      </w:pPr>
    </w:p>
    <w:p>
      <w:pPr>
        <w:ind w:firstLine="640"/>
        <w:spacing w:after="0" w:line="248"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No Transfers</w:t>
      </w:r>
      <w:r>
        <w:rPr>
          <w:rFonts w:ascii="Times New Roman" w:cs="Times New Roman" w:eastAsia="Times New Roman" w:hAnsi="Times New Roman"/>
          <w:sz w:val="18"/>
          <w:szCs w:val="18"/>
          <w:color w:val="auto"/>
        </w:rPr>
        <w:t xml:space="preserve">. During the Applicable Period, the Stockholder shall not, directly or indirectly: (a) sell, convey, assign, transfer (including by succession or otherwise by operation of Law), exchange, pledge, hypothecate or otherwise encumber or dispose of any Subject Shares (or any right, title or interest therein) or any rights to acquire any securities or equity interests of the Company; (b) deposit any Subject Shares or any rights to acquire any securities or equity interests of the Company into a voting trust or enter into a voting agreement or any other arrangement with respect to any Subject Shares or grant or purport to grant any proxy or power of attorney with respect thereto (except as otherwise expressly provided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in each case that is inconsistent with this Agreement; (c) enter into any contract, option, call or other arrangement or undertaking, whether or not in writing, with respect to the sale, conveyance, assignment, transfer (including by succession or otherwise by operation of Law), exchange, pledge, hypothecation or other encumbrance (other than Permitted Encumbrances) or disposition, or limitation on the voting rights, of any Subject Shares (or any right, title or interest therein); (d) otherwise grant, permit or suffer the creation of any Encumbrances on any Subject Shares (other than Permitted Encumbrances, applicable restrictions on transfer under U.S. state or federal securities or “blue sky” Laws) or (e) commit or agree to take any of the foregoing actions or discuss, negotiate or make an offer or enter into a commitment, agreement, understanding or similar agreement to take any of the foregoing actions (any action described in clauses (a), (b), (c), (d) and (e),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Transfers (i) if the stockholder is an entity, between the Stockholder and any Affiliate of the Stockholder, including any of its partners or members or (ii) if the Stockholder is an individual, (A) between the Stockholder and any of its immediately family members, (B) to a trust for the benefit of the Stockholder or to any member of a Stockholder’s immediate family or a trust for the benefit of such immediate family member or (C) by will, other testamentary document or under the laws of intestacy upon the death of Stockholder; provided, further, that a Transfer referred to in subsections (i) or (ii) of the immediately preceding proviso shall be permitted only if, prior to and as a condition to the effectiveness of any such Transfer, such Affiliate or transferee executes and delivers to Acquiror a joinder to this Agreement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Any Transfer or action in violation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If any involuntary Transfer of any of the Subject Shares occurs, the transferee (and all transferees and subsequent transferees of such transferee) shall take and hold such Subject Shares subject to all of the restrictions, liabilities and rights under this Agreement, which shall continue in full force and effect during the Applicable Period. For the avoidance of doubt, nothing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prevent entry into or performance of any obligations pursuant to the Amended and Restated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1" w:name="page132"/>
    <w:bookmarkEnd w:id="131"/>
    <w:p>
      <w:pPr>
        <w:ind w:right="2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Stop Transfer</w:t>
      </w:r>
      <w:r>
        <w:rPr>
          <w:rFonts w:ascii="Times New Roman" w:cs="Times New Roman" w:eastAsia="Times New Roman" w:hAnsi="Times New Roman"/>
          <w:sz w:val="18"/>
          <w:szCs w:val="18"/>
          <w:color w:val="auto"/>
        </w:rPr>
        <w:t xml:space="preserve">. The Stockholder shall not request that the Company register any transfer of any Certificate or other uncertificated interest representing any Subject Shares made in violation of the restrictions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during the Applicable Period.</w:t>
      </w:r>
    </w:p>
    <w:p>
      <w:pPr>
        <w:spacing w:after="0" w:line="163" w:lineRule="exact"/>
        <w:rPr>
          <w:sz w:val="20"/>
          <w:szCs w:val="20"/>
          <w:color w:val="auto"/>
        </w:rPr>
      </w:pPr>
    </w:p>
    <w:p>
      <w:pPr>
        <w:jc w:val="both"/>
        <w:ind w:right="680" w:firstLine="640"/>
        <w:spacing w:after="0" w:line="269" w:lineRule="auto"/>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Waiver of Appraisal Rights</w:t>
      </w:r>
      <w:r>
        <w:rPr>
          <w:rFonts w:ascii="Times New Roman" w:cs="Times New Roman" w:eastAsia="Times New Roman" w:hAnsi="Times New Roman"/>
          <w:sz w:val="17"/>
          <w:szCs w:val="17"/>
          <w:color w:val="auto"/>
        </w:rPr>
        <w:t>. The Stockholder hereby agrees not to (a) assert, exercise or perfect, directly or indirectly, and irrevocably and unconditionally waives, any appraisal rights (including under Section 262 of the DGCL) that the Stockholder may have by virtue of ownership of the Subject Shares with respect to the Merger and any rights to dissent with respect to the Merger (collectively, “</w:t>
      </w:r>
      <w:r>
        <w:rPr>
          <w:rFonts w:ascii="Times New Roman" w:cs="Times New Roman" w:eastAsia="Times New Roman" w:hAnsi="Times New Roman"/>
          <w:sz w:val="17"/>
          <w:szCs w:val="17"/>
          <w:u w:val="single" w:color="auto"/>
          <w:color w:val="auto"/>
        </w:rPr>
        <w:t>Appraisal Rights</w:t>
      </w:r>
      <w:r>
        <w:rPr>
          <w:rFonts w:ascii="Times New Roman" w:cs="Times New Roman" w:eastAsia="Times New Roman" w:hAnsi="Times New Roman"/>
          <w:sz w:val="17"/>
          <w:szCs w:val="17"/>
          <w:color w:val="auto"/>
        </w:rPr>
        <w:t>”) or</w:t>
      </w:r>
    </w:p>
    <w:p>
      <w:pPr>
        <w:spacing w:after="0" w:line="2" w:lineRule="exact"/>
        <w:rPr>
          <w:sz w:val="20"/>
          <w:szCs w:val="20"/>
          <w:color w:val="auto"/>
        </w:rPr>
      </w:pPr>
    </w:p>
    <w:p>
      <w:pPr>
        <w:ind w:right="340" w:firstLine="7"/>
        <w:spacing w:after="0" w:line="249" w:lineRule="auto"/>
        <w:tabs>
          <w:tab w:leader="none" w:pos="2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or participate in any claim, derivative or otherwise, against the Company, the Board of Directors of the Company or the Company’s management, relating to the negotiation, execution or delivery of this Agreement or the Merger Agreement or the consummation of the Transactions, including any claim (i) challenging the validity of, or seeking to enjoin the operation of, any provision of this Agreement or the Merger Agreement, or challenging the validity of, or seeking to enjoin any of the Transactions, or (ii) alleging a breach of any fiduciary duty or any self-dealing of the Board of Directors of the Company in connection with this Agreement, the Merger Agreement or the Transactions.</w:t>
      </w:r>
    </w:p>
    <w:p>
      <w:pPr>
        <w:spacing w:after="0" w:line="188"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7"/>
          <w:szCs w:val="17"/>
          <w:u w:val="single" w:color="auto"/>
          <w:color w:val="auto"/>
        </w:rPr>
        <w:t>Public Announcements; Filings; Disclosures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firstLine="647"/>
        <w:spacing w:after="0" w:line="265" w:lineRule="auto"/>
        <w:tabs>
          <w:tab w:leader="none" w:pos="137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(and the Stockholder’s controlled Affiliates) shall not issue any press release or make any other public announcement or public statement (a “</w:t>
      </w:r>
      <w:r>
        <w:rPr>
          <w:rFonts w:ascii="Times New Roman" w:cs="Times New Roman" w:eastAsia="Times New Roman" w:hAnsi="Times New Roman"/>
          <w:sz w:val="17"/>
          <w:szCs w:val="17"/>
          <w:u w:val="single" w:color="auto"/>
          <w:color w:val="auto"/>
        </w:rPr>
        <w:t>Public Communication</w:t>
      </w:r>
      <w:r>
        <w:rPr>
          <w:rFonts w:ascii="Times New Roman" w:cs="Times New Roman" w:eastAsia="Times New Roman" w:hAnsi="Times New Roman"/>
          <w:sz w:val="17"/>
          <w:szCs w:val="17"/>
          <w:color w:val="auto"/>
        </w:rPr>
        <w:t xml:space="preserve">”) with respect to this Agreement, the Merger Agreement, or the transactions contemplated by this Agreement or the Merger Agreement, without the prior written consent of Acquiror (which consent may be withheld in Acquiror’s sole discretion), except (i) as required by applicable Law or court process, in which case the Stockholder shall use its reasonable best efforts to provide Company, Company’s outside legal counsel, Acquiror and Acquiror’s outside legal counsel with a reasonable opportunity to review and comment on such Public Communication in advance of its issuance and shall give reasonable and good faith consideration to any such comments or (ii) with respect to a Public Communication that is consistent with prior disclosures made by Acquiror;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apply to any disclosure required to be made by the Stockholder to a Governmental Authority so long as such disclosure is consistent with the terms of this Agreement and the Merger Agreement and the disclosures made by the Company and Acquiror pursuant to the terms of the Merger Agreement. For the avoidance of doubt, notwithstanding anything to the contrary in this </w:t>
      </w:r>
      <w:r>
        <w:rPr>
          <w:rFonts w:ascii="Times New Roman" w:cs="Times New Roman" w:eastAsia="Times New Roman" w:hAnsi="Times New Roman"/>
          <w:sz w:val="17"/>
          <w:szCs w:val="17"/>
          <w:u w:val="single" w:color="auto"/>
          <w:color w:val="auto"/>
        </w:rPr>
        <w:t>Section 1.06(a)</w:t>
      </w:r>
      <w:r>
        <w:rPr>
          <w:rFonts w:ascii="Times New Roman" w:cs="Times New Roman" w:eastAsia="Times New Roman" w:hAnsi="Times New Roman"/>
          <w:sz w:val="17"/>
          <w:szCs w:val="17"/>
          <w:color w:val="auto"/>
        </w:rPr>
        <w:t>, (i) if the Stockholder is a director or officer of the Company, in his, her or their capacity as a director or officer of the Company, he, she or they may make public statements in such capacity to the extent permitted under the Merger Agreement and (ii) if the Stockholder is an entity, the Stockholder may make announcements and provide information regarding this Agreement, the Merger Agreement and the transactions contemplated hereby and thereby to its owners, Affiliates and its and their respective directors, officers, managers, advisors and investors without the consent of any party hereto.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32" w:name="page133"/>
    <w:bookmarkEnd w:id="132"/>
    <w:p>
      <w:pPr>
        <w:ind w:right="40" w:firstLine="647"/>
        <w:spacing w:after="0" w:line="251" w:lineRule="auto"/>
        <w:tabs>
          <w:tab w:leader="none" w:pos="138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hereby consents to and authorizes the Company and Acquiror to (i) publish and disclose in any Public Communication or in any disclosure required by the SEC and in the Registration Statement, the Stockholder’s identity and ownership of Subject Shares and the Stockholder’s obligations under this Agreement (the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 and (ii) the filing of the form of this Agreement as attached as Exhibit B to the Merger Agreement to the extent required by applicable Law to be filed with the SEC or any regulatory authority relating to the Merger; provided that, with respect to the foregoing clause (i), Acquiror shall use its commercially reasonable efforts to provide the Stockholder with a reasonable opportunity to review and comment on any Stockholder Information included in such disclosure in advance of its filing and as promptly as practicable thereafter, the Stockholder shall notify Acquiror of any required corrections with respect to any Stockholder Information supplied by the Stockholder, if and to the extent the Stockholder becomes aware that any such Stockholder Information shall have become false or misleading in any material respect.</w:t>
      </w:r>
    </w:p>
    <w:p>
      <w:pPr>
        <w:spacing w:after="0" w:line="190"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1.07.</w:t>
      </w:r>
      <w:r>
        <w:rPr>
          <w:sz w:val="20"/>
          <w:szCs w:val="20"/>
          <w:color w:val="auto"/>
        </w:rPr>
        <w:tab/>
      </w:r>
      <w:r>
        <w:rPr>
          <w:rFonts w:ascii="Times New Roman" w:cs="Times New Roman" w:eastAsia="Times New Roman" w:hAnsi="Times New Roman"/>
          <w:sz w:val="17"/>
          <w:szCs w:val="17"/>
          <w:u w:val="single" w:color="auto"/>
          <w:color w:val="auto"/>
        </w:rPr>
        <w:t>Release of Claims.</w:t>
      </w:r>
    </w:p>
    <w:p>
      <w:pPr>
        <w:spacing w:after="0" w:line="220" w:lineRule="exact"/>
        <w:rPr>
          <w:sz w:val="20"/>
          <w:szCs w:val="20"/>
          <w:color w:val="auto"/>
        </w:rPr>
      </w:pPr>
    </w:p>
    <w:p>
      <w:pPr>
        <w:ind w:firstLine="647"/>
        <w:spacing w:after="0" w:line="264" w:lineRule="auto"/>
        <w:tabs>
          <w:tab w:leader="none" w:pos="137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and contingent upon the Effective Time, the Stockholder, and, if the Stockholder is a legal entity, together with the Stockholder’s officers, directors, stockholders, Subsidiaries and Affiliates, and each of their respective heirs, beneficiaries, trustees, executors, administrators, Representatives, successors and assigns (such persons, the “</w:t>
      </w:r>
      <w:r>
        <w:rPr>
          <w:rFonts w:ascii="Times New Roman" w:cs="Times New Roman" w:eastAsia="Times New Roman" w:hAnsi="Times New Roman"/>
          <w:sz w:val="17"/>
          <w:szCs w:val="17"/>
          <w:u w:val="single" w:color="auto"/>
          <w:color w:val="auto"/>
        </w:rPr>
        <w:t>Releasors</w:t>
      </w:r>
      <w:r>
        <w:rPr>
          <w:rFonts w:ascii="Times New Roman" w:cs="Times New Roman" w:eastAsia="Times New Roman" w:hAnsi="Times New Roman"/>
          <w:sz w:val="17"/>
          <w:szCs w:val="17"/>
          <w:color w:val="auto"/>
        </w:rPr>
        <w:t>”), hereby fully and unconditionally releases, acquits and forever discharges, to the fullest extent permitted by Law, each of Acquiror, Merger Sub, the Company, the Surviving Company, each of their Subsidiaries and Affiliates and their respective past, present or future officers, directors, employees, counsel and agents, and the Company Stockholders prior to Closing (such persons, the “</w:t>
      </w:r>
      <w:r>
        <w:rPr>
          <w:rFonts w:ascii="Times New Roman" w:cs="Times New Roman" w:eastAsia="Times New Roman" w:hAnsi="Times New Roman"/>
          <w:sz w:val="17"/>
          <w:szCs w:val="17"/>
          <w:u w:val="single" w:color="auto"/>
          <w:color w:val="auto"/>
        </w:rPr>
        <w:t>Releasees</w:t>
      </w:r>
      <w:r>
        <w:rPr>
          <w:rFonts w:ascii="Times New Roman" w:cs="Times New Roman" w:eastAsia="Times New Roman" w:hAnsi="Times New Roman"/>
          <w:sz w:val="17"/>
          <w:szCs w:val="17"/>
          <w:color w:val="auto"/>
        </w:rPr>
        <w:t xml:space="preserve">”), from and against any and all liabilities, actions, causes of action, claims, demands, damages, judgments, debts, dues and suits of every kind, nature and description whatsoever, whether known or unknown, asserted or unasserted, suspected or unsuspected, absolute or contingent, unmatured or inchoate, both at law and in equity, which the Stockholder or any of the Releasors ever had, now has or may hereafter have against any of the Releasees, on or by reason of any matter, cause or thing whatsoever that arose prior to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nothing herein shall be deemed to release</w:t>
      </w:r>
    </w:p>
    <w:p>
      <w:pPr>
        <w:spacing w:after="0" w:line="5" w:lineRule="exact"/>
        <w:rPr>
          <w:rFonts w:ascii="Times New Roman" w:cs="Times New Roman" w:eastAsia="Times New Roman" w:hAnsi="Times New Roman"/>
          <w:sz w:val="17"/>
          <w:szCs w:val="17"/>
          <w:color w:val="auto"/>
        </w:rPr>
      </w:pPr>
    </w:p>
    <w:p>
      <w:pPr>
        <w:ind w:firstLine="7"/>
        <w:spacing w:after="0" w:line="249" w:lineRule="auto"/>
        <w:tabs>
          <w:tab w:leader="none" w:pos="24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of the Stockholder expressly set forth in this Agreement, any Transaction Document to which such Stockholder is a party and the Merger Agreement, including the right to receive the Closing Merger Consideration to which it may be entitled pursuant to the Merger Agreement in accordance with the terms thereof, (b) any claims that are not permitted to be released under applicable Law or applicable public policy and (c) any employment compensation, benefits matter or right to indemnification affecting any Releasor in his or her capacity as a director, manager, officer or employee of the Company, its Affiliates or its Subsidiaries (collectively, the “</w:t>
      </w:r>
      <w:r>
        <w:rPr>
          <w:rFonts w:ascii="Times New Roman" w:cs="Times New Roman" w:eastAsia="Times New Roman" w:hAnsi="Times New Roman"/>
          <w:sz w:val="18"/>
          <w:szCs w:val="18"/>
          <w:u w:val="single" w:color="auto"/>
          <w:color w:val="auto"/>
        </w:rPr>
        <w:t>Retained Claims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420" w:firstLine="647"/>
        <w:spacing w:after="0" w:line="262" w:lineRule="auto"/>
        <w:tabs>
          <w:tab w:leader="none" w:pos="138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acknowledges and agrees that it, he or she is familiar with Section 1542 of the Civil Code of California, as set forth below, and having so reviewed, specifically waives the benefit of the provisions of Section 1542 of the Civil Code of California, if and to the extent applicable, which provides as follows:</w:t>
      </w:r>
    </w:p>
    <w:p>
      <w:pPr>
        <w:spacing w:after="0" w:line="176" w:lineRule="exact"/>
        <w:rPr>
          <w:sz w:val="20"/>
          <w:szCs w:val="20"/>
          <w:color w:val="auto"/>
        </w:rPr>
      </w:pPr>
    </w:p>
    <w:p>
      <w:pPr>
        <w:ind w:left="640" w:right="160"/>
        <w:spacing w:after="0" w:line="262"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3" w:name="page134"/>
    <w:bookmarkEnd w:id="133"/>
    <w:p>
      <w:pPr>
        <w:jc w:val="both"/>
        <w:ind w:right="60"/>
        <w:spacing w:after="0" w:line="277" w:lineRule="auto"/>
        <w:rPr>
          <w:sz w:val="20"/>
          <w:szCs w:val="20"/>
          <w:color w:val="auto"/>
        </w:rPr>
      </w:pPr>
      <w:r>
        <w:rPr>
          <w:rFonts w:ascii="Times New Roman" w:cs="Times New Roman" w:eastAsia="Times New Roman" w:hAnsi="Times New Roman"/>
          <w:sz w:val="17"/>
          <w:szCs w:val="17"/>
          <w:color w:val="auto"/>
        </w:rPr>
        <w:t>The Stockholder also specifically waives any right or benefits that it has or may have under any similar provision of the statutory or non-statutory law of any other jurisdiction. The Stockholder acknowledges that the Releasors may hereafter discover facts different from or in addition to the facts the Releasors now know or believe to be true with respect to the subject matter of this Agreement; however, the Releasors intend that the general releases herein given shall be and remain in full force and effect, notwithstanding the discovery or existence of any such different or additional facts (other than the Retained Claims).</w:t>
      </w:r>
    </w:p>
    <w:p>
      <w:pPr>
        <w:spacing w:after="0" w:line="165" w:lineRule="exact"/>
        <w:rPr>
          <w:sz w:val="20"/>
          <w:szCs w:val="20"/>
          <w:color w:val="auto"/>
        </w:rPr>
      </w:pPr>
    </w:p>
    <w:p>
      <w:pPr>
        <w:ind w:right="80"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The Stockholder acknowledges that the Stockholder has read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(‘Exclusivity’) of the Merger Agreement. During the Applicable Period, the Stockholder, solely in the Stockholder’s capacity as a stockholder of the Company, agrees not to, directly or indirectly, take any action that would violate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of the Merger Agreement if such Stockholder were deemed a “Representative” of the Company for purposes of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of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serve to limit or restrict any actions taken by such Stockholder in any capacity other than as a stockholder of the Company, to the extent such actions are in compliance with or required under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of the Merger Agreement.</w:t>
      </w:r>
    </w:p>
    <w:p>
      <w:pPr>
        <w:spacing w:after="0" w:line="185" w:lineRule="exact"/>
        <w:rPr>
          <w:sz w:val="20"/>
          <w:szCs w:val="20"/>
          <w:color w:val="auto"/>
        </w:rPr>
      </w:pPr>
    </w:p>
    <w:p>
      <w:pPr>
        <w:ind w:right="12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No Agreement as Director or Officer</w:t>
      </w:r>
      <w:r>
        <w:rPr>
          <w:rFonts w:ascii="Times New Roman" w:cs="Times New Roman" w:eastAsia="Times New Roman" w:hAnsi="Times New Roman"/>
          <w:sz w:val="18"/>
          <w:szCs w:val="18"/>
          <w:color w:val="auto"/>
        </w:rPr>
        <w:t>. The Stockholder is entering into this Agreement solely in the Stockholder’s capacity as record or beneficial owner of Subject Shares and nothing herein is intended to or shall limit or affect any actions taken by the Stockholder or any employee, officer, director (or person performing similar functions), partner or other Affiliate (including, for this purpose, any appointee or representative of the Stockholder to the board of directors of the Company) of the Stockholder, solely in his or her capacity as a director or officer of the Company (or a Subsidiary of the Company) or other fiduciary capacity for the Company’s stockholders.</w:t>
      </w:r>
    </w:p>
    <w:p>
      <w:pPr>
        <w:spacing w:after="0" w:line="186" w:lineRule="exact"/>
        <w:rPr>
          <w:sz w:val="20"/>
          <w:szCs w:val="20"/>
          <w:color w:val="auto"/>
        </w:rPr>
      </w:pPr>
    </w:p>
    <w:p>
      <w:pPr>
        <w:ind w:right="100"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In the event that (a) any shares of Company Common Shares or Company Preferred Shares are issued to the Stockholder after the date of this Agreement pursuant to any stock dividend, stock split, recapitalization, reclassification, combination or exchange of shares of Company Common Shares or Company Preferred Shares, (b) the Stockholder purchases or otherwise acquires beneficial ownership of any shares of Company Common Shares or Company Preferred Shares after the date of this Agreement or (c) the Stockholder acquires the right to vote or share in the voting of any shares of Company Common Shares or Company Preferred Shares after the date of this Agreement (such shares of Company Common Shares or Company Preferred Shares described collectively in the foregoing clauses (a) through (c), the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then such New Securities issued to, or acquired or purchased by, the Stockholder shall be subject to the terms of this Agreement to the same extent as if they constituted the shares of Company Common Shares or Company Preferred Shares owned by the Stockholder as of the date hereof.</w:t>
      </w:r>
    </w:p>
    <w:p>
      <w:pPr>
        <w:spacing w:after="0" w:line="190"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No Adverse Act</w:t>
      </w:r>
      <w:r>
        <w:rPr>
          <w:rFonts w:ascii="Times New Roman" w:cs="Times New Roman" w:eastAsia="Times New Roman" w:hAnsi="Times New Roman"/>
          <w:sz w:val="18"/>
          <w:szCs w:val="18"/>
          <w:color w:val="auto"/>
        </w:rPr>
        <w:t xml:space="preserve">. The Stockholder hereby agrees that, except as expressly provided or permitted by this Agreement, the Stockholder shall not knowingly, and shall cause its Affiliates not to knowingly, without the prior written consent of Acquiror (in Acquiror’s sole discretion), directly or indirectly, take or permit any action that would in any way (a) restrict, limit or interfere with the performance of the Stockholder’s obligations contained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(b) make any representation or warranty of the Stockholder herein materially untrue or inaccurate or (c) otherwise restrict, limit or interfere with the Stockholder’s obligations contained under this Agreement.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34" w:name="page135"/>
    <w:bookmarkEnd w:id="134"/>
    <w:p>
      <w:pPr>
        <w:ind w:right="20" w:firstLine="640"/>
        <w:spacing w:after="0" w:line="265"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No Litigation</w:t>
      </w:r>
      <w:r>
        <w:rPr>
          <w:rFonts w:ascii="Times New Roman" w:cs="Times New Roman" w:eastAsia="Times New Roman" w:hAnsi="Times New Roman"/>
          <w:sz w:val="17"/>
          <w:szCs w:val="17"/>
          <w:color w:val="auto"/>
        </w:rPr>
        <w:t>. The Stockholder hereby agrees not to commence, maintain or participate in, or facilitate, assist or encourage, and agrees to take all actions necessary to opt out of any class in any class action with respect to, any claim, derivative or otherwise, suit, proceeding or cause of action, in law or in equity, in any court or before any Governmental Authority against the Company, the Company’s Affiliates, the Acquiror, the Acquiror’s Affiliates or any of their respective successors and assigns (a) challenging the validity of, or seeking to enjoin or delay the operation of, any provision of this Agreement or the Merger Agreement (including (i) challenging the Closing Equity Value and resulting shares of Common Stock issued as Closing Merger Consideration or (ii) any claim seeking to enjoin or delay the consummation of the Merger in any respect), (b) alleging a breach of any fiduciary duty or self-dealing of any Person in connection with the Merger Agreement or the Transactions, (c) seeking Appraisal Rights in connection with the Merger or</w:t>
      </w:r>
    </w:p>
    <w:p>
      <w:pPr>
        <w:spacing w:after="0" w:line="2" w:lineRule="exact"/>
        <w:rPr>
          <w:sz w:val="20"/>
          <w:szCs w:val="20"/>
          <w:color w:val="auto"/>
        </w:rPr>
      </w:pPr>
    </w:p>
    <w:p>
      <w:pPr>
        <w:ind w:right="320" w:firstLine="7"/>
        <w:spacing w:after="0" w:line="250" w:lineRule="auto"/>
        <w:tabs>
          <w:tab w:leader="none" w:pos="2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relating to the Merger Agreement or the Merger or other transactions contemplated by the Merger Agreement (other than the Stockholder’s right to receive the Closing Merger Consideration to which it may be entitled pursuant to the Merger Agreement in accordance with the terms thereof). Notwithstanding the foregoing, nothing herein shall be deemed to prohibit the Stockholder from enforcing the Stockholder’s rights under this Agreement (including, for the avoidance of doubt, pursuant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Termination of Investment Agreements</w:t>
      </w:r>
      <w:r>
        <w:rPr>
          <w:rFonts w:ascii="Times New Roman" w:cs="Times New Roman" w:eastAsia="Times New Roman" w:hAnsi="Times New Roman"/>
          <w:sz w:val="18"/>
          <w:szCs w:val="18"/>
          <w:color w:val="auto"/>
        </w:rPr>
        <w:t>. Stockholder hereby acknowledges and agrees that, with effect from the Effective Time, the following agreements shall automatically terminate without any action on the part of the parties thereto pursuant to their respective terms and will be of no further force or effect: (i) Series B-2 and B-3 Amended and Restated Investor Rights Agreement, dated October 5, 2022, by and between Company and the investors named therein, (ii) Series B-2 and B-3 Amended and Restated Right of First Refusal and Co-Sale Agreement, dated October 5, 2022, by and between Company and the investors named therein and (iii) Series B-2 and B-3 Amended and Restated Voting Agreement, dated October 5, 2022, by and between Company and the investors named therein (clause (i) through (iii) collectively, the “</w:t>
      </w:r>
      <w:r>
        <w:rPr>
          <w:rFonts w:ascii="Times New Roman" w:cs="Times New Roman" w:eastAsia="Times New Roman" w:hAnsi="Times New Roman"/>
          <w:sz w:val="18"/>
          <w:szCs w:val="18"/>
          <w:u w:val="single" w:color="auto"/>
          <w:color w:val="auto"/>
        </w:rPr>
        <w:t>Investor Agreements</w:t>
      </w:r>
      <w:r>
        <w:rPr>
          <w:rFonts w:ascii="Times New Roman" w:cs="Times New Roman" w:eastAsia="Times New Roman" w:hAnsi="Times New Roman"/>
          <w:sz w:val="18"/>
          <w:szCs w:val="18"/>
          <w:color w:val="auto"/>
        </w:rPr>
        <w:t>”), in each case, other than the provisions of such Investor Agreements that are intended to survive its termination in accordance with its terms.</w:t>
      </w:r>
    </w:p>
    <w:p>
      <w:pPr>
        <w:spacing w:after="0" w:line="187" w:lineRule="exact"/>
        <w:rPr>
          <w:sz w:val="20"/>
          <w:szCs w:val="20"/>
          <w:color w:val="auto"/>
        </w:rPr>
      </w:pPr>
    </w:p>
    <w:p>
      <w:pPr>
        <w:ind w:right="36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Stockholder shall execute and deliver, or cause to be executed and delivered, such further certificates, instruments and other documents and to take such further actions as Acquiror may reasonably request for the purpose of effectively carrying out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Stockholder hereby represents and warrants to Acquiror and the Company as follows:</w:t>
      </w:r>
    </w:p>
    <w:p>
      <w:pPr>
        <w:spacing w:after="0" w:line="220" w:lineRule="exact"/>
        <w:rPr>
          <w:sz w:val="20"/>
          <w:szCs w:val="20"/>
          <w:color w:val="auto"/>
        </w:rPr>
      </w:pPr>
    </w:p>
    <w:p>
      <w:pPr>
        <w:ind w:right="40"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Organization; Authorization</w:t>
      </w:r>
      <w:r>
        <w:rPr>
          <w:rFonts w:ascii="Times New Roman" w:cs="Times New Roman" w:eastAsia="Times New Roman" w:hAnsi="Times New Roman"/>
          <w:sz w:val="18"/>
          <w:szCs w:val="18"/>
          <w:color w:val="auto"/>
        </w:rPr>
        <w:t xml:space="preserve">. In the event the Stockholder is an individual, the Stockholder has full power, right and legal capacity to execute and deliver this Agreement, to grant the proxy described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to perform his or her obligations hereunder. In the event the Stockholder is a legal entity, (a) the Stockholder is a legal entity duly organized and validly existing under the Laws of the Stockholder’s jurisdiction of organization, (b) the Stockholder has all requisite corporate or similar power and authority and has taken all corporate or similar action necessary in order to execute and deliver this Agreement, to grant the proxy described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to perform the Stockholder’s obligations under this Agreement and to consummate the transactions contemplated by this Agreement and (c) no approval by any holder of the Stockholder’s equity interests is necessary to approve this Agreement. This Agreement has been duly executed and delivered by the Stockholder and, in the event the Stockholder is an individual and is married and any of the Stockholder’s Subject Shares constitute community property or spousal approval is otherwise required in order for this Agreement to be a valid and binding obligation of the Stockholder, this Agreement has been duly executed and delivered by or on behalf of the Stockholder’s spouse, and this Agreement constitutes a valid and binding agreement of the Stockholder enforceable against the Stockholder in accordance with its terms, subject to the Enforceability Exceptions. If the Stockholder is a trust, no consent of any beneficiary is required for the execution and delivery of this Agreement or the consummation of the transactions contemplated hereby.</w:t>
      </w:r>
    </w:p>
    <w:p>
      <w:pPr>
        <w:spacing w:after="0" w:line="188"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Governmental Filings; No Violations; Certain Contracts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firstLine="647"/>
        <w:spacing w:after="0" w:line="253" w:lineRule="auto"/>
        <w:tabs>
          <w:tab w:leader="none" w:pos="13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filings with the SEC under the Exchange Act and such other reports under, and such other compliance with, the Exchange Act as may be required in connection with this Agreement, no filings, notices, reports, consents, registrations, approvals, permits or authorizations are required to be made by the Stockholder with, nor are any required to be made or obtained by the Stockholder with or from any Governmental Authority, in connection with the execution, delivery and performance of this Agreement by the Stockholder and the consummation of the transactions contemplated by this Agreement, except as would not, individually or in the aggregate, reasonably be expected to prevent, delay or impair the ability of the Stockholder to perform the Stockholder’s obligations under this Agreement or to consummate the transactions contemplated by this Agreement.</w:t>
      </w:r>
    </w:p>
    <w:p>
      <w:pPr>
        <w:spacing w:after="0" w:line="185" w:lineRule="exact"/>
        <w:rPr>
          <w:rFonts w:ascii="Times New Roman" w:cs="Times New Roman" w:eastAsia="Times New Roman" w:hAnsi="Times New Roman"/>
          <w:sz w:val="18"/>
          <w:szCs w:val="18"/>
          <w:color w:val="auto"/>
        </w:rPr>
      </w:pPr>
    </w:p>
    <w:p>
      <w:pPr>
        <w:ind w:right="80" w:firstLine="647"/>
        <w:spacing w:after="0" w:line="251" w:lineRule="auto"/>
        <w:tabs>
          <w:tab w:leader="none" w:pos="138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by the Stockholder does not, and the consummation of the transactions contemplated by this Agreement by the Stockholder shall not, constitute or result in (i) a breach or violation of, or a default under, the organizational documents of the Stockholder, if applicable or (ii) with or without notice, lapse of time or both, a breach or violation of, a termination (or right of termination) of or default under, the creation or acceleration of any obligations under or the creation of an Encumbrance on any of the assets of the Stockholder pursuant to, any Contract binding upon the Stockholder or, assuming (solely with respect to performance of this Agreement and consummation of the transactions contemplated by this Agreement) compliance with the matters referred to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under any Law to which the Stockholder is subject, except, in each case, as would not, individually or in the aggregate, reasonably be expected to prevent, delay or impair the ability of the Stockholder to perform its obligations under this Agreement or consummate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6" w:name="page137"/>
    <w:bookmarkEnd w:id="136"/>
    <w:p>
      <w:pPr>
        <w:ind w:right="12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except as would not, individually or in the aggregate, reasonably be expected to prevent, delay or impair the ability of the Stockholder perform its obligations under this Agreement or to consummate the transactions contemplated by this Agreement, (a) there are no Actions pending or, to the knowledge of the Stockholder, threatened against the Stockholder in writing and (b) neither the Stockholder nor any of its Affiliates is a party to or subject to the provisions of any judgment, order, writ, injunction, decree or award of any Governmental Authority, in each case of clause (a) or (b) that challenges any part of this Agreement or the transactions contemplated hereby.</w:t>
      </w:r>
    </w:p>
    <w:p>
      <w:pPr>
        <w:spacing w:after="0" w:line="186"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Ownership of Company Stock; Voting Power</w:t>
      </w:r>
      <w:r>
        <w:rPr>
          <w:rFonts w:ascii="Times New Roman" w:cs="Times New Roman" w:eastAsia="Times New Roman" w:hAnsi="Times New Roman"/>
          <w:sz w:val="18"/>
          <w:szCs w:val="18"/>
          <w:color w:val="auto"/>
        </w:rPr>
        <w:t>. The Stockholder’s signature page hereto correctly sets forth the number of the Stockholder’s Subject Shares as of the date of this Agreement and, other than such Subject Shares, as of the date of this Agreement, there are no other shares of Company Common Stock or Company Preferred Stock held of record or beneficially owned by the Stockholder or in respect of which the Stockholder has full voting power. The Stockholder is the record holder and beneficial owner of all of its Subject Shares and has, and shall have throughout the Applicable Period, full voting power and power of disposition with respect to all such Subject Shares free and clear of any liens, claims, proxies, voting trusts or agreements, options or any other encumbrances (other than Permitted Encumbrances) or restrictions on title, transfer or exercise of any rights of a stockholder in respect of such Subject Shares (collectively, “</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except for any such Encumbrance that (a) may be imposed pursuant to (i) this Agreement, (ii) any applicable restrictions on transfer under U.S. federal securities or state securities or “blue sky” Laws, or (iii) may be included in the Company’s organizational documents, the financing agreements pursuant to any Contemplated Interim Financing, or the terms of any customary custody or similar agreement applicable to Subject Shares held in brokerage accounts or (b) would not, individually or in the aggregate, reasonably be expected to prevent, delay or impair the ability of the Stockholder perform its obligations under this Agreement or to consummate the transactions contemplated by this Agreement. No Person has any contractual or other right or obligation to purchase or otherwise acquire any of the Stockholder’s Subject Shares other than pursuant to the Merger Agreement or as set forth in the Company’s organizational documents.</w:t>
      </w:r>
    </w:p>
    <w:p>
      <w:pPr>
        <w:spacing w:after="0" w:line="197" w:lineRule="exact"/>
        <w:rPr>
          <w:sz w:val="20"/>
          <w:szCs w:val="20"/>
          <w:color w:val="auto"/>
        </w:rPr>
      </w:pPr>
    </w:p>
    <w:p>
      <w:pPr>
        <w:ind w:right="54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Stockholder understands and acknowledges that the Company, Acquiror and Merger Sub are relying upon the Stockholder’s execution, delivery and performance of this Agreement and upon the representations and warranties and covenants of the Stockholder contained in this Agreement.</w:t>
      </w:r>
    </w:p>
    <w:p>
      <w:pPr>
        <w:spacing w:after="0" w:line="176" w:lineRule="exact"/>
        <w:rPr>
          <w:sz w:val="20"/>
          <w:szCs w:val="20"/>
          <w:color w:val="auto"/>
        </w:rPr>
      </w:pPr>
    </w:p>
    <w:p>
      <w:pPr>
        <w:ind w:right="10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No agent, broker, investment banker, finder or other intermediary is or shall be entitled to any fee or commission or reimbursement of expenses from Acquiror, Merger Sub or the Company or any of their respective Affiliates in respect of this Agreement, the Merger Agreement or the Transaction Agreements based upon any arrangement or agreement made by or on behalf of such Stockholder.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37" w:name="page138"/>
    <w:bookmarkEnd w:id="137"/>
    <w:p>
      <w:pPr>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Stockholder Has Adequate Information</w:t>
      </w:r>
      <w:r>
        <w:rPr>
          <w:rFonts w:ascii="Times New Roman" w:cs="Times New Roman" w:eastAsia="Times New Roman" w:hAnsi="Times New Roman"/>
          <w:sz w:val="18"/>
          <w:szCs w:val="18"/>
          <w:color w:val="auto"/>
        </w:rPr>
        <w:t>. The Stockholder acknowledges that the Stockholder is a sophisticated investor with respect to the Stockholder’s Subject Shares and has adequate information concerning the business and financial condition of the Company to make an informed decision regarding the transactions contemplated by this Agreement and has, independently and without reliance upon Acquiror, the Company or any Affiliate of Acquiror and the Company, and based on such information as the Stockholder has deemed appropriate, made the Stockholder’s own analysis and decision to enter into this Agreement. The Stockholder acknowledges that the Stockholder has had the opportunity to seek independent legal advice prior to executing this Agreement.</w:t>
      </w:r>
    </w:p>
    <w:p>
      <w:pPr>
        <w:spacing w:after="0" w:line="185" w:lineRule="exact"/>
        <w:rPr>
          <w:sz w:val="20"/>
          <w:szCs w:val="20"/>
          <w:color w:val="auto"/>
        </w:rPr>
      </w:pPr>
    </w:p>
    <w:p>
      <w:pPr>
        <w:ind w:right="220" w:firstLine="640"/>
        <w:spacing w:after="0" w:line="25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the Stockholder in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neither the Stockholder nor any other Person on behalf of the Stockholder makes any express or implied representation or warranty to Acquiror or the Company in connection with this Agreement or the transactions contemplated by this Agreement, and the Stockholder expressly disclaims any such other representations or warranties.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ACQUIROR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Acquiror represents and warrants to the Stockholder and the Company as follows:</w:t>
      </w:r>
    </w:p>
    <w:p>
      <w:pPr>
        <w:spacing w:after="0" w:line="220" w:lineRule="exact"/>
        <w:rPr>
          <w:sz w:val="20"/>
          <w:szCs w:val="20"/>
          <w:color w:val="auto"/>
        </w:rPr>
      </w:pPr>
    </w:p>
    <w:p>
      <w:pPr>
        <w:jc w:val="center"/>
        <w:ind w:right="20"/>
        <w:spacing w:after="0"/>
        <w:tabs>
          <w:tab w:leader="none" w:pos="24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Acquiror is a corporation duly organized, validly existing and in good standing under the Laws of Delaware.</w:t>
      </w:r>
    </w:p>
    <w:p>
      <w:pPr>
        <w:spacing w:after="0" w:line="220"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Acquiror has all requisite corporate power and authority and has taken all corporate or similar action necessary in order to execute and deliver this Agreement, to perform its obligations under this Agreement and to consummate the transactions contemplated by this Agreement. No approval by any holder of Acquiror’s equity interests is necessary to approve this Agreement. This Agreement has been duly executed and delivered by Acquiror and constitutes a valid and binding agreement of Acquiror enforceable against Acquiror in accordance with its terms, subject to the Enforceability Exceptions.</w:t>
      </w:r>
    </w:p>
    <w:p>
      <w:pPr>
        <w:spacing w:after="0" w:line="186" w:lineRule="exact"/>
        <w:rPr>
          <w:sz w:val="20"/>
          <w:szCs w:val="20"/>
          <w:color w:val="auto"/>
        </w:rPr>
      </w:pPr>
    </w:p>
    <w:p>
      <w:pPr>
        <w:ind w:right="160" w:firstLine="640"/>
        <w:spacing w:after="0" w:line="257"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Acquiror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neither Acquiror nor any other Person on behalf of Acquiror makes any express or implied representation or warranty to the Stockholder or the Company in connection with this Agreement or the transactions contemplated by this Agreement, and Acquiror expressly disclaims any such other representations or warranties.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8" w:name="page139"/>
    <w:bookmarkEnd w:id="1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4"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be terminated at the earliest to occur of: (a) the Effective Time; (b) the termination of the Merger Agreement pursuant to Article XI thereof and (c) the effective date of a written agreement duly executed and delivered by Acquiror and the Stockholder terminating this Agreement in accordance with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any termination pursuant to clauses (a) or (c) of this sentence,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(‘Waiver of Appraisal Rights’),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(‘Public Announcements; Filings; Disclosures’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(‘Release of Claims’),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(‘No Litigation’) and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(‘Further Assurances’) and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survive such termination.</w:t>
      </w:r>
    </w:p>
    <w:p>
      <w:pPr>
        <w:spacing w:after="0" w:line="186" w:lineRule="exact"/>
        <w:rPr>
          <w:sz w:val="20"/>
          <w:szCs w:val="20"/>
          <w:color w:val="auto"/>
        </w:rPr>
      </w:pPr>
    </w:p>
    <w:p>
      <w:pPr>
        <w:ind w:right="20"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rights and remedies of the parties shall be cumulative with and not exclusive of any other remedy conferred hereby.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including the Stockholder’s obligations to vote its Subject Shares as provided in this Agreement (and each party hereby waives any requirement for the securing or posting of any bond in connection with such remedy), this being in addition to any other remedy to which they are entitled at law or in equity.</w:t>
      </w:r>
    </w:p>
    <w:p>
      <w:pPr>
        <w:spacing w:after="0" w:line="187"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among the Parties shall be in writing and shall be deemed to have been duly given</w:t>
      </w:r>
    </w:p>
    <w:p>
      <w:pPr>
        <w:spacing w:after="0" w:line="25" w:lineRule="exact"/>
        <w:rPr>
          <w:sz w:val="20"/>
          <w:szCs w:val="20"/>
          <w:color w:val="auto"/>
        </w:rPr>
      </w:pPr>
    </w:p>
    <w:p>
      <w:pPr>
        <w:jc w:val="both"/>
        <w:ind w:right="60" w:firstLine="7"/>
        <w:spacing w:after="0" w:line="251" w:lineRule="auto"/>
        <w:tabs>
          <w:tab w:leader="none" w:pos="21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in person, (ii) when delivered after posting in the United States mail having been sent registered or certified mail return receipt requested, postage prepaid, (iii) when delivered by FedEx or other nationally recognized overnight delivery service or (iv) when e-mailed during normal business hours (and otherwise as of the immediately following Business Day), addressed as follows:</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If to Acquiror:</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MedTech Acquisition Corporation</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48 Maple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Greenwich, Connecticut 06830</w:t>
      </w:r>
    </w:p>
    <w:p>
      <w:pPr>
        <w:spacing w:after="0" w:line="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color w:val="auto"/>
        </w:rPr>
        <w:t>Attn:</w:t>
        <w:tab/>
        <w:t>Christopher C. Dewey</w:t>
      </w:r>
    </w:p>
    <w:p>
      <w:pPr>
        <w:spacing w:after="0" w:line="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ccdewey@gmail.com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9" w:name="page140"/>
    <w:bookmarkEnd w:id="139"/>
    <w:p>
      <w:pPr>
        <w:ind w:left="6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Foley &amp; Lardner LLP</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100 N. Tampa Street, Suite 2700</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Tampa, FL 33602</w:t>
      </w:r>
    </w:p>
    <w:p>
      <w:pPr>
        <w:spacing w:after="0" w:line="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Attn:</w:t>
        <w:tab/>
        <w:t>Kevin Shuler</w:t>
      </w:r>
    </w:p>
    <w:p>
      <w:pPr>
        <w:spacing w:after="0" w:line="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kshuler@foley.com</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TriSalus Life Sciences, Inc.</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6272 W. 91st Avenue</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Westminster, CO 80031</w:t>
      </w:r>
    </w:p>
    <w:p>
      <w:pPr>
        <w:spacing w:after="0" w:line="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Attn:</w:t>
        <w:tab/>
        <w:t>Sean Murphy</w:t>
      </w:r>
    </w:p>
    <w:p>
      <w:pPr>
        <w:spacing w:after="0" w:line="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sean.murphy@trisaluslifesci.com</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Cooley LLP</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10265 Science Center Drive</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Attn:</w:t>
        <w:tab/>
        <w:t>Rama Padmanabhan; Matt Browne</w:t>
      </w:r>
    </w:p>
    <w:p>
      <w:pPr>
        <w:spacing w:after="0" w:line="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rama@cooley.com; mbrowne@cooley.com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Stockholder, to the Stockholder’s address set forth on a signature page hereto.</w:t>
      </w:r>
    </w:p>
    <w:p>
      <w:pPr>
        <w:spacing w:after="0" w:line="218"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Article XII and</w:t>
      </w:r>
      <w:r>
        <w:rPr>
          <w:rFonts w:ascii="Times New Roman" w:cs="Times New Roman" w:eastAsia="Times New Roman" w:hAnsi="Times New Roman"/>
          <w:sz w:val="17"/>
          <w:szCs w:val="17"/>
          <w:u w:val="single" w:color="auto"/>
          <w:color w:val="auto"/>
        </w:rPr>
        <w:t xml:space="preserve"> Section 1.02 </w:t>
      </w:r>
      <w:r>
        <w:rPr>
          <w:rFonts w:ascii="Times New Roman" w:cs="Times New Roman" w:eastAsia="Times New Roman" w:hAnsi="Times New Roman"/>
          <w:sz w:val="17"/>
          <w:szCs w:val="17"/>
          <w:color w:val="auto"/>
        </w:rPr>
        <w:t>of the Merger Agreement shall apply to this Agreement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640"/>
          </w:cols>
          <w:pgMar w:left="960" w:top="895" w:right="12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MedTech Acquisition Corporation</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15875</wp:posOffset>
            </wp:positionV>
            <wp:extent cx="32029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TriSalus Life Sciences, Inc.</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15875</wp:posOffset>
            </wp:positionV>
            <wp:extent cx="32029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423545</wp:posOffset>
            </wp:positionV>
            <wp:extent cx="71342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499"/>
          </w:cols>
          <w:pgMar w:left="960" w:top="895" w:right="1440" w:bottom="1440" w:gutter="0" w:footer="0" w:header="0"/>
        </w:sectPr>
      </w:pPr>
    </w:p>
    <w:bookmarkStart w:id="141" w:name="page142"/>
    <w:bookmarkEnd w:id="141"/>
    <w:p>
      <w:pPr>
        <w:ind w:left="64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2111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2111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Stockholder’s Spouse (if spousal approval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32111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44310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31030" cy="825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15875</wp:posOffset>
            </wp:positionV>
            <wp:extent cx="39992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999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Name of Person Signing for the Stockholder (If signing in a representative capacity for a corporation, trust, partnership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-426720</wp:posOffset>
            </wp:positionV>
            <wp:extent cx="32029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Title of Person Signing for the Stockholder (If signing in a representative capacity for a corporation, trust, partnership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-426720</wp:posOffset>
            </wp:positionV>
            <wp:extent cx="32029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18"/>
          <w:szCs w:val="18"/>
          <w:color w:val="auto"/>
        </w:rPr>
        <w:t>[Printed Name of Stockholder’s Spouse (if spousal approval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-299720</wp:posOffset>
            </wp:positionV>
            <wp:extent cx="32029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809" w:lineRule="exact"/>
        <w:rPr>
          <w:sz w:val="20"/>
          <w:szCs w:val="20"/>
          <w:color w:val="auto"/>
        </w:rPr>
      </w:pPr>
    </w:p>
    <w:p>
      <w:pPr>
        <w:sectPr>
          <w:pgSz w:w="11900" w:h="16838" w:orient="portrait"/>
          <w:cols w:equalWidth="0" w:num="2">
            <w:col w:w="5480" w:space="720"/>
            <w:col w:w="5040"/>
          </w:cols>
          <w:pgMar w:left="320" w:top="895" w:right="339" w:bottom="1440" w:gutter="0" w:footer="0" w:header="0"/>
          <w:type w:val="continuous"/>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15875</wp:posOffset>
            </wp:positionV>
            <wp:extent cx="24568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40" w:type="dxa"/>
            <w:vAlign w:val="bottom"/>
          </w:tcPr>
          <w:p>
            <w:pPr>
              <w:spacing w:after="0"/>
              <w:rPr>
                <w:sz w:val="20"/>
                <w:szCs w:val="20"/>
                <w:color w:val="auto"/>
              </w:rPr>
            </w:pPr>
          </w:p>
        </w:tc>
        <w:tc>
          <w:tcPr>
            <w:tcW w:w="8300" w:type="dxa"/>
            <w:vAlign w:val="bottom"/>
            <w:gridSpan w:val="3"/>
          </w:tcPr>
          <w:p>
            <w:pPr>
              <w:jc w:val="center"/>
              <w:ind w:right="568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7"/>
                <w:szCs w:val="17"/>
                <w:color w:val="auto"/>
              </w:rPr>
            </w:pPr>
          </w:p>
        </w:tc>
        <w:tc>
          <w:tcPr>
            <w:tcW w:w="26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4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8"/>
              </w:rPr>
              <w:t>Company Common Stock:</w:t>
            </w:r>
          </w:p>
        </w:tc>
        <w:tc>
          <w:tcPr>
            <w:tcW w:w="26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w:t>
            </w:r>
          </w:p>
        </w:tc>
        <w:tc>
          <w:tcPr>
            <w:tcW w:w="5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8"/>
              </w:rPr>
              <w:t>Company Preferred Shares:</w:t>
            </w:r>
          </w:p>
        </w:tc>
        <w:tc>
          <w:tcPr>
            <w:tcW w:w="26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w:t>
            </w:r>
          </w:p>
        </w:tc>
        <w:tc>
          <w:tcPr>
            <w:tcW w:w="5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2940" w:type="dxa"/>
            <w:vAlign w:val="bottom"/>
          </w:tcPr>
          <w:p>
            <w:pPr>
              <w:spacing w:after="0"/>
              <w:rPr>
                <w:sz w:val="24"/>
                <w:szCs w:val="24"/>
                <w:color w:val="auto"/>
              </w:rPr>
            </w:pPr>
          </w:p>
        </w:tc>
        <w:tc>
          <w:tcPr>
            <w:tcW w:w="83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 Support Agreement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0"/>
        </w:trPr>
        <w:tc>
          <w:tcPr>
            <w:tcW w:w="29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type w:val="continuous"/>
        </w:sectPr>
      </w:pPr>
    </w:p>
    <w:bookmarkStart w:id="142" w:name="page143"/>
    <w:bookmarkEnd w:id="142"/>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JOINDER</w:t>
      </w:r>
    </w:p>
    <w:p>
      <w:pPr>
        <w:spacing w:after="0" w:line="220" w:lineRule="exact"/>
        <w:rPr>
          <w:sz w:val="20"/>
          <w:szCs w:val="20"/>
          <w:color w:val="auto"/>
        </w:rPr>
      </w:pPr>
    </w:p>
    <w:p>
      <w:pPr>
        <w:ind w:right="60" w:firstLine="640"/>
        <w:spacing w:after="0" w:line="258"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b w:val="1"/>
          <w:bCs w:val="1"/>
          <w:u w:val="single" w:color="auto"/>
          <w:color w:val="auto"/>
        </w:rPr>
        <w:t>Joinder Agreement</w:t>
      </w:r>
      <w:r>
        <w:rPr>
          <w:rFonts w:ascii="Times New Roman" w:cs="Times New Roman" w:eastAsia="Times New Roman" w:hAnsi="Times New Roman"/>
          <w:sz w:val="18"/>
          <w:szCs w:val="18"/>
          <w:color w:val="auto"/>
        </w:rPr>
        <w:t>”) is made as of the date written below by the undersigned (the “</w:t>
      </w:r>
      <w:r>
        <w:rPr>
          <w:rFonts w:ascii="Times New Roman" w:cs="Times New Roman" w:eastAsia="Times New Roman" w:hAnsi="Times New Roman"/>
          <w:sz w:val="18"/>
          <w:szCs w:val="18"/>
          <w:b w:val="1"/>
          <w:bCs w:val="1"/>
          <w:u w:val="single" w:color="auto"/>
          <w:color w:val="auto"/>
        </w:rPr>
        <w:t>Joining Party</w:t>
      </w:r>
      <w:r>
        <w:rPr>
          <w:rFonts w:ascii="Times New Roman" w:cs="Times New Roman" w:eastAsia="Times New Roman" w:hAnsi="Times New Roman"/>
          <w:sz w:val="18"/>
          <w:szCs w:val="18"/>
          <w:color w:val="auto"/>
        </w:rPr>
        <w:t>”) in accordance with the Stockholder Support Agreement dated as of November 11, 2022 (the “</w:t>
      </w:r>
      <w:r>
        <w:rPr>
          <w:rFonts w:ascii="Times New Roman" w:cs="Times New Roman" w:eastAsia="Times New Roman" w:hAnsi="Times New Roman"/>
          <w:sz w:val="18"/>
          <w:szCs w:val="18"/>
          <w:b w:val="1"/>
          <w:bCs w:val="1"/>
          <w:u w:val="single" w:color="auto"/>
          <w:color w:val="auto"/>
        </w:rPr>
        <w:t>Support Agreement</w:t>
      </w:r>
      <w:r>
        <w:rPr>
          <w:rFonts w:ascii="Times New Roman" w:cs="Times New Roman" w:eastAsia="Times New Roman" w:hAnsi="Times New Roman"/>
          <w:sz w:val="18"/>
          <w:szCs w:val="18"/>
          <w:color w:val="auto"/>
        </w:rPr>
        <w:t>”) by and between Acquiror and the stockholder of the Company that is party thereto as the same may be amended, supplemented or otherwise modified from time to time. Capitalized terms used herein and not otherwise defined shall have the meaning ascribed to them in the Support Agreement.</w:t>
      </w:r>
    </w:p>
    <w:p>
      <w:pPr>
        <w:spacing w:after="0" w:line="181"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The Joining Party hereby acknowledges, agrees and confirms that, by its execution of this Joinder Agreement, the Joining Party shall be deemed to be a party to, and a “Stockholder” under, the Support Agreement as of the date hereof and shall have all of the rights and obligations of a Stockholder as if it had executed the Support Agreement. The Joining Party hereby ratifies, as of the date hereof, and agrees to be bound by, all of the terms, provisions and conditions contained in the Support Agreement.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duly executed this Joinder Agreement as of the date written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 20[●]</w:t>
      </w:r>
    </w:p>
    <w:p>
      <w:pPr>
        <w:spacing w:after="0" w:line="200" w:lineRule="exact"/>
        <w:rPr>
          <w:sz w:val="20"/>
          <w:szCs w:val="20"/>
          <w:color w:val="auto"/>
        </w:rPr>
      </w:pPr>
    </w:p>
    <w:p>
      <w:pPr>
        <w:spacing w:after="0" w:line="2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Email Address:</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410210</wp:posOffset>
            </wp:positionV>
            <wp:extent cx="71342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1"/>
          <w:szCs w:val="21"/>
          <w:b w:val="1"/>
          <w:bCs w:val="1"/>
          <w:color w:val="auto"/>
        </w:rPr>
        <w:t>Exhibit 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econd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ncorporation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MEDTECH ACQUISITION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159385</wp:posOffset>
            </wp:positionV>
            <wp:extent cx="71342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MedTech Acquisition Corporation, a corporation organized and existing under and by virtue of the General Corporation Law of the State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AS FOLLOWS:</w:t>
      </w:r>
    </w:p>
    <w:p>
      <w:pPr>
        <w:spacing w:after="0" w:line="197" w:lineRule="exact"/>
        <w:rPr>
          <w:sz w:val="20"/>
          <w:szCs w:val="20"/>
          <w:color w:val="auto"/>
        </w:rPr>
      </w:pPr>
    </w:p>
    <w:p>
      <w:pPr>
        <w:ind w:right="40" w:firstLine="647"/>
        <w:spacing w:after="0" w:line="264" w:lineRule="auto"/>
        <w:tabs>
          <w:tab w:leader="none" w:pos="8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“MedTech Acquisition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The original certificate of incorporation of the Corporation was filed with the Secretary of State of the State of Delaware on September 11, 2020, and was most recently amended and restated on December 17, 2020 (the “</w:t>
      </w:r>
      <w:r>
        <w:rPr>
          <w:rFonts w:ascii="Times New Roman" w:cs="Times New Roman" w:eastAsia="Times New Roman" w:hAnsi="Times New Roman"/>
          <w:sz w:val="18"/>
          <w:szCs w:val="18"/>
          <w:b w:val="1"/>
          <w:bCs w:val="1"/>
          <w:i w:val="1"/>
          <w:iCs w:val="1"/>
          <w:color w:val="auto"/>
        </w:rPr>
        <w:t>Existing Certificate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right="220" w:firstLine="647"/>
        <w:spacing w:after="0" w:line="281" w:lineRule="auto"/>
        <w:tabs>
          <w:tab w:leader="none" w:pos="8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of Incorporation (the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 which both restates and amends the provisions of the Existing Certificate, was duly adopted in accordance with the provisions of Sections 242 and 245 of the DGCL, as amended from time to time.</w:t>
      </w:r>
    </w:p>
    <w:p>
      <w:pPr>
        <w:spacing w:after="0" w:line="159" w:lineRule="exact"/>
        <w:rPr>
          <w:rFonts w:ascii="Times New Roman" w:cs="Times New Roman" w:eastAsia="Times New Roman" w:hAnsi="Times New Roman"/>
          <w:sz w:val="18"/>
          <w:szCs w:val="18"/>
          <w:color w:val="auto"/>
        </w:rPr>
      </w:pPr>
    </w:p>
    <w:p>
      <w:pPr>
        <w:ind w:left="820" w:hanging="173"/>
        <w:spacing w:after="0"/>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Restated Certificate shall become effective on the date of filing with the Secretary of State of Delaware.</w:t>
      </w:r>
    </w:p>
    <w:p>
      <w:pPr>
        <w:spacing w:after="0" w:line="219" w:lineRule="exact"/>
        <w:rPr>
          <w:rFonts w:ascii="Times New Roman" w:cs="Times New Roman" w:eastAsia="Times New Roman" w:hAnsi="Times New Roman"/>
          <w:sz w:val="18"/>
          <w:szCs w:val="18"/>
          <w:color w:val="auto"/>
        </w:rPr>
      </w:pPr>
    </w:p>
    <w:p>
      <w:pPr>
        <w:ind w:left="820" w:hanging="173"/>
        <w:spacing w:after="0"/>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Sections 242 and 245 of the DGCL, the text of the Existing Certificate is hereby restated and amended in its entirety to read as</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name of this Corporation is TriSalus Life Sciences,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24" w:lineRule="exact"/>
        <w:rPr>
          <w:sz w:val="20"/>
          <w:szCs w:val="20"/>
          <w:color w:val="auto"/>
        </w:rPr>
      </w:pPr>
    </w:p>
    <w:p>
      <w:pPr>
        <w:ind w:right="20" w:firstLine="640"/>
        <w:spacing w:after="0" w:line="277"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251 Little Falls Drive, City of Wilmington, County of New Castle, Zip Code 19808, and the name of the registered agent of the Corporation in the State of Delaware at such address is Corporation Service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DGCL.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37" w:lineRule="exact"/>
        <w:rPr>
          <w:sz w:val="20"/>
          <w:szCs w:val="20"/>
          <w:color w:val="auto"/>
        </w:rPr>
      </w:pPr>
    </w:p>
    <w:p>
      <w:pPr>
        <w:ind w:left="1620" w:hanging="973"/>
        <w:spacing w:after="0"/>
        <w:tabs>
          <w:tab w:leader="none" w:pos="16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is authorized to issue two classes of stock to be designated, respectively, “Common Stock” and “Preferred Stock.”</w:t>
      </w:r>
    </w:p>
    <w:p>
      <w:pPr>
        <w:spacing w:after="0" w:line="193"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8"/>
          <w:szCs w:val="18"/>
          <w:color w:val="auto"/>
        </w:rPr>
        <w:t>The total number of shares which the Corporation is authorized to issue is [ ] shares. [ ] shares shall be common stock of the Corporation,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 ] shares shall be preferred stock of the Corporation, par value $0.0001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ind w:firstLine="647"/>
        <w:spacing w:after="0" w:line="251" w:lineRule="auto"/>
        <w:tabs>
          <w:tab w:leader="none" w:pos="1604"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immediately upon the filing and effectiveness of this Restated Certificate with the Office of the Secretary of State of the State of Delaware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one share of the Corporation’s Class A Common Stock, par value $0.0001 per share (the “</w:t>
      </w:r>
      <w:r>
        <w:rPr>
          <w:rFonts w:ascii="Times New Roman" w:cs="Times New Roman" w:eastAsia="Times New Roman" w:hAnsi="Times New Roman"/>
          <w:sz w:val="18"/>
          <w:szCs w:val="18"/>
          <w:b w:val="1"/>
          <w:bCs w:val="1"/>
          <w:i w:val="1"/>
          <w:iCs w:val="1"/>
          <w:color w:val="auto"/>
        </w:rPr>
        <w:t>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and each one share of the Corporation’s Class B Common Stock, par value $0.0001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that was issued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immediately prior to the Effective Time shall automatically be reclassified, redesignated and changed into one validly issued, fully paid and non-assessable share of Common Stock without any further action by the Corporation or any stockholder thereof. Each certificate that immediately prior to the Effective Time represented shares of Class A Common Stock or Class B Common Stock (each, a “</w:t>
      </w:r>
      <w:r>
        <w:rPr>
          <w:rFonts w:ascii="Times New Roman" w:cs="Times New Roman" w:eastAsia="Times New Roman" w:hAnsi="Times New Roman"/>
          <w:sz w:val="18"/>
          <w:szCs w:val="18"/>
          <w:b w:val="1"/>
          <w:bCs w:val="1"/>
          <w:i w:val="1"/>
          <w:iCs w:val="1"/>
          <w:color w:val="auto"/>
        </w:rPr>
        <w:t>Prior Certificate</w:t>
      </w:r>
      <w:r>
        <w:rPr>
          <w:rFonts w:ascii="Times New Roman" w:cs="Times New Roman" w:eastAsia="Times New Roman" w:hAnsi="Times New Roman"/>
          <w:sz w:val="18"/>
          <w:szCs w:val="18"/>
          <w:color w:val="auto"/>
        </w:rPr>
        <w:t>”) shall, until surrendered to the Corporation in exchange for a certificate representing the same number of shares of Common Stock, automatically represent that number of shares of Common Stock into which the shares of Class A Common Stock or Class B Common Stock represented by the Prior Certificate shall have been reclassified and redesignated.</w:t>
      </w:r>
    </w:p>
    <w:p>
      <w:pPr>
        <w:spacing w:after="0" w:line="182" w:lineRule="exact"/>
        <w:rPr>
          <w:rFonts w:ascii="Times New Roman" w:cs="Times New Roman" w:eastAsia="Times New Roman" w:hAnsi="Times New Roman"/>
          <w:sz w:val="18"/>
          <w:szCs w:val="18"/>
          <w:b w:val="1"/>
          <w:bCs w:val="1"/>
          <w:color w:val="auto"/>
        </w:rPr>
      </w:pPr>
    </w:p>
    <w:p>
      <w:pPr>
        <w:ind w:right="80" w:firstLine="647"/>
        <w:spacing w:after="0" w:line="268" w:lineRule="auto"/>
        <w:tabs>
          <w:tab w:leader="none" w:pos="1613"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Preferred Stock may be issued from time to time in one or more series. The Board of Directors of the Corporation (the “</w:t>
      </w:r>
      <w:r>
        <w:rPr>
          <w:rFonts w:ascii="Times New Roman" w:cs="Times New Roman" w:eastAsia="Times New Roman" w:hAnsi="Times New Roman"/>
          <w:sz w:val="17"/>
          <w:szCs w:val="17"/>
          <w:b w:val="1"/>
          <w:bCs w:val="1"/>
          <w:i w:val="1"/>
          <w:iCs w:val="1"/>
          <w:color w:val="auto"/>
        </w:rPr>
        <w:t>Board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Directors</w:t>
      </w:r>
      <w:r>
        <w:rPr>
          <w:rFonts w:ascii="Times New Roman" w:cs="Times New Roman" w:eastAsia="Times New Roman" w:hAnsi="Times New Roman"/>
          <w:sz w:val="17"/>
          <w:szCs w:val="17"/>
          <w:color w:val="auto"/>
        </w:rPr>
        <w:t>”) is hereby expressly authorized to provide for the issue of all or any of the remaining shares of the Preferred Stock, in one or more series, and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fix the number of shares of such series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and filed in accordance with the DGCL. The number of authorized shares of Preferred Stock, or any series thereof, may be increased or decreased (but not below the number of shares thereof then outstanding plus, if applicable, the number of shares of Preferred Stock or such series reserved for issuance) by the affirmative vote of the holders of a majority of the voting power of all of the outstanding shares of stock of the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174" w:lineRule="exact"/>
        <w:rPr>
          <w:rFonts w:ascii="Times New Roman" w:cs="Times New Roman" w:eastAsia="Times New Roman" w:hAnsi="Times New Roman"/>
          <w:sz w:val="17"/>
          <w:szCs w:val="17"/>
          <w:b w:val="1"/>
          <w:bCs w:val="1"/>
          <w:color w:val="auto"/>
        </w:rPr>
      </w:pPr>
    </w:p>
    <w:p>
      <w:pPr>
        <w:ind w:right="20" w:firstLine="647"/>
        <w:spacing w:after="0" w:line="253" w:lineRule="auto"/>
        <w:tabs>
          <w:tab w:leader="none" w:pos="1613"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outstanding share of Common Stock shall entitle the holder thereof to one vote on each matter properly submitted to the stockholders of the Corporation for their vote;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required by law, holders of Common Stock shall not be entitled to vote on any amendment to this Restated Certificate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such series of Preferred Stock, to vote thereon pursuant to law or this Restated Certificate (including any certificate of designation filed with respect to any series of Preferred Stock).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5" w:name="page146"/>
    <w:bookmarkEnd w:id="1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4" w:lineRule="exact"/>
        <w:rPr>
          <w:sz w:val="20"/>
          <w:szCs w:val="20"/>
          <w:color w:val="auto"/>
        </w:rPr>
      </w:pPr>
    </w:p>
    <w:p>
      <w:pPr>
        <w:ind w:right="160" w:firstLine="640"/>
        <w:spacing w:after="0" w:line="277"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and in further definition, limitation and regulation of the powers of the Corporation, of its directors and stockholders, or any class thereof, as the case may be, it is further provided that:</w:t>
      </w:r>
    </w:p>
    <w:p>
      <w:pPr>
        <w:spacing w:after="0" w:line="159" w:lineRule="exact"/>
        <w:rPr>
          <w:sz w:val="20"/>
          <w:szCs w:val="20"/>
          <w:color w:val="auto"/>
        </w:rPr>
      </w:pPr>
    </w:p>
    <w:p>
      <w:pPr>
        <w:ind w:left="1620" w:hanging="973"/>
        <w:spacing w:after="0"/>
        <w:tabs>
          <w:tab w:leader="none" w:pos="16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anagement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140" w:firstLine="640"/>
        <w:spacing w:after="0" w:line="257" w:lineRule="auto"/>
        <w:rPr>
          <w:sz w:val="20"/>
          <w:szCs w:val="20"/>
          <w:color w:val="auto"/>
        </w:rPr>
      </w:pPr>
      <w:r>
        <w:rPr>
          <w:rFonts w:ascii="Times New Roman" w:cs="Times New Roman" w:eastAsia="Times New Roman" w:hAnsi="Times New Roman"/>
          <w:sz w:val="18"/>
          <w:szCs w:val="18"/>
          <w:color w:val="auto"/>
        </w:rPr>
        <w:t>Except as otherwise provided by the DGCL or this Restated Certificate, the management of the business and the conduct of the affairs of the Corporation shall be vested in its Board of Directors. Subject to any rights of the holders of shares of any series of Preferred Stock then outstanding to elect additional directors under specified circumstances, the number of directors which shall constitute the Board of Directors shall be fixed exclusively by resolutions adopted by a majority of the authorized number of directors constituting the Board of Directors.</w:t>
      </w:r>
    </w:p>
    <w:p>
      <w:pPr>
        <w:spacing w:after="0" w:line="177" w:lineRule="exact"/>
        <w:rPr>
          <w:sz w:val="20"/>
          <w:szCs w:val="20"/>
          <w:color w:val="auto"/>
        </w:rPr>
      </w:pPr>
    </w:p>
    <w:p>
      <w:pPr>
        <w:ind w:left="1620" w:hanging="973"/>
        <w:spacing w:after="0"/>
        <w:tabs>
          <w:tab w:leader="none" w:pos="16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224" w:lineRule="exact"/>
        <w:rPr>
          <w:sz w:val="20"/>
          <w:szCs w:val="20"/>
          <w:color w:val="auto"/>
        </w:rPr>
      </w:pPr>
    </w:p>
    <w:p>
      <w:pPr>
        <w:ind w:right="20" w:firstLine="640"/>
        <w:spacing w:after="0" w:line="266" w:lineRule="auto"/>
        <w:rPr>
          <w:sz w:val="20"/>
          <w:szCs w:val="20"/>
          <w:color w:val="auto"/>
        </w:rPr>
      </w:pPr>
      <w:r>
        <w:rPr>
          <w:rFonts w:ascii="Times New Roman" w:cs="Times New Roman" w:eastAsia="Times New Roman" w:hAnsi="Times New Roman"/>
          <w:sz w:val="17"/>
          <w:szCs w:val="17"/>
          <w:color w:val="auto"/>
        </w:rPr>
        <w:t>Subject to the rights of the holders of any series of Preferred Stock to elect additional directors under specified circumstances, the directors shall be divided into three classes designated as Class I, Class II and Class III, respectively. Each class will consist, as nearly as possible, of a number of directors equal to one-third of the number of members of the Board of Directors authorized as provided in Section A of this Article V. The Board of Directors is authorized to assign members of the Board of Directors already in office to such classes at the time the classification becomes effective. At the first annual meeting of stockholders held after the effectiveness of this Restated Certificate, the initial term of office of the Class I directors shall expire and Class I directors shall be elected for a full term expiring at the third annual meeting of stockholders held thereafter. At the second annual meeting of stockholders held after the effectiveness of this Restated Certificate, the initial term of office of the Class II directors shall expire and Class II directors shall be elected for a full term expiring at the third annual meeting of stockholders held thereafter. At the third annual meeting of stockholders held after the effectiveness of this Restated Certificate, the initial term of office of the Class III directors shall expire and Class III directors shall be elected for a full term expiring at the third annual meeting of stockholders held thereafter. At each succeeding annual meeting of stockholders, directors shall be elected for a full term expiring at the third annual meeting of stockholders held thereafter, to succeed the directors of the class whose terms expire at such annual meeting.</w:t>
      </w:r>
    </w:p>
    <w:p>
      <w:pPr>
        <w:spacing w:after="0" w:line="179"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Notwithstanding the foregoing provisions of this section, each director shall serve until such director’s successor is duly elected and qualified or until such director’s earlier death, resignation or removal. No decrease in the number of directors constituting the Board of Directors shall shorten the term of any incumbent director.</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46" w:name="page147"/>
    <w:bookmarkEnd w:id="146"/>
    <w:p>
      <w:pPr>
        <w:ind w:left="1620" w:hanging="973"/>
        <w:spacing w:after="0"/>
        <w:tabs>
          <w:tab w:leader="none" w:pos="16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emoval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224" w:lineRule="exact"/>
        <w:rPr>
          <w:sz w:val="20"/>
          <w:szCs w:val="20"/>
          <w:color w:val="auto"/>
        </w:rPr>
      </w:pPr>
    </w:p>
    <w:p>
      <w:pPr>
        <w:ind w:right="80" w:firstLine="647"/>
        <w:spacing w:after="0" w:line="277" w:lineRule="auto"/>
        <w:tabs>
          <w:tab w:leader="none" w:pos="108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any series of Preferred Stock to remove directors elected by such series of Preferred Stock, neither the entire Board of Directors nor any individual director may be removed from office without cause.</w:t>
      </w:r>
    </w:p>
    <w:p>
      <w:pPr>
        <w:spacing w:after="0" w:line="162" w:lineRule="exact"/>
        <w:rPr>
          <w:rFonts w:ascii="Times New Roman" w:cs="Times New Roman" w:eastAsia="Times New Roman" w:hAnsi="Times New Roman"/>
          <w:sz w:val="18"/>
          <w:szCs w:val="18"/>
          <w:b w:val="1"/>
          <w:bCs w:val="1"/>
          <w:color w:val="auto"/>
        </w:rPr>
      </w:pPr>
    </w:p>
    <w:p>
      <w:pPr>
        <w:jc w:val="both"/>
        <w:ind w:firstLine="647"/>
        <w:spacing w:after="0" w:line="257" w:lineRule="auto"/>
        <w:tabs>
          <w:tab w:leader="none" w:pos="108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limitations imposed by applicable law and the rights of any series of Preferred Stock to remove directors elected by such series of Preferred Stock, any individual director or the entire Board of Directors may be removed from office with cause by the affirmative vote of the holders of at least 66 2/3% of the voting power of all the then-outstanding shares of the capital stock of the Corporation entitled to vote generally at an election of directors.</w:t>
      </w:r>
    </w:p>
    <w:p>
      <w:pPr>
        <w:spacing w:after="0" w:line="177" w:lineRule="exact"/>
        <w:rPr>
          <w:sz w:val="20"/>
          <w:szCs w:val="20"/>
          <w:color w:val="auto"/>
        </w:rPr>
      </w:pPr>
    </w:p>
    <w:p>
      <w:pPr>
        <w:ind w:left="1620" w:hanging="973"/>
        <w:spacing w:after="0"/>
        <w:tabs>
          <w:tab w:leader="none" w:pos="16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acancies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Subject to any limitations imposed by applicable law and subject to the rights of the holders of any series of Preferred Stock to elect additional directors or fill vacancies in respect of such directors,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be filled only by the affirmative vote of a majority of the directors then in office, even though less than a quorum of the Board of Directors or by the sole remaining director, and not by the stockholders. Any director elected to fill a newly created directorship or vacancy in accordance with the preceding sentence shall hold office for the remainder of the full term of the director for which the vacancy was created or occurred and until such director’s successor shall have been elected and qualified or such director’s earlier death, resignation or removal.</w:t>
      </w:r>
    </w:p>
    <w:p>
      <w:pPr>
        <w:spacing w:after="0" w:line="186" w:lineRule="exact"/>
        <w:rPr>
          <w:sz w:val="20"/>
          <w:szCs w:val="20"/>
          <w:color w:val="auto"/>
        </w:rPr>
      </w:pPr>
    </w:p>
    <w:p>
      <w:pPr>
        <w:ind w:left="1660" w:hanging="1013"/>
        <w:spacing w:after="0"/>
        <w:tabs>
          <w:tab w:leader="none" w:pos="1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referred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lection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p>
    <w:p>
      <w:pPr>
        <w:spacing w:after="0" w:line="22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Whenever the holders of any one or more series of Preferred Stock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Restated Certificate (including any certificate of designation relating to any series of Preferred Stock) applicable thereto. The number of directors that may be elected by the holders of any such series of Preferred Stock shall be in addition to the number fixed pursuant to Article V hereof, and the total number of directors constituting the whole Board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88" w:lineRule="exact"/>
        <w:rPr>
          <w:sz w:val="20"/>
          <w:szCs w:val="20"/>
          <w:color w:val="auto"/>
        </w:rPr>
      </w:pPr>
    </w:p>
    <w:p>
      <w:pPr>
        <w:ind w:left="1620" w:hanging="973"/>
        <w:spacing w:after="0"/>
        <w:tabs>
          <w:tab w:leader="none" w:pos="16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ylaw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Board of Directors is expressly authorized and empowered to adopt, amend or repeal any provisions of the Bylaws of the Corporation without the assent or vote of the stockholders in any manner not inconsistent with the laws of the State of Delaware or this Restated Certificate. Any adoption, amendment or repeal of the Bylaws of the Corporation by the Board of Directors shall require the approval of a majority of the authorized number of directors. The stockholders shall also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addition to any vote of the holders of any class or series of stock of the Corporation required by law or by this Restated Certificate, such action by stockholders shall require the affirmative vote of the holders of at least 66 2/3% of the voting power of all of the then-outstanding shares of the capital stock of the Corporation entitled to vote generally in the election of directors, voting together as a single class.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47" w:name="page148"/>
    <w:bookmarkEnd w:id="147"/>
    <w:p>
      <w:pPr>
        <w:ind w:left="1620" w:hanging="993"/>
        <w:spacing w:after="0"/>
        <w:tabs>
          <w:tab w:leader="none" w:pos="16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tockholder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ctions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left="1200" w:hanging="573"/>
        <w:spacing w:after="0"/>
        <w:tabs>
          <w:tab w:leader="none" w:pos="120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of the Corporation need not be elected by written ballot unless the Bylaws so provide.</w:t>
      </w:r>
    </w:p>
    <w:p>
      <w:pPr>
        <w:spacing w:after="0" w:line="219" w:lineRule="exact"/>
        <w:rPr>
          <w:rFonts w:ascii="Times New Roman" w:cs="Times New Roman" w:eastAsia="Times New Roman" w:hAnsi="Times New Roman"/>
          <w:sz w:val="18"/>
          <w:szCs w:val="18"/>
          <w:b w:val="1"/>
          <w:bCs w:val="1"/>
          <w:color w:val="auto"/>
        </w:rPr>
      </w:pPr>
    </w:p>
    <w:p>
      <w:pPr>
        <w:ind w:left="-20" w:right="100" w:firstLine="647"/>
        <w:spacing w:after="0" w:line="277" w:lineRule="auto"/>
        <w:tabs>
          <w:tab w:leader="none" w:pos="119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action shall be taken by the stockholders of the Corporation except at an annual or special meeting of stockholders called in accordance with the Bylaws and no action shall be taken by the stockholders by written consent.</w:t>
      </w:r>
    </w:p>
    <w:p>
      <w:pPr>
        <w:spacing w:after="0" w:line="163" w:lineRule="exact"/>
        <w:rPr>
          <w:sz w:val="20"/>
          <w:szCs w:val="20"/>
          <w:color w:val="auto"/>
        </w:rPr>
      </w:pPr>
    </w:p>
    <w:p>
      <w:pPr>
        <w:ind w:left="620" w:right="320"/>
        <w:spacing w:after="0" w:line="277" w:lineRule="auto"/>
        <w:rPr>
          <w:sz w:val="20"/>
          <w:szCs w:val="20"/>
          <w:color w:val="auto"/>
        </w:rPr>
      </w:pPr>
      <w:r>
        <w:rPr>
          <w:rFonts w:ascii="Times New Roman" w:cs="Times New Roman" w:eastAsia="Times New Roman" w:hAnsi="Times New Roman"/>
          <w:sz w:val="18"/>
          <w:szCs w:val="18"/>
          <w:color w:val="auto"/>
        </w:rPr>
        <w:t>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Indemnification</w:t>
      </w:r>
    </w:p>
    <w:p>
      <w:pPr>
        <w:spacing w:after="0" w:line="224" w:lineRule="exact"/>
        <w:rPr>
          <w:sz w:val="20"/>
          <w:szCs w:val="20"/>
          <w:color w:val="auto"/>
        </w:rPr>
      </w:pPr>
    </w:p>
    <w:p>
      <w:pPr>
        <w:ind w:left="-20" w:firstLine="647"/>
        <w:spacing w:after="0" w:line="251" w:lineRule="auto"/>
        <w:tabs>
          <w:tab w:leader="none" w:pos="1593"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directors and officers for monetary damages shall be eliminated to the fullest extent permitted under applicable law. In furtherance thereof, a director or officer of the Corporation shall not be personally liable to the Corporation or its stockholders for monetary damages for breach of fiduciary duty as a director or officer, except to the extent such exemption from liability or limitation thereof is not permitted under the DGCL as the same exists or may hereafter be amended. Any repeal or modification of the foregoing two sentences shall not adversely affect any right or protection of a director or officer of the Corporation existing hereunder with respect to any act or omission occurring prior to such repeal or modification. If applicable law is amended after approval by the stockholders of this Article VI to authorize corporate action further eliminating or limiting the personal liability of directors or officers, then the liability of a director or officer to the Corporation shall be eliminated or limited to the fullest extent permitted by applicable law as so amended.</w:t>
      </w:r>
    </w:p>
    <w:p>
      <w:pPr>
        <w:spacing w:after="0" w:line="189" w:lineRule="exact"/>
        <w:rPr>
          <w:rFonts w:ascii="Times New Roman" w:cs="Times New Roman" w:eastAsia="Times New Roman" w:hAnsi="Times New Roman"/>
          <w:sz w:val="18"/>
          <w:szCs w:val="18"/>
          <w:b w:val="1"/>
          <w:bCs w:val="1"/>
          <w:color w:val="auto"/>
        </w:rPr>
      </w:pPr>
    </w:p>
    <w:p>
      <w:pPr>
        <w:ind w:left="-20" w:right="340" w:firstLine="647"/>
        <w:spacing w:after="0" w:line="262" w:lineRule="auto"/>
        <w:tabs>
          <w:tab w:leader="none" w:pos="1584"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fullest extent permitted by applicable law, the Corporation is authorized to provide indemnification of (and advancement of expenses to) directors, officers and agents of the Corporation (and any other persons to which applicable law permits the Corporation to provide indemnification) through Bylaw provisions, agreements with such agents or other persons, vote of stockholders or disinterested directors or otherwise.</w:t>
      </w:r>
    </w:p>
    <w:p>
      <w:pPr>
        <w:spacing w:after="0" w:line="176" w:lineRule="exact"/>
        <w:rPr>
          <w:rFonts w:ascii="Times New Roman" w:cs="Times New Roman" w:eastAsia="Times New Roman" w:hAnsi="Times New Roman"/>
          <w:sz w:val="18"/>
          <w:szCs w:val="18"/>
          <w:b w:val="1"/>
          <w:bCs w:val="1"/>
          <w:color w:val="auto"/>
        </w:rPr>
      </w:pPr>
    </w:p>
    <w:p>
      <w:pPr>
        <w:ind w:left="-20" w:right="140" w:firstLine="647"/>
        <w:spacing w:after="0" w:line="262" w:lineRule="auto"/>
        <w:tabs>
          <w:tab w:leader="none" w:pos="1593"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repeal or modification of this Article VI shall only be prospective and shall not adversely affect the rights or protections or increase the liability of any officer or director under this Article VI as in effect at the time of the alleged occurrence of any act or omission to act giving rise to liability or indemnification.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71342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Forum</w:t>
      </w:r>
    </w:p>
    <w:p>
      <w:pPr>
        <w:spacing w:after="0" w:line="224" w:lineRule="exact"/>
        <w:rPr>
          <w:sz w:val="20"/>
          <w:szCs w:val="20"/>
          <w:color w:val="auto"/>
        </w:rPr>
      </w:pPr>
    </w:p>
    <w:p>
      <w:pPr>
        <w:ind w:right="40" w:firstLine="647"/>
        <w:spacing w:after="0" w:line="249" w:lineRule="auto"/>
        <w:tabs>
          <w:tab w:leader="none" w:pos="1613"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(A) any derivative claim or cause of action brought on behalf of the Corporation; (B) any claim or cause of action for breach of a fiduciary duty owed by any current or former director, officer or other employee or stockholder of the Corporation, to the Corporation or the Corporation’s stockholders; (C) any claim or cause of action against the Corporation or any current or former director, officer or other employee of the Corporation, arising out of or pursuant to any provision of the DGCL, this Restated Certificate or the Bylaws of the Corporation (as each may be amended from time to time); (D) any claim or cause of action seeking to interpret, apply, enforce or determine the validity of this Restated Certificate or the Bylaws of the Corporation (as each may be amended from time to time, including any right, obligation, or remedy thereunder); (E) any claim or cause of action as to which the DGCL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and subject to the court having personal jurisdiction over the indispensable parties named as defendants. This Section A of Article VII shall not apply to claims or causes of action brought to enforce a duty or liability created by the Securities Act of 1933, as amended (the “1933 Act”), or the Securities Exchange Act of 1934, as amended, or any other claim for which the federal courts have exclusive jurisdiction.</w:t>
      </w:r>
    </w:p>
    <w:p>
      <w:pPr>
        <w:spacing w:after="0" w:line="194" w:lineRule="exact"/>
        <w:rPr>
          <w:rFonts w:ascii="Times New Roman" w:cs="Times New Roman" w:eastAsia="Times New Roman" w:hAnsi="Times New Roman"/>
          <w:sz w:val="18"/>
          <w:szCs w:val="18"/>
          <w:b w:val="1"/>
          <w:bCs w:val="1"/>
          <w:color w:val="auto"/>
        </w:rPr>
      </w:pPr>
    </w:p>
    <w:p>
      <w:pPr>
        <w:ind w:firstLine="647"/>
        <w:spacing w:after="0" w:line="262" w:lineRule="auto"/>
        <w:tabs>
          <w:tab w:leader="none" w:pos="160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1933 Act, including all causes of action asserted against any defendant named in such complaint.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2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Corporation renounces, to the fullest extent permitted by law, any interest or expectancy of the Corporation in, or in being offered an opportunity to participate in, any Excluded Opportunity pursuant to Section 122(17) of the DGCL. An “Excluded Opportunity” is any matter, transaction or interest that is presented to, or acquired, created or developed by, or which otherwise comes into the possession of (i) any director of the Corporation who is not an employee of the Corporation or any of its subsidiaries, or (ii) any holder of Common Stock or Preferred Stock or any partner, member, director, stockholder, employee or agent of any such holder, other than someone who is an employee of the Corporation or any of its subsidiaries (collectively,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solely in such Covered Person’s capacity as a director of the Corporation, such opportunity is one the Corporation is legally and contractually permitted to undertake, and to the extent the director is permitted to refer that opportunity to the Corporation without violating any legal obligation. Any amendment, repeal or modification of the foregoing provisions of this Article VIII shall not adversely affect any right or protection of any director of the Corporation existing at the time of such amendment, repeal or modification.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4" w:lineRule="exact"/>
        <w:rPr>
          <w:sz w:val="20"/>
          <w:szCs w:val="20"/>
          <w:color w:val="auto"/>
        </w:rPr>
      </w:pPr>
    </w:p>
    <w:p>
      <w:pPr>
        <w:ind w:left="-20" w:right="180" w:firstLine="647"/>
        <w:spacing w:after="0" w:line="277" w:lineRule="auto"/>
        <w:tabs>
          <w:tab w:leader="none" w:pos="159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person or entity holding, owning, or otherwise acquiring any interest in any security of the Corporation shall be deemed to have notice of and consented to the provisions of this Restated Certificate.</w:t>
      </w:r>
    </w:p>
    <w:p>
      <w:pPr>
        <w:spacing w:after="0" w:line="162" w:lineRule="exact"/>
        <w:rPr>
          <w:rFonts w:ascii="Times New Roman" w:cs="Times New Roman" w:eastAsia="Times New Roman" w:hAnsi="Times New Roman"/>
          <w:sz w:val="18"/>
          <w:szCs w:val="18"/>
          <w:b w:val="1"/>
          <w:bCs w:val="1"/>
          <w:color w:val="auto"/>
        </w:rPr>
      </w:pPr>
    </w:p>
    <w:p>
      <w:pPr>
        <w:ind w:left="-20" w:firstLine="647"/>
        <w:spacing w:after="0" w:line="254" w:lineRule="auto"/>
        <w:tabs>
          <w:tab w:leader="none" w:pos="158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Sections A and C of Article VI and the last sentence of Article VIII, the Corporation reserves the right to amend, alter, change or repeal, at any time and from time to time, any provision contained in this Restated Certificate, in the manner now or hereafter prescribed by statute, except as provided in paragraph C. of this Article IX, and all rights, preferences and privileges of whatsoever nature conferred upon the stockholders, directors or any other persons whomsoever by and pursuant to this Restated Certificate in its present form or as hereafter amended herein are granted subject to this reservation.</w:t>
      </w:r>
    </w:p>
    <w:p>
      <w:pPr>
        <w:spacing w:after="0" w:line="185" w:lineRule="exact"/>
        <w:rPr>
          <w:rFonts w:ascii="Times New Roman" w:cs="Times New Roman" w:eastAsia="Times New Roman" w:hAnsi="Times New Roman"/>
          <w:sz w:val="18"/>
          <w:szCs w:val="18"/>
          <w:b w:val="1"/>
          <w:bCs w:val="1"/>
          <w:color w:val="auto"/>
        </w:rPr>
      </w:pPr>
    </w:p>
    <w:p>
      <w:pPr>
        <w:ind w:left="-20" w:right="20" w:firstLine="647"/>
        <w:spacing w:after="0" w:line="253" w:lineRule="auto"/>
        <w:tabs>
          <w:tab w:leader="none" w:pos="159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provisions of this Restated Certificate or any provision of law that might otherwise permit a lesser vote or no vote, but in addition to any affirmative vote of the holders of any particular class or series of capital stock of the Corporation required by applicable law or by this Restated Certificate or any certificate of designation filed with respect to a series of Preferred Stock, the affirmative vote of the holders of at least 66 2/3% of the voting power of all of the then-outstanding shares of capital stock of the Corporation entitled to vote generally in the election of directors, voting together as a single class, shall be required to alter, amend or repeal (whether by merger, consolidation or otherwise) or adopt any provision inconsistent with, Articles V, VI, VII, VIII and IX.</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71342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sectPr>
      </w:pPr>
    </w:p>
    <w:bookmarkStart w:id="150" w:name="page151"/>
    <w:bookmarkEnd w:id="150"/>
    <w:p>
      <w:pPr>
        <w:spacing w:after="0" w:line="281"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Second Amended and Restated Certificate of Incorporation to be executed by a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this Corporation on [●], 2023.</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2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2023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0" w:lineRule="exact"/>
        <w:rPr>
          <w:sz w:val="20"/>
          <w:szCs w:val="20"/>
          <w:color w:val="auto"/>
        </w:rPr>
      </w:pPr>
    </w:p>
    <w:p>
      <w:pPr>
        <w:ind w:right="8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Section 1. Registered Office. </w:t>
      </w:r>
      <w:r>
        <w:rPr>
          <w:rFonts w:ascii="Times New Roman" w:cs="Times New Roman" w:eastAsia="Times New Roman" w:hAnsi="Times New Roman"/>
          <w:sz w:val="18"/>
          <w:szCs w:val="18"/>
          <w:color w:val="auto"/>
        </w:rPr>
        <w:t>The registered office of the corporation in the State of Delaware shall be as set forth in the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of the corporation (as the same may be amended and/or restated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right="160"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Section 2. Other Offices. </w:t>
      </w:r>
      <w:r>
        <w:rPr>
          <w:rFonts w:ascii="Times New Roman" w:cs="Times New Roman" w:eastAsia="Times New Roman" w:hAnsi="Times New Roman"/>
          <w:sz w:val="18"/>
          <w:szCs w:val="18"/>
          <w:color w:val="auto"/>
        </w:rPr>
        <w:t>The corporation may also have and maintain an office or principal place of business at such place as may be fixed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and may also have offices at such other places, both within and without the State of Delaware as the Board of Directors may from time to time determine or the business of the corporation may require.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20" w:lineRule="exact"/>
        <w:rPr>
          <w:sz w:val="20"/>
          <w:szCs w:val="20"/>
          <w:color w:val="auto"/>
        </w:rPr>
      </w:pPr>
    </w:p>
    <w:p>
      <w:pPr>
        <w:ind w:right="40"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Section 3. Corporate Seal. </w:t>
      </w:r>
      <w:r>
        <w:rPr>
          <w:rFonts w:ascii="Times New Roman" w:cs="Times New Roman" w:eastAsia="Times New Roman" w:hAnsi="Times New Roman"/>
          <w:sz w:val="18"/>
          <w:szCs w:val="18"/>
          <w:color w:val="auto"/>
        </w:rPr>
        <w:t>The Board of Directors may adopt a corporate seal. If adopted, the corporate seal shall consist of a die bearing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corporation and the inscription, “Corporate Seal-Delaware.” Said seal may be used by causing it or a facsimile thereof to be impressed or affixed or reproduced or otherwise.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0" w:lineRule="exact"/>
        <w:rPr>
          <w:sz w:val="20"/>
          <w:szCs w:val="20"/>
          <w:color w:val="auto"/>
        </w:rPr>
      </w:pPr>
    </w:p>
    <w:p>
      <w:pPr>
        <w:ind w:right="60"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Section 4. Place of Meetings. </w:t>
      </w:r>
      <w:r>
        <w:rPr>
          <w:rFonts w:ascii="Times New Roman" w:cs="Times New Roman" w:eastAsia="Times New Roman" w:hAnsi="Times New Roman"/>
          <w:sz w:val="18"/>
          <w:szCs w:val="18"/>
          <w:color w:val="auto"/>
        </w:rPr>
        <w:t>Meetings of the stockholders of the corporation may be held at such place, if any, either within or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Section 14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398145</wp:posOffset>
            </wp:positionV>
            <wp:extent cx="71342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52" w:name="page153"/>
    <w:bookmarkEnd w:id="152"/>
    <w:p>
      <w:pPr>
        <w:ind w:left="633"/>
        <w:spacing w:after="0"/>
        <w:tabs>
          <w:tab w:leader="none" w:pos="1613"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Annual Meetings.</w:t>
      </w:r>
    </w:p>
    <w:p>
      <w:pPr>
        <w:spacing w:after="0" w:line="224" w:lineRule="exact"/>
        <w:rPr>
          <w:sz w:val="20"/>
          <w:szCs w:val="20"/>
          <w:color w:val="auto"/>
        </w:rPr>
      </w:pPr>
    </w:p>
    <w:p>
      <w:pPr>
        <w:ind w:left="-7" w:right="20" w:firstLine="1288"/>
        <w:spacing w:after="0" w:line="265" w:lineRule="auto"/>
        <w:tabs>
          <w:tab w:leader="none" w:pos="2015" w:val="left"/>
        </w:tabs>
        <w:numPr>
          <w:ilvl w:val="1"/>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annual meeting of the stockholders of the corporation, for the purpose of election of directors and for such other business as may properly come before it, shall be held on such date, time and place, if any, as may be designated from time to time by the Board of Directors. For purposes of this Section 5, the corporation’s annual meeting of stockholders for the 2022 calendar year shall be deemed to have been held on [●], 2022. Subject to applicable law, the Board of Directors, or any director or officer of the corporation to whom the Board of Directors delegated such authority, may postpone, reschedule or cancel any meeting of stockholders previously scheduled by the Board of Directors. Nominations of persons for election to the Board of Directors of the corporation and proposals of business to be considered by the stockholders may be made at an annual meeting of stockholders:</w:t>
      </w:r>
    </w:p>
    <w:p>
      <w:pPr>
        <w:spacing w:after="0" w:line="4" w:lineRule="exact"/>
        <w:rPr>
          <w:rFonts w:ascii="Times New Roman" w:cs="Times New Roman" w:eastAsia="Times New Roman" w:hAnsi="Times New Roman"/>
          <w:sz w:val="17"/>
          <w:szCs w:val="17"/>
          <w:b w:val="1"/>
          <w:bCs w:val="1"/>
          <w:color w:val="auto"/>
        </w:rPr>
      </w:pPr>
    </w:p>
    <w:p>
      <w:pPr>
        <w:ind w:left="213" w:hanging="213"/>
        <w:spacing w:after="0"/>
        <w:tabs>
          <w:tab w:leader="none" w:pos="213"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corporation’s notice of meeting of stockholders; (ii) by or at the direction of the Board of Directors or a duly authorized committee thereof;</w:t>
      </w:r>
    </w:p>
    <w:p>
      <w:pPr>
        <w:spacing w:after="0" w:line="17" w:lineRule="exact"/>
        <w:rPr>
          <w:rFonts w:ascii="Times New Roman" w:cs="Times New Roman" w:eastAsia="Times New Roman" w:hAnsi="Times New Roman"/>
          <w:sz w:val="17"/>
          <w:szCs w:val="17"/>
          <w:color w:val="auto"/>
        </w:rPr>
      </w:pPr>
    </w:p>
    <w:p>
      <w:pPr>
        <w:ind w:left="-7" w:firstLine="7"/>
        <w:spacing w:after="0" w:line="248" w:lineRule="auto"/>
        <w:tabs>
          <w:tab w:leader="none" w:pos="30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provided in the certificate of designation for any class or series of preferred stock; or (iv) by any stockholder of the corporation who was a stockholder of record (and, with respect to any beneficial owner, if different, on whose behalf such business is proposed or such nomination or nominations are made, only if such beneficial owner was the beneficial owner of shares of the corporation) at the time of giving the stockholder’s notice provided for in Section 5(b) below, who is entitled to vote at the meeting and who complied with the notice procedures set forth in this Section 5. For the avoidance of doubt, clause (iv)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before an annual meeting of stockholders.</w:t>
      </w:r>
    </w:p>
    <w:p>
      <w:pPr>
        <w:spacing w:after="0" w:line="191" w:lineRule="exact"/>
        <w:rPr>
          <w:rFonts w:ascii="Times New Roman" w:cs="Times New Roman" w:eastAsia="Times New Roman" w:hAnsi="Times New Roman"/>
          <w:sz w:val="18"/>
          <w:szCs w:val="18"/>
          <w:color w:val="auto"/>
        </w:rPr>
      </w:pPr>
    </w:p>
    <w:p>
      <w:pPr>
        <w:ind w:left="-7" w:right="260" w:firstLine="1288"/>
        <w:spacing w:after="0" w:line="262" w:lineRule="auto"/>
        <w:tabs>
          <w:tab w:leader="none" w:pos="2025"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 annual meeting of the stockholders, only such business shall be conducted as is a proper matter for stockholder action under Delaware law, the Certificate of Incorporation and these Amended and Restated Bylaws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and as shall have been properly brought before the meeting in accordance with the procedures below.</w:t>
      </w:r>
    </w:p>
    <w:p>
      <w:pPr>
        <w:spacing w:after="0" w:line="176" w:lineRule="exact"/>
        <w:rPr>
          <w:rFonts w:ascii="Times New Roman" w:cs="Times New Roman" w:eastAsia="Times New Roman" w:hAnsi="Times New Roman"/>
          <w:sz w:val="18"/>
          <w:szCs w:val="18"/>
          <w:b w:val="1"/>
          <w:bCs w:val="1"/>
          <w:color w:val="auto"/>
        </w:rPr>
      </w:pPr>
    </w:p>
    <w:p>
      <w:pPr>
        <w:ind w:left="-7" w:firstLine="1928"/>
        <w:spacing w:after="0" w:line="248" w:lineRule="auto"/>
        <w:tabs>
          <w:tab w:leader="none" w:pos="2616" w:val="left"/>
        </w:tabs>
        <w:numPr>
          <w:ilvl w:val="2"/>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nominations for the election to the Board of Directors to be properly brought before an annual meeting by a stockholder pursuant to clause (iii) of Section 5(a), the Proposing Person must deliver written notice to the Secretary at the principal executive offices of the corporation on a timely basis as set forth in Section 5(b)(iv) and must update and supplement such written notice on a timely basis as set forth in Section 5(c). Such Proposing Person’s notice shall set forth: (A) as to each nominee such Proposing Person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(4) the date or dates on which such shares were acquired and the investment intent of such acquisition, (5) a statement whether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and (6) 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pursuant to applicable requirements of state and federal law, including Section 14 of the 1934 Act and the rules and regulations promulgated thereunder, the Certificate of Incorporation, and these Bylaws (including such person’s written consent to being named in the corporation’s proxy statement and associated proxy card as a nominee of the stockholder and to serving as a director if elected); and (B) all of the information required by Section 5(b)(iv) and shall be accompanied by a completed and signed written questionnaire (in the form provided by the Secretary upon written request) with respect to the background and qualification of such nominee and the background of any other person or entity on whose behalf the nomination is being made. The corporation may require any proposed nominee to furnish such other information as it may reasonably require to determine the eligibility of such proposed nominee to serve as an independent director of the corporation (as such term is used in any applicable stock exchange listing requirements or applicable law) or on any committee or sub-committee of the Board of Directors under any applicable stock exchange listing requirements or applicable law, or that the Board of Directors determines, in its sole discretion, could be material to a reasonable stockholder’s understanding of the independence, or lack thereof, of such proposed nominee. The number of nominees a stockholder may nominate for election at the annual meeting of stockholders (or in the case of a stockholder giving the notice on behalf of a beneficial owner, the number of nominees a stockholder may nominate for election at the annual meeting of stockholders on behalf of such beneficial owner) shall not exceed the number of directors to be elected at such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412750</wp:posOffset>
            </wp:positionV>
            <wp:extent cx="71342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891" w:right="339" w:bottom="1440" w:gutter="0" w:footer="0" w:header="0"/>
        </w:sectPr>
      </w:pPr>
    </w:p>
    <w:bookmarkStart w:id="153" w:name="page154"/>
    <w:bookmarkEnd w:id="153"/>
    <w:p>
      <w:pPr>
        <w:ind w:right="100" w:firstLine="1928"/>
        <w:spacing w:after="0" w:line="267" w:lineRule="auto"/>
        <w:tabs>
          <w:tab w:leader="none" w:pos="2672"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business other than nominations for the election to the Board of Directors to be properly brought before an annual meeting by a stockholder pursuant to clause (iv) of Section 5(a), the Proposing Person must deliver written notice to the Secretary at the principal executive offices of the corporation on a timely basis as set forth in Section 5(b)(iii), and must update and supplement such written notice on a timely basis as set forth in Section 5(c). The Proposing Person’s notice shall set forth: (A) as to each matter the Proposing Person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(including any anticipated benefit of such business to any Proposing Person (as defined below) other than solely as a result of its ownership of the corporation’s capital stock, that is material to any Proposing Person individually, or to the Proposing Persons in the aggregate) in such business of any Proposing Person; and (B) the information required by Section 5(b)(iv).</w:t>
      </w:r>
    </w:p>
    <w:p>
      <w:pPr>
        <w:spacing w:after="0" w:line="177" w:lineRule="exact"/>
        <w:rPr>
          <w:rFonts w:ascii="Times New Roman" w:cs="Times New Roman" w:eastAsia="Times New Roman" w:hAnsi="Times New Roman"/>
          <w:sz w:val="17"/>
          <w:szCs w:val="17"/>
          <w:b w:val="1"/>
          <w:bCs w:val="1"/>
          <w:color w:val="auto"/>
        </w:rPr>
      </w:pPr>
    </w:p>
    <w:p>
      <w:pPr>
        <w:ind w:left="2720" w:hanging="792"/>
        <w:spacing w:after="0"/>
        <w:tabs>
          <w:tab w:leader="none" w:pos="272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be timely, the written notice required by Section 5(b)(i) or 5(b)(ii) must be received by the Secretary at the principal</w:t>
      </w:r>
    </w:p>
    <w:p>
      <w:pPr>
        <w:spacing w:after="0" w:line="37"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executive offices of the corporation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date (as stated in the corporation’s proxy materials) the definitive proxy statement was first sent to stockholders in connection with the preceding year’s annual meeting of stockholders;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subject to the last sentence of this Section 5(b)(iii), in the event that (A) the date of the annual meeting is advanced more than 30 days prior to or delayed by more than 30 days after the anniversary of the preceding year’s annual meeting, notice by the stockholder to be timely must be so received not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not later</w:t>
      </w:r>
    </w:p>
    <w:p>
      <w:pPr>
        <w:spacing w:after="0" w:line="5"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than the close of business on the later of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annual meeting or, if later than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annual meeting, the tenth day following the day on which public announcement of the date of such meeting is first made by the corporation or (B) the corporation did not have an annual meeting in the preceding year, notice by the Proposing Person to be timely must be so received not later than the tenth day following the day on which public announcement of the date of such meeting is first made. In no event shall an adjournment or postponement of an annual meeting for which notice has been given, or the public announcement thereof has been made, commence a new time period (or extend any time period) for the giving of a Proposing Person’s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408305</wp:posOffset>
            </wp:positionV>
            <wp:extent cx="71342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4" w:name="page155"/>
    <w:bookmarkEnd w:id="154"/>
    <w:p>
      <w:pPr>
        <w:ind w:left="2720" w:hanging="792"/>
        <w:spacing w:after="0"/>
        <w:tabs>
          <w:tab w:leader="none" w:pos="2720"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written notice required by Sections 5(b)(i) or 5(b)(ii) shall also set forth, as of the date of the notice and as to the</w:t>
      </w:r>
    </w:p>
    <w:p>
      <w:pPr>
        <w:spacing w:after="0" w:line="25" w:lineRule="exact"/>
        <w:rPr>
          <w:rFonts w:ascii="Times New Roman" w:cs="Times New Roman" w:eastAsia="Times New Roman" w:hAnsi="Times New Roman"/>
          <w:sz w:val="18"/>
          <w:szCs w:val="18"/>
          <w:b w:val="1"/>
          <w:bCs w:val="1"/>
          <w:color w:val="auto"/>
        </w:rPr>
      </w:pPr>
    </w:p>
    <w:p>
      <w:pPr>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Proposing Person: (A) the name and address of each Proposing Person,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Proposing Person (provided, that for purposes of this Section 5(b)(iv), such Proposing Person shall in all events be deemed to beneficially own all shares of any class or series of capital stock of the corporation as to which such Proposing Person has a right to acquire beneficial ownership at any time in the future); (C) a description of any agreement, arrangement or understanding (whether oral or in writing) with respect to such nomination or proposal (and/or the voting of shares of any class or series of capital stock of the corporation) between or among any Proposing Person and any of its affiliates or associates, and any others, including any nominee (including their names), acting in concert, or otherwise under the agreement, arrangement or understanding, with any of the foregoing, including any agreement or arrangement or understanding (whether oral or in writing) relating to any compensation or payments to be paid to any such proposed nominee or nominees;</w:t>
      </w:r>
    </w:p>
    <w:p>
      <w:pPr>
        <w:spacing w:after="0" w:line="4" w:lineRule="exact"/>
        <w:rPr>
          <w:rFonts w:ascii="Times New Roman" w:cs="Times New Roman" w:eastAsia="Times New Roman" w:hAnsi="Times New Roman"/>
          <w:sz w:val="18"/>
          <w:szCs w:val="18"/>
          <w:b w:val="1"/>
          <w:bCs w:val="1"/>
          <w:color w:val="auto"/>
        </w:rPr>
      </w:pPr>
    </w:p>
    <w:p>
      <w:pPr>
        <w:ind w:right="80" w:firstLine="7"/>
        <w:spacing w:after="0" w:line="248" w:lineRule="auto"/>
        <w:tabs>
          <w:tab w:leader="none" w:pos="29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Proposing Persons are holders of record or beneficial owners, as the case may be, of shares of the corporation at the time of giving notice, will be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 (ii)); (E) a representation as to whether the Proposing Persons (x) intend to solicit proxies from the required number of the corporation’s voting shares in support of any proposed nominee, as promulgated under Rule 14a-19 of the 1934 Act (with respect to a notice under Section 5(b)(i)) or (y) intend to deliver, or make available, a proxy statement and form of proxy to such number of the corporation’s voting shares that would be sufficient to carry such proposal or otherwise solicit proxies or votes from stockholders in support of such proposal (with respect to a notice under Section 5(b)(ii)); (F) to the extent known by any Proposing Person, the name and address of any other stockholder supporting the proposal on the date of such stockholder’s notice; and (G) a description of all Derivative Transactions (as defined below) by each Proposing Person during the previous 12 month period, including the date of the transactions and the class, series and number of securities involved in, and the material economic terms of, such Derivative Transactions.</w:t>
      </w:r>
    </w:p>
    <w:p>
      <w:pPr>
        <w:spacing w:after="0" w:line="190" w:lineRule="exact"/>
        <w:rPr>
          <w:rFonts w:ascii="Times New Roman" w:cs="Times New Roman" w:eastAsia="Times New Roman" w:hAnsi="Times New Roman"/>
          <w:sz w:val="18"/>
          <w:szCs w:val="18"/>
          <w:color w:val="auto"/>
        </w:rPr>
      </w:pPr>
    </w:p>
    <w:p>
      <w:pPr>
        <w:ind w:right="20" w:firstLine="1288"/>
        <w:spacing w:after="0" w:line="251" w:lineRule="auto"/>
        <w:tabs>
          <w:tab w:leader="none" w:pos="2012"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Proposing Person providing the written notice required by Section 5(b)(i) or (ii) shall update and supplement such notice in writing, if necessary, so that the information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In the case of an update and supplement pursuant to clause (i) of this Section 5(c), such update and supplement shall be received by the Secretary at the principal executive offices of the corporation not later than five Business Days after the public announcement of the record date for the determination of stockholders entitled to notice of the meeting.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401320</wp:posOffset>
            </wp:positionV>
            <wp:extent cx="71342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5" w:name="page156"/>
    <w:bookmarkEnd w:id="155"/>
    <w:p>
      <w:pPr>
        <w:ind w:left="-1120" w:right="80" w:firstLine="1288"/>
        <w:spacing w:after="0" w:line="252" w:lineRule="auto"/>
        <w:tabs>
          <w:tab w:leader="none" w:pos="912"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Section 5(b)(iii) to the contrary, in the event that the number of directors to be elected to the Board of Directors at the next annual meeting is increased effective after the time period for which nominations would otherwise be due under Section 5(b)(iii) and there is no public announcement by the corporation naming all of the nominees for the new positions created by such increase at least 100 days before the first anniversary of the preceding year’s annual meeting, a Proposing Person’s notice required by this Section 5 and that complies with the requirements in Section 5(b)(i), other than the timing requirements in Section 5(b)(iii), shall also be considered timely, but only with respect to nominees for the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86" w:lineRule="exact"/>
        <w:rPr>
          <w:rFonts w:ascii="Times New Roman" w:cs="Times New Roman" w:eastAsia="Times New Roman" w:hAnsi="Times New Roman"/>
          <w:sz w:val="18"/>
          <w:szCs w:val="18"/>
          <w:b w:val="1"/>
          <w:bCs w:val="1"/>
          <w:color w:val="auto"/>
        </w:rPr>
      </w:pPr>
    </w:p>
    <w:p>
      <w:pPr>
        <w:ind w:left="-1120" w:firstLine="1288"/>
        <w:spacing w:after="0" w:line="248" w:lineRule="auto"/>
        <w:tabs>
          <w:tab w:leader="none" w:pos="892"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not be eligible for election or re-election as a director at an annual meeting, unless the person is nominated in accordance with either clause (ii), (iii) or (iv) of Section 5(a) and in accordance with the procedures set forth in Section 5(b), Section 5(c), and Section 5(d), as applicable. Only such business shall be conducted at any annual meeting of the stockholders of the corporation as shall have been brought before the meeting in accordance with clauses (i), (ii), (iii) or (iv) of Section 5(a) and in accordance with the procedures set forth in Section 5(b) and Section 5(c), as applicable. Notwithstanding anything to the contrary in the Bylaws, unless otherwise required by applicable law, if any Proposing Person (i) provides notice pursuant to Rule 14a-19(b) promulgated under the 1934 Act with respect to any proposed nominee and (ii) subsequently fails to comply with the requirements of Rule 14a-19 promulgated under the 1934 Act (or fails to timely provide reasonable evidence sufficient to satisfy the corporation that such Proposing Person has met the requirements of Rule 14a-19(a)(3) promulgated under the 1934 Act in accordance with the following sentence), then the nomination of each such proposed nominee shall be disregarded, notwithstanding that proxies or votes in respect of the election of such proposed nominees may have been received by the corporation (which proxies and votes shall be disregarded). Upon request by the corporation, if any Proposing Person provides notice pursuant to Rule 14a-19(b) promulgated under the 1934 Act, such Proposing Person shall deliver to the corporation, no later than five Business Days prior to the applicable meeting, reasonable evidence that it has met the requirements of Rule 14a-19(a)(3) promulgated under the 1934 Act. Except as otherwise required by applicable law, the chairperson of the meeting shall have the power and duty to determine whether a nomination or any business proposed to be brought before the meeting was made, or proposed, as the case may be, in accordance with the procedures set forth in the Bylaws and, if any proposed nomination or business is not in compliance with the Bylaws, or the Proposing Person does not act in accordance with the representations in Sections 5(b)(iv)(D) and 5(b)(iv)(E), to declare that such proposal or nomination shall not be presented for stockholder action at the meeting and shall be disregarded, or that such business shall not be transacted, notwithstanding that proxies in respect of such nomination or such business may have been solicited or received. Notwithstanding the foregoing provisions of this Section 5(e), unless otherwise required by applicable law, if the stockholder (or a qualified representative of the stockholder) does not appear at the annual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5(e),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412115</wp:posOffset>
            </wp:positionV>
            <wp:extent cx="71342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00"/>
          </w:cols>
          <w:pgMar w:left="1440" w:top="895" w:right="359" w:bottom="1440" w:gutter="0" w:footer="0" w:header="0"/>
        </w:sectPr>
      </w:pPr>
    </w:p>
    <w:bookmarkStart w:id="156" w:name="page157"/>
    <w:bookmarkEnd w:id="156"/>
    <w:p>
      <w:pPr>
        <w:ind w:left="2000" w:hanging="712"/>
        <w:spacing w:after="0"/>
        <w:tabs>
          <w:tab w:leader="none" w:pos="20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Sections 5 and 6,</w:t>
      </w:r>
    </w:p>
    <w:p>
      <w:pPr>
        <w:spacing w:after="0" w:line="215" w:lineRule="exact"/>
        <w:rPr>
          <w:rFonts w:ascii="Times New Roman" w:cs="Times New Roman" w:eastAsia="Times New Roman" w:hAnsi="Times New Roman"/>
          <w:sz w:val="18"/>
          <w:szCs w:val="18"/>
          <w:b w:val="1"/>
          <w:bCs w:val="1"/>
          <w:color w:val="auto"/>
        </w:rPr>
      </w:pPr>
    </w:p>
    <w:p>
      <w:pPr>
        <w:ind w:left="2620" w:hanging="692"/>
        <w:spacing w:after="0"/>
        <w:tabs>
          <w:tab w:leader="none" w:pos="2620" w:val="left"/>
        </w:tabs>
        <w:numPr>
          <w:ilvl w:val="1"/>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associates</w:t>
      </w:r>
      <w:r>
        <w:rPr>
          <w:rFonts w:ascii="Times New Roman" w:cs="Times New Roman" w:eastAsia="Times New Roman" w:hAnsi="Times New Roman"/>
          <w:sz w:val="17"/>
          <w:szCs w:val="17"/>
          <w:color w:val="auto"/>
        </w:rPr>
        <w:t>” shall have the meanings set forth in Rule 405 under the Securities Act of 1933, as amended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1933 Act</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2680" w:hanging="752"/>
        <w:spacing w:after="0"/>
        <w:tabs>
          <w:tab w:leader="none" w:pos="268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 any day other than Saturday, Sunday or a day on which banks are closed in New York City, New</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197" w:lineRule="exact"/>
        <w:rPr>
          <w:sz w:val="20"/>
          <w:szCs w:val="20"/>
          <w:color w:val="auto"/>
        </w:rPr>
      </w:pPr>
    </w:p>
    <w:p>
      <w:pPr>
        <w:ind w:right="300" w:firstLine="1928"/>
        <w:spacing w:after="0" w:line="281" w:lineRule="auto"/>
        <w:tabs>
          <w:tab w:leader="none" w:pos="272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 of business</w:t>
      </w:r>
      <w:r>
        <w:rPr>
          <w:rFonts w:ascii="Times New Roman" w:cs="Times New Roman" w:eastAsia="Times New Roman" w:hAnsi="Times New Roman"/>
          <w:sz w:val="18"/>
          <w:szCs w:val="18"/>
          <w:color w:val="auto"/>
        </w:rPr>
        <w:t>” means 6:00 p.m. local time at the principal executive offices of the corporation on any calendar day, whether or not the day is a Business Day;</w:t>
      </w:r>
    </w:p>
    <w:p>
      <w:pPr>
        <w:spacing w:after="0" w:line="155" w:lineRule="exact"/>
        <w:rPr>
          <w:rFonts w:ascii="Times New Roman" w:cs="Times New Roman" w:eastAsia="Times New Roman" w:hAnsi="Times New Roman"/>
          <w:sz w:val="18"/>
          <w:szCs w:val="18"/>
          <w:b w:val="1"/>
          <w:bCs w:val="1"/>
          <w:color w:val="auto"/>
        </w:rPr>
      </w:pPr>
    </w:p>
    <w:p>
      <w:pPr>
        <w:ind w:right="20" w:firstLine="1928"/>
        <w:spacing w:after="0" w:line="281" w:lineRule="auto"/>
        <w:tabs>
          <w:tab w:leader="none" w:pos="2711"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 Transaction</w:t>
      </w:r>
      <w:r>
        <w:rPr>
          <w:rFonts w:ascii="Times New Roman" w:cs="Times New Roman" w:eastAsia="Times New Roman" w:hAnsi="Times New Roman"/>
          <w:sz w:val="18"/>
          <w:szCs w:val="18"/>
          <w:color w:val="auto"/>
        </w:rPr>
        <w:t>” means any agreement, arrangement, interest or understanding entered into by, or on behalf or for the benefit of, any Proposing Person or any of its affiliates or associates, whether record or beneficial:</w:t>
      </w:r>
    </w:p>
    <w:p>
      <w:pPr>
        <w:spacing w:after="0" w:line="160" w:lineRule="exact"/>
        <w:rPr>
          <w:sz w:val="20"/>
          <w:szCs w:val="20"/>
          <w:color w:val="auto"/>
        </w:rPr>
      </w:pPr>
    </w:p>
    <w:p>
      <w:pPr>
        <w:ind w:left="1920" w:right="540" w:firstLine="8"/>
        <w:spacing w:after="0" w:line="277" w:lineRule="auto"/>
        <w:tabs>
          <w:tab w:leader="none" w:pos="221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which is derived in whole or in part from the value of any class or series of shares or other securities of the corporation;</w:t>
      </w:r>
    </w:p>
    <w:p>
      <w:pPr>
        <w:spacing w:after="0" w:line="162" w:lineRule="exact"/>
        <w:rPr>
          <w:rFonts w:ascii="Times New Roman" w:cs="Times New Roman" w:eastAsia="Times New Roman" w:hAnsi="Times New Roman"/>
          <w:sz w:val="18"/>
          <w:szCs w:val="18"/>
          <w:color w:val="auto"/>
        </w:rPr>
      </w:pPr>
    </w:p>
    <w:p>
      <w:pPr>
        <w:ind w:left="1920" w:right="280" w:firstLine="8"/>
        <w:spacing w:after="0" w:line="277" w:lineRule="auto"/>
        <w:tabs>
          <w:tab w:leader="none" w:pos="220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otherwise provides any direct or indirect opportunity to gain or share in any gain derived from a change in the value of securities of the corporation;</w:t>
      </w:r>
    </w:p>
    <w:p>
      <w:pPr>
        <w:spacing w:after="0" w:line="162" w:lineRule="exact"/>
        <w:rPr>
          <w:rFonts w:ascii="Times New Roman" w:cs="Times New Roman" w:eastAsia="Times New Roman" w:hAnsi="Times New Roman"/>
          <w:sz w:val="18"/>
          <w:szCs w:val="18"/>
          <w:color w:val="auto"/>
        </w:rPr>
      </w:pPr>
    </w:p>
    <w:p>
      <w:pPr>
        <w:ind w:left="1920" w:right="480" w:firstLine="8"/>
        <w:spacing w:after="0" w:line="277" w:lineRule="auto"/>
        <w:tabs>
          <w:tab w:leader="none" w:pos="220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or intent of which is to mitigate loss, manage risk or benefit from changes in value or price with respect to any securities of the corporation; or</w:t>
      </w:r>
    </w:p>
    <w:p>
      <w:pPr>
        <w:spacing w:after="0" w:line="162" w:lineRule="exact"/>
        <w:rPr>
          <w:rFonts w:ascii="Times New Roman" w:cs="Times New Roman" w:eastAsia="Times New Roman" w:hAnsi="Times New Roman"/>
          <w:sz w:val="18"/>
          <w:szCs w:val="18"/>
          <w:color w:val="auto"/>
        </w:rPr>
      </w:pPr>
    </w:p>
    <w:p>
      <w:pPr>
        <w:ind w:left="1920" w:right="300" w:firstLine="8"/>
        <w:spacing w:after="0" w:line="277" w:lineRule="auto"/>
        <w:tabs>
          <w:tab w:leader="none" w:pos="221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provides the right to vote or increase or decrease the voting power of, such Proposing Person, or any of its affiliates or associates, directly or indirectly, with respect to any securities of the corporation,</w:t>
      </w:r>
    </w:p>
    <w:p>
      <w:pPr>
        <w:spacing w:after="0" w:line="1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Person in the securities of the corporation held by any general or limited partnership, or any limited liability company, of which such Proposing Person is, directly or indirectly, a general partner or managing member; and</w:t>
      </w:r>
    </w:p>
    <w:p>
      <w:pPr>
        <w:spacing w:after="0" w:line="182" w:lineRule="exact"/>
        <w:rPr>
          <w:sz w:val="20"/>
          <w:szCs w:val="20"/>
          <w:color w:val="auto"/>
        </w:rPr>
      </w:pPr>
    </w:p>
    <w:p>
      <w:pPr>
        <w:ind w:right="200" w:firstLine="1928"/>
        <w:spacing w:after="0" w:line="258" w:lineRule="auto"/>
        <w:tabs>
          <w:tab w:leader="none" w:pos="266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Proposing Person</w:t>
      </w:r>
      <w:r>
        <w:rPr>
          <w:rFonts w:ascii="Times New Roman" w:cs="Times New Roman" w:eastAsia="Times New Roman" w:hAnsi="Times New Roman"/>
          <w:sz w:val="18"/>
          <w:szCs w:val="18"/>
          <w:color w:val="auto"/>
        </w:rPr>
        <w:t>” includes each of the stockholders giving the notice, the beneficial owner or beneficial owners, if different, on whose behalf the nomination or proposal for other business subject to Section 5 of Article III is made, any of their respective affiliates or associates (including, if such stockholder or beneficial owner is an entity, each director, executive, managing member or control person of such entity), and any others acting in concert.</w:t>
      </w:r>
    </w:p>
    <w:p>
      <w:pPr>
        <w:spacing w:after="0" w:line="177" w:lineRule="exact"/>
        <w:rPr>
          <w:rFonts w:ascii="Times New Roman" w:cs="Times New Roman" w:eastAsia="Times New Roman" w:hAnsi="Times New Roman"/>
          <w:sz w:val="18"/>
          <w:szCs w:val="18"/>
          <w:b w:val="1"/>
          <w:bCs w:val="1"/>
          <w:color w:val="auto"/>
        </w:rPr>
      </w:pPr>
    </w:p>
    <w:p>
      <w:pPr>
        <w:ind w:right="100" w:firstLine="1928"/>
        <w:spacing w:after="0" w:line="258" w:lineRule="auto"/>
        <w:tabs>
          <w:tab w:leader="none" w:pos="2711"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398145</wp:posOffset>
            </wp:positionV>
            <wp:extent cx="71342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7" w:name="page158"/>
    <w:bookmarkEnd w:id="157"/>
    <w:p>
      <w:pPr>
        <w:ind w:left="64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Special Meetings.</w:t>
      </w:r>
    </w:p>
    <w:p>
      <w:pPr>
        <w:spacing w:after="0" w:line="224" w:lineRule="exact"/>
        <w:rPr>
          <w:sz w:val="20"/>
          <w:szCs w:val="20"/>
          <w:color w:val="auto"/>
        </w:rPr>
      </w:pPr>
    </w:p>
    <w:p>
      <w:pPr>
        <w:jc w:val="both"/>
        <w:ind w:right="380" w:firstLine="1288"/>
        <w:spacing w:after="0" w:line="262" w:lineRule="auto"/>
        <w:tabs>
          <w:tab w:leader="none" w:pos="2022"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the Board of Directors.</w:t>
      </w:r>
    </w:p>
    <w:p>
      <w:pPr>
        <w:spacing w:after="0" w:line="176" w:lineRule="exact"/>
        <w:rPr>
          <w:rFonts w:ascii="Times New Roman" w:cs="Times New Roman" w:eastAsia="Times New Roman" w:hAnsi="Times New Roman"/>
          <w:sz w:val="18"/>
          <w:szCs w:val="18"/>
          <w:b w:val="1"/>
          <w:bCs w:val="1"/>
          <w:color w:val="auto"/>
        </w:rPr>
      </w:pPr>
    </w:p>
    <w:p>
      <w:pPr>
        <w:jc w:val="both"/>
        <w:ind w:right="180" w:firstLine="1288"/>
        <w:spacing w:after="0" w:line="262" w:lineRule="auto"/>
        <w:tabs>
          <w:tab w:leader="none" w:pos="2032"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No business may be transacted at such special meeting otherwise than specified in the notice of meeting.</w:t>
      </w:r>
    </w:p>
    <w:p>
      <w:pPr>
        <w:spacing w:after="0" w:line="176" w:lineRule="exact"/>
        <w:rPr>
          <w:rFonts w:ascii="Times New Roman" w:cs="Times New Roman" w:eastAsia="Times New Roman" w:hAnsi="Times New Roman"/>
          <w:sz w:val="18"/>
          <w:szCs w:val="18"/>
          <w:b w:val="1"/>
          <w:bCs w:val="1"/>
          <w:color w:val="auto"/>
        </w:rPr>
      </w:pPr>
    </w:p>
    <w:p>
      <w:pPr>
        <w:ind w:firstLine="1288"/>
        <w:spacing w:after="0" w:line="266" w:lineRule="auto"/>
        <w:tabs>
          <w:tab w:leader="none" w:pos="2012" w:val="left"/>
        </w:tabs>
        <w:numPr>
          <w:ilvl w:val="1"/>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who is entitled to vote at the meeting and who delivers written notice to the Secretary of the corporation setting forth the information required by Sections 5(b)(i) and 5(b)</w:t>
      </w:r>
    </w:p>
    <w:p>
      <w:pPr>
        <w:spacing w:after="0" w:line="3" w:lineRule="exact"/>
        <w:rPr>
          <w:rFonts w:ascii="Times New Roman" w:cs="Times New Roman" w:eastAsia="Times New Roman" w:hAnsi="Times New Roman"/>
          <w:sz w:val="17"/>
          <w:szCs w:val="17"/>
          <w:b w:val="1"/>
          <w:bCs w:val="1"/>
          <w:color w:val="auto"/>
        </w:rPr>
      </w:pPr>
    </w:p>
    <w:p>
      <w:pPr>
        <w:ind w:right="100" w:firstLine="7"/>
        <w:spacing w:after="0" w:line="262" w:lineRule="auto"/>
        <w:tabs>
          <w:tab w:leader="none" w:pos="34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Sections 5(b)(i) and 5(b)</w:t>
      </w:r>
    </w:p>
    <w:p>
      <w:pPr>
        <w:ind w:left="300" w:hanging="293"/>
        <w:spacing w:after="0"/>
        <w:tabs>
          <w:tab w:leader="none" w:pos="3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be received by the Secretary at the principal executive offices of the corporation not earlier than 120 days prior to such special meeting and not later</w:t>
      </w:r>
    </w:p>
    <w:p>
      <w:pPr>
        <w:spacing w:after="0" w:line="1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than the close of business on the later of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meeting or the tenth day following the day on which the corporation first makes a public announcement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199" w:lineRule="exact"/>
        <w:rPr>
          <w:sz w:val="20"/>
          <w:szCs w:val="20"/>
          <w:color w:val="auto"/>
        </w:rPr>
      </w:pPr>
    </w:p>
    <w:p>
      <w:pPr>
        <w:ind w:right="20" w:firstLine="1288"/>
        <w:spacing w:after="0" w:line="251" w:lineRule="auto"/>
        <w:tabs>
          <w:tab w:leader="none" w:pos="2032"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not be eligible for election or re-election as a director at the special meeting unless the person is nominated either in accordance with clause (i) or clause (ii) of this Section 6(c). Except as otherwise required by applicable law, the chairperson of the meeting shall have the power and duty to determine whether a nomination was made in accordance with the procedures set forth in the Bylaws and, if any proposed nomination or business is not in compliance with the Bylaws, or if the Proposing Person does not act in accordance with the representations in Sections 5(b)(iv)(D) and 5(b) (iv)(E), to declare that such nomination shall not be presented for stockholder action at the meeting and shall be disregarded, notwithstanding that proxies in respect of such nomination may have been solicited or received. Notwithstanding the foregoing provisions of this Section 6(d), unless otherwise required by applicable law, if the stockholder or a qualified representative of the stockholder (meeting the requirements specified in Section 5(e)) does not appear at the special meeting of stockholders of the corporation to present a nomination, such nomination shall be disregarded, notwithstanding that proxies in respect of such vote may have been received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401320</wp:posOffset>
            </wp:positionV>
            <wp:extent cx="71342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8" w:name="page159"/>
    <w:bookmarkEnd w:id="158"/>
    <w:p>
      <w:pPr>
        <w:ind w:right="180" w:firstLine="1288"/>
        <w:spacing w:after="0" w:line="253" w:lineRule="auto"/>
        <w:tabs>
          <w:tab w:leader="none" w:pos="2012"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Sections 5 and 6, a stockholder must also comply with all applicable requirements of the 1934 Act and the rules and regulations promulgated thereunder with respect to matters set forth in Sections 5 and 6</w:t>
      </w:r>
      <w:r>
        <w:rPr>
          <w:rFonts w:ascii="Times New Roman" w:cs="Times New Roman" w:eastAsia="Times New Roman" w:hAnsi="Times New Roman"/>
          <w:sz w:val="18"/>
          <w:szCs w:val="18"/>
          <w:i w:val="1"/>
          <w:iCs w:val="1"/>
          <w:color w:val="auto"/>
        </w:rPr>
        <w:t>, provided, however,</w:t>
      </w:r>
      <w:r>
        <w:rPr>
          <w:rFonts w:ascii="Times New Roman" w:cs="Times New Roman" w:eastAsia="Times New Roman" w:hAnsi="Times New Roman"/>
          <w:sz w:val="18"/>
          <w:szCs w:val="18"/>
          <w:color w:val="auto"/>
        </w:rPr>
        <w:t xml:space="preserve"> that to the fullest extent not prohibited by applicable law, any references in these Bylaws to the 1934 Act or the rules and regulations promulgated thereunder are not intended to and shall not limit the requirements applicable to proposals and/or nominations for the election to the Board of Directors to be considered pursuant to Sections 5 or 6. Nothing in the Bylaws shall be deemed to affect any rights of holders of any class or series of preferred stock to nominate and elect directors pursuant to and to the extent provided in any applicable provision of the Certificate of Incorporation.</w:t>
      </w:r>
    </w:p>
    <w:p>
      <w:pPr>
        <w:spacing w:after="0" w:line="181" w:lineRule="exact"/>
        <w:rPr>
          <w:sz w:val="20"/>
          <w:szCs w:val="20"/>
          <w:color w:val="auto"/>
        </w:rPr>
      </w:pPr>
    </w:p>
    <w:p>
      <w:pPr>
        <w:ind w:right="60" w:firstLine="64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Section 7. Notice of Meetings. </w:t>
      </w:r>
      <w:r>
        <w:rPr>
          <w:rFonts w:ascii="Times New Roman" w:cs="Times New Roman" w:eastAsia="Times New Roman" w:hAnsi="Times New Roman"/>
          <w:sz w:val="18"/>
          <w:szCs w:val="18"/>
          <w:color w:val="auto"/>
        </w:rPr>
        <w:t>Except as otherwise provided by applicable law or the Certificate of Incorporation, notice, given in writing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transmission, of each meeting of stockholders shall be given not less than ten nor more than 60 days before the date of the meeting to each stockholder entitled to vote at such meeting. Such notice shall be given in the manner provided in Section 232 of the DGCL and shall specify the date, time, place, if any, in the case of special meetings, the purpose or purposes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when directed to such stockholder’s electronic mail address unless (a) the stockholder has notified the corporation in writing or by electronic transmission of an objection to receiving notice by electronic mail or (b) electronic transmission of such notice is prohibited by applicable law.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95"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 Quorum and Vote Required. </w:t>
      </w:r>
      <w:r>
        <w:rPr>
          <w:rFonts w:ascii="Times New Roman" w:cs="Times New Roman" w:eastAsia="Times New Roman" w:hAnsi="Times New Roman"/>
          <w:sz w:val="18"/>
          <w:szCs w:val="18"/>
          <w:color w:val="auto"/>
        </w:rPr>
        <w:t>At all meetings of stockholders, except where otherwise provided by statute or by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by the Bylaws, the presence, in person, by remote communication, if applicable, or by proxy duly authorized, of the holders of a majority of the voting power of the outstanding shares of stock entitled to vote at the meeting shall constitute a quorum for the transaction of business. In the absence of a quorum, any meeting of stockholders may be adjourned, with or without notice, other than announcement at the meeting or in a manner otherwise permitted by DGCL,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401320</wp:posOffset>
            </wp:positionV>
            <wp:extent cx="71342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9" w:name="page160"/>
    <w:bookmarkEnd w:id="159"/>
    <w:p>
      <w:pPr>
        <w:spacing w:after="0" w:line="249" w:lineRule="auto"/>
        <w:rPr>
          <w:sz w:val="20"/>
          <w:szCs w:val="20"/>
          <w:color w:val="auto"/>
        </w:rPr>
      </w:pPr>
      <w:r>
        <w:rPr>
          <w:rFonts w:ascii="Times New Roman" w:cs="Times New Roman" w:eastAsia="Times New Roman" w:hAnsi="Times New Roman"/>
          <w:sz w:val="18"/>
          <w:szCs w:val="18"/>
          <w:color w:val="auto"/>
        </w:rPr>
        <w:t>Unless a different or minimum vote is required by statute or by applicable stock exchange rules, or by the Certificate of Incorporation or the Bylaws, in which case such different or minimum vote shall be the applicable vote on the matter, in all matters other than the election of directors, 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shall be the act of the stockholders. Except as otherwise provided by statute or by applicable stock exchange rules, the Certificate of Incorporation or the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or by the Certificate of Incorporation or the Bylaws or any applicable stock exchange rules, the holders of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Unless a different or minimum vote is required by statute or by the Certificate of Incorporation or the Bylaws or any applicable stock exchange rules, in which case such different or minimum vote shall be the applicable vote on the matter, the affirmative vote of the holders of a majority (plurality, in the case of the election of directors) of the voting power of the shares of such class or classes or series present in person, by remote communication, if applicable, or represented by proxy duly authorized at the meeting and voting affirmatively or negatively (excluding abstention and broker non-votes) on such matter shall be the act of such class or classes or series.</w:t>
      </w:r>
    </w:p>
    <w:p>
      <w:pPr>
        <w:spacing w:after="0" w:line="192" w:lineRule="exact"/>
        <w:rPr>
          <w:sz w:val="20"/>
          <w:szCs w:val="20"/>
          <w:color w:val="auto"/>
        </w:rPr>
      </w:pPr>
    </w:p>
    <w:p>
      <w:pPr>
        <w:ind w:right="40" w:firstLine="64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9. Adjournment and Notice of Adjourned Meetings. </w:t>
      </w:r>
      <w:r>
        <w:rPr>
          <w:rFonts w:ascii="Times New Roman" w:cs="Times New Roman" w:eastAsia="Times New Roman" w:hAnsi="Times New Roman"/>
          <w:sz w:val="17"/>
          <w:szCs w:val="17"/>
          <w:color w:val="auto"/>
        </w:rPr>
        <w:t>Any meeting of stockholders, whether annual or special, may be adjourned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to time either by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or are</w:t>
      </w:r>
    </w:p>
    <w:p>
      <w:pPr>
        <w:spacing w:after="0" w:line="4" w:lineRule="exact"/>
        <w:rPr>
          <w:sz w:val="20"/>
          <w:szCs w:val="20"/>
          <w:color w:val="auto"/>
        </w:rPr>
      </w:pPr>
    </w:p>
    <w:p>
      <w:pPr>
        <w:ind w:right="20" w:firstLine="7"/>
        <w:spacing w:after="0" w:line="248" w:lineRule="auto"/>
        <w:tabs>
          <w:tab w:leader="none" w:pos="2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displayed, during the time scheduled for the meeting, on the same electronic network used to enable stockholders and proxy holders to participate in the meeting by means of remote communication or (ii) set forth in the notice of meeting given in accordance with Section 7. At the adjourned meeting, the corporation may transact any business that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404495</wp:posOffset>
            </wp:positionV>
            <wp:extent cx="71342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0" w:name="page161"/>
    <w:bookmarkEnd w:id="160"/>
    <w:p>
      <w:pPr>
        <w:jc w:val="both"/>
        <w:ind w:firstLine="6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10. Voting Rights. </w:t>
      </w:r>
      <w:r>
        <w:rPr>
          <w:rFonts w:ascii="Times New Roman" w:cs="Times New Roman" w:eastAsia="Times New Roman" w:hAnsi="Times New Roman"/>
          <w:sz w:val="17"/>
          <w:szCs w:val="17"/>
          <w:color w:val="auto"/>
        </w:rPr>
        <w:t>For the purpose of determining those stockholders entitled to vote at any meeting of the stockholders or adjournment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thereof, except as otherwise provided by applicable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Every proxy must be authorized by an instrument in writing or by a transmission permitted by law, including Rule 14a-19 promulgated under the 1934 Act, filed in accordance with the procedure established for the meeting and signed by the stockholder or by such stockholder’s attorney-in-fact. No proxy shall be voted after three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Any stockholder directly or indirectly soliciting proxies from other stockholders must use a proxy card color other than white, which shall be reserved for the exclusive use of the Board of Directors.</w:t>
      </w:r>
    </w:p>
    <w:p>
      <w:pPr>
        <w:spacing w:after="0" w:line="188" w:lineRule="exact"/>
        <w:rPr>
          <w:sz w:val="20"/>
          <w:szCs w:val="20"/>
          <w:color w:val="auto"/>
        </w:rPr>
      </w:pPr>
    </w:p>
    <w:p>
      <w:pPr>
        <w:ind w:right="280" w:firstLine="6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11. Joint Owners of Stock. </w:t>
      </w:r>
      <w:r>
        <w:rPr>
          <w:rFonts w:ascii="Times New Roman" w:cs="Times New Roman" w:eastAsia="Times New Roman" w:hAnsi="Times New Roman"/>
          <w:sz w:val="17"/>
          <w:szCs w:val="17"/>
          <w:color w:val="auto"/>
        </w:rPr>
        <w:t>If shares or other securities having voting power stand of record in the names of two or more persons,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w:t>
      </w:r>
    </w:p>
    <w:p>
      <w:pPr>
        <w:spacing w:after="0" w:line="1" w:lineRule="exact"/>
        <w:rPr>
          <w:sz w:val="20"/>
          <w:szCs w:val="20"/>
          <w:color w:val="auto"/>
        </w:rPr>
      </w:pPr>
    </w:p>
    <w:p>
      <w:pPr>
        <w:ind w:right="140" w:firstLine="7"/>
        <w:spacing w:after="0" w:line="250" w:lineRule="auto"/>
        <w:tabs>
          <w:tab w:leader="none" w:pos="2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votes, his or her act binds all; (b) if more than one votes, the act of the majority so voting binds all; (c) if more than one votes, but the vote is evenly split on any particular matter, each faction may vote the securities in question proportionally, or may apply to the Delaware Court of Chancery for relief as provided in Section 217(b) of the DGCL. If the instrument filed with the Secretary shows that any such tenancy is held in unequal interests, a majority or even-split for the purpose of subsection (c) shall be a majority or even-split in interest.</w:t>
      </w:r>
    </w:p>
    <w:p>
      <w:pPr>
        <w:spacing w:after="0" w:line="182" w:lineRule="exact"/>
        <w:rPr>
          <w:sz w:val="20"/>
          <w:szCs w:val="20"/>
          <w:color w:val="auto"/>
        </w:rPr>
      </w:pPr>
    </w:p>
    <w:p>
      <w:pPr>
        <w:ind w:right="40"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12. List of Stockholders. </w:t>
      </w:r>
      <w:r>
        <w:rPr>
          <w:rFonts w:ascii="Times New Roman" w:cs="Times New Roman" w:eastAsia="Times New Roman" w:hAnsi="Times New Roman"/>
          <w:sz w:val="18"/>
          <w:szCs w:val="18"/>
          <w:color w:val="auto"/>
        </w:rPr>
        <w:t>The corporation shall prepare, no later than the tenth day before each meeting of stockholders, a complete list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stockholders entitled to vote at said meeting, arranged in alphabetical order, showing the address of each stockholder and the number and class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83"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13.</w:t>
      </w:r>
      <w:r>
        <w:rPr>
          <w:sz w:val="20"/>
          <w:szCs w:val="20"/>
          <w:color w:val="auto"/>
        </w:rPr>
        <w:tab/>
      </w:r>
      <w:r>
        <w:rPr>
          <w:rFonts w:ascii="Times New Roman" w:cs="Times New Roman" w:eastAsia="Times New Roman" w:hAnsi="Times New Roman"/>
          <w:sz w:val="17"/>
          <w:szCs w:val="17"/>
          <w:b w:val="1"/>
          <w:bCs w:val="1"/>
          <w:color w:val="auto"/>
        </w:rPr>
        <w:t>Action without Meeting.</w:t>
      </w:r>
    </w:p>
    <w:p>
      <w:pPr>
        <w:spacing w:after="0" w:line="224" w:lineRule="exact"/>
        <w:rPr>
          <w:sz w:val="20"/>
          <w:szCs w:val="20"/>
          <w:color w:val="auto"/>
        </w:rPr>
      </w:pPr>
    </w:p>
    <w:p>
      <w:pPr>
        <w:ind w:right="540" w:firstLine="1281"/>
        <w:spacing w:after="0" w:line="277" w:lineRule="auto"/>
        <w:rPr>
          <w:sz w:val="20"/>
          <w:szCs w:val="20"/>
          <w:color w:val="auto"/>
        </w:rPr>
      </w:pPr>
      <w:r>
        <w:rPr>
          <w:rFonts w:ascii="Times New Roman" w:cs="Times New Roman" w:eastAsia="Times New Roman" w:hAnsi="Times New Roman"/>
          <w:sz w:val="18"/>
          <w:szCs w:val="18"/>
          <w:color w:val="auto"/>
        </w:rPr>
        <w:t>No action shall be taken by the stockholders of the corporation except at an annual or special meeting of stockholders duly called in accordance with the Bylaws, and no action shall be taken by the stockholders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386080</wp:posOffset>
            </wp:positionV>
            <wp:extent cx="71342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61" w:name="page162"/>
    <w:bookmarkEnd w:id="161"/>
    <w:p>
      <w:pPr>
        <w:ind w:right="10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Section 14. Remote Communication. </w:t>
      </w:r>
      <w:r>
        <w:rPr>
          <w:rFonts w:ascii="Times New Roman" w:cs="Times New Roman" w:eastAsia="Times New Roman" w:hAnsi="Times New Roman"/>
          <w:sz w:val="18"/>
          <w:szCs w:val="18"/>
          <w:color w:val="auto"/>
        </w:rPr>
        <w:t>For the purposes of the Bylaws, if authorized by the Board of Directors in its sole discretion,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such guidelines and procedures as the Board of Directors may adopt, stockholders and proxyholders may, by means of remote communication:</w:t>
      </w:r>
    </w:p>
    <w:p>
      <w:pPr>
        <w:spacing w:after="0" w:line="160" w:lineRule="exact"/>
        <w:rPr>
          <w:sz w:val="20"/>
          <w:szCs w:val="20"/>
          <w:color w:val="auto"/>
        </w:rPr>
      </w:pPr>
    </w:p>
    <w:p>
      <w:pPr>
        <w:ind w:left="2020" w:hanging="732"/>
        <w:spacing w:after="0"/>
        <w:tabs>
          <w:tab w:leader="none" w:pos="20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participate in a meeting of stockholders; and</w:t>
      </w:r>
    </w:p>
    <w:p>
      <w:pPr>
        <w:spacing w:after="0" w:line="219" w:lineRule="exact"/>
        <w:rPr>
          <w:rFonts w:ascii="Times New Roman" w:cs="Times New Roman" w:eastAsia="Times New Roman" w:hAnsi="Times New Roman"/>
          <w:sz w:val="18"/>
          <w:szCs w:val="18"/>
          <w:b w:val="1"/>
          <w:bCs w:val="1"/>
          <w:color w:val="auto"/>
        </w:rPr>
      </w:pPr>
    </w:p>
    <w:p>
      <w:pPr>
        <w:ind w:right="120" w:firstLine="1288"/>
        <w:spacing w:after="0" w:line="252" w:lineRule="auto"/>
        <w:tabs>
          <w:tab w:leader="none" w:pos="2032"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3"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15.</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224" w:lineRule="exact"/>
        <w:rPr>
          <w:sz w:val="20"/>
          <w:szCs w:val="20"/>
          <w:color w:val="auto"/>
        </w:rPr>
      </w:pPr>
    </w:p>
    <w:p>
      <w:pPr>
        <w:ind w:firstLine="1288"/>
        <w:spacing w:after="0" w:line="252" w:lineRule="auto"/>
        <w:tabs>
          <w:tab w:leader="none" w:pos="2022"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every meeting of stockholders, the Chairperson of the Board of Directors, or, if a Chairperson has not been appointed, is absent or refuses to act, the Chief Executive Officer, or if no Chief Executive 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duly authorized, shall act as chairperson of the meeting of stockholders.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186" w:lineRule="exact"/>
        <w:rPr>
          <w:rFonts w:ascii="Times New Roman" w:cs="Times New Roman" w:eastAsia="Times New Roman" w:hAnsi="Times New Roman"/>
          <w:sz w:val="18"/>
          <w:szCs w:val="18"/>
          <w:b w:val="1"/>
          <w:bCs w:val="1"/>
          <w:color w:val="auto"/>
        </w:rPr>
      </w:pPr>
    </w:p>
    <w:p>
      <w:pPr>
        <w:ind w:right="100" w:firstLine="1288"/>
        <w:spacing w:after="0" w:line="250" w:lineRule="auto"/>
        <w:tabs>
          <w:tab w:leader="none" w:pos="2032"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62" w:name="page163"/>
    <w:bookmarkEnd w:id="162"/>
    <w:p>
      <w:pPr>
        <w:ind w:right="80" w:firstLine="1288"/>
        <w:spacing w:after="0" w:line="265" w:lineRule="auto"/>
        <w:tabs>
          <w:tab w:leader="none" w:pos="2012" w:val="left"/>
        </w:tabs>
        <w:numPr>
          <w:ilvl w:val="1"/>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corporation may and shall, if required by applicable law,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the duties of inspector, shall take and sign an oath faithfully to execute the duties of inspector with strict impartiality and according to the best of such inspector’s ability. The inspectors shall: (1) ascertain the number of shares outstanding and the voting power of each; (2) determine the shares represented at a meeting and the validity of proxies and ballots; (3) count all votes and ballots; (4) determine and retain for a reasonable period a record of the disposition of any challenges made to any determination by the inspectors; and</w:t>
      </w:r>
    </w:p>
    <w:p>
      <w:pPr>
        <w:spacing w:after="0" w:line="2" w:lineRule="exact"/>
        <w:rPr>
          <w:rFonts w:ascii="Times New Roman" w:cs="Times New Roman" w:eastAsia="Times New Roman" w:hAnsi="Times New Roman"/>
          <w:sz w:val="17"/>
          <w:szCs w:val="17"/>
          <w:b w:val="1"/>
          <w:bCs w:val="1"/>
          <w:color w:val="auto"/>
        </w:rPr>
      </w:pPr>
    </w:p>
    <w:p>
      <w:pPr>
        <w:ind w:right="20" w:firstLine="7"/>
        <w:spacing w:after="0" w:line="248" w:lineRule="auto"/>
        <w:tabs>
          <w:tab w:leader="none" w:pos="25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their determination of the number of shares represented at the meeting, and their count of all votes and ballots. 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any information provided in accordance with Sections 211(e) or 212(c)(2) of the DGCL or any information provided pursuant to Sections 211(a)(2)b.(i) or (iii)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Section 231(b)(5) of the DGCL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0" w:lineRule="exact"/>
        <w:rPr>
          <w:sz w:val="20"/>
          <w:szCs w:val="20"/>
          <w:color w:val="auto"/>
        </w:rPr>
      </w:pPr>
    </w:p>
    <w:p>
      <w:pPr>
        <w:ind w:right="2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Section 16. Number and Term of Office. </w:t>
      </w:r>
      <w:r>
        <w:rPr>
          <w:rFonts w:ascii="Times New Roman" w:cs="Times New Roman" w:eastAsia="Times New Roman" w:hAnsi="Times New Roman"/>
          <w:sz w:val="18"/>
          <w:szCs w:val="18"/>
          <w:color w:val="auto"/>
        </w:rPr>
        <w:t>The authorized number of directors of the corporation shall be fixed in accordance with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Directors need not be stockholders unless so required by the Certificate of Incorporation.</w:t>
      </w:r>
    </w:p>
    <w:p>
      <w:pPr>
        <w:spacing w:after="0" w:line="156" w:lineRule="exact"/>
        <w:rPr>
          <w:sz w:val="20"/>
          <w:szCs w:val="20"/>
          <w:color w:val="auto"/>
        </w:rPr>
      </w:pPr>
    </w:p>
    <w:p>
      <w:pPr>
        <w:ind w:right="16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Section 17. Powers. </w:t>
      </w:r>
      <w:r>
        <w:rPr>
          <w:rFonts w:ascii="Times New Roman" w:cs="Times New Roman" w:eastAsia="Times New Roman" w:hAnsi="Times New Roman"/>
          <w:sz w:val="18"/>
          <w:szCs w:val="18"/>
          <w:color w:val="auto"/>
        </w:rPr>
        <w:t>The business and affairs of the corporation shall be managed by or under the direction of the Board of Directors,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otherwise provided by the Certificate of Incorporation or the DGCL.</w:t>
      </w:r>
    </w:p>
    <w:p>
      <w:pPr>
        <w:spacing w:after="0" w:line="156" w:lineRule="exact"/>
        <w:rPr>
          <w:sz w:val="20"/>
          <w:szCs w:val="20"/>
          <w:color w:val="auto"/>
        </w:rPr>
      </w:pPr>
    </w:p>
    <w:p>
      <w:pPr>
        <w:ind w:right="36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Section 18. Classes of Directors. </w:t>
      </w:r>
      <w:r>
        <w:rPr>
          <w:rFonts w:ascii="Times New Roman" w:cs="Times New Roman" w:eastAsia="Times New Roman" w:hAnsi="Times New Roman"/>
          <w:sz w:val="18"/>
          <w:szCs w:val="18"/>
          <w:color w:val="auto"/>
        </w:rPr>
        <w:t>The directors shall be divided into classes as and to the extent provided in the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required by applicable law.</w:t>
      </w:r>
    </w:p>
    <w:p>
      <w:pPr>
        <w:spacing w:after="0" w:line="156" w:lineRule="exact"/>
        <w:rPr>
          <w:sz w:val="20"/>
          <w:szCs w:val="20"/>
          <w:color w:val="auto"/>
        </w:rPr>
      </w:pPr>
    </w:p>
    <w:p>
      <w:pPr>
        <w:ind w:right="60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Section 19. Vacancies. </w:t>
      </w:r>
      <w:r>
        <w:rPr>
          <w:rFonts w:ascii="Times New Roman" w:cs="Times New Roman" w:eastAsia="Times New Roman" w:hAnsi="Times New Roman"/>
          <w:sz w:val="18"/>
          <w:szCs w:val="18"/>
          <w:color w:val="auto"/>
        </w:rPr>
        <w:t>Vacancies or newly created directorships on the Board of Directors shall be filled as provided in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except as otherwise required by applicable law.</w:t>
      </w:r>
    </w:p>
    <w:p>
      <w:pPr>
        <w:spacing w:after="0" w:line="156"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20. Resignation. </w:t>
      </w:r>
      <w:r>
        <w:rPr>
          <w:rFonts w:ascii="Times New Roman" w:cs="Times New Roman" w:eastAsia="Times New Roman" w:hAnsi="Times New Roman"/>
          <w:sz w:val="18"/>
          <w:szCs w:val="18"/>
          <w:color w:val="auto"/>
        </w:rPr>
        <w:t>Any director may resign at any time by delivering his or her notice in writing or by electronic transmission to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or the Secretary. Such resignation shall take effect at the time of delivery of the notice or at any later time specified therein. Acceptance of such resignation shall not be necessary to make it effective.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or until his or her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400050</wp:posOffset>
            </wp:positionV>
            <wp:extent cx="71342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3" w:name="page164"/>
    <w:bookmarkEnd w:id="163"/>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21.</w:t>
      </w:r>
      <w:r>
        <w:rPr>
          <w:sz w:val="20"/>
          <w:szCs w:val="20"/>
          <w:color w:val="auto"/>
        </w:rPr>
        <w:tab/>
      </w:r>
      <w:r>
        <w:rPr>
          <w:rFonts w:ascii="Times New Roman" w:cs="Times New Roman" w:eastAsia="Times New Roman" w:hAnsi="Times New Roman"/>
          <w:sz w:val="17"/>
          <w:szCs w:val="17"/>
          <w:b w:val="1"/>
          <w:bCs w:val="1"/>
          <w:color w:val="auto"/>
        </w:rPr>
        <w:t>Removal.</w:t>
      </w:r>
    </w:p>
    <w:p>
      <w:pPr>
        <w:spacing w:after="0" w:line="224" w:lineRule="exact"/>
        <w:rPr>
          <w:sz w:val="20"/>
          <w:szCs w:val="20"/>
          <w:color w:val="auto"/>
        </w:rPr>
      </w:pPr>
    </w:p>
    <w:p>
      <w:pPr>
        <w:ind w:left="-640" w:right="320" w:firstLine="1288"/>
        <w:spacing w:after="0" w:line="277" w:lineRule="auto"/>
        <w:tabs>
          <w:tab w:leader="none" w:pos="1382"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rights of any series of preferred stock to remove directors elected by such series of preferred stock, neither the Board of Directors nor any individual director may be removed from office without cause.</w:t>
      </w:r>
    </w:p>
    <w:p>
      <w:pPr>
        <w:spacing w:after="0" w:line="162" w:lineRule="exact"/>
        <w:rPr>
          <w:rFonts w:ascii="Times New Roman" w:cs="Times New Roman" w:eastAsia="Times New Roman" w:hAnsi="Times New Roman"/>
          <w:sz w:val="18"/>
          <w:szCs w:val="18"/>
          <w:b w:val="1"/>
          <w:bCs w:val="1"/>
          <w:color w:val="auto"/>
        </w:rPr>
      </w:pPr>
    </w:p>
    <w:p>
      <w:pPr>
        <w:ind w:left="-640" w:firstLine="1288"/>
        <w:spacing w:after="0" w:line="232" w:lineRule="auto"/>
        <w:tabs>
          <w:tab w:leader="none" w:pos="1392"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limitation imposed by applicable law and any rights of any series of preferred stock to remove directors elected by such series of preferred stock, any individual director or the entire Board of Directors may be removed from office with cause by the affirmative vote of the holders of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voting power of all the then-outstanding shares of capital stock of the corporation entitled to vote generally at an election of directors.</w:t>
      </w:r>
    </w:p>
    <w:p>
      <w:pPr>
        <w:spacing w:after="0" w:line="19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color w:val="auto"/>
        </w:rPr>
        <w:t>Meetings.</w:t>
      </w:r>
    </w:p>
    <w:p>
      <w:pPr>
        <w:spacing w:after="0" w:line="220" w:lineRule="exact"/>
        <w:rPr>
          <w:sz w:val="20"/>
          <w:szCs w:val="20"/>
          <w:color w:val="auto"/>
        </w:rPr>
      </w:pPr>
    </w:p>
    <w:p>
      <w:pPr>
        <w:jc w:val="both"/>
        <w:ind w:left="-640" w:right="220" w:firstLine="1288"/>
        <w:spacing w:after="0" w:line="278" w:lineRule="auto"/>
        <w:tabs>
          <w:tab w:leader="none" w:pos="1382"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Regular Meetings. </w:t>
      </w:r>
      <w:r>
        <w:rPr>
          <w:rFonts w:ascii="Times New Roman" w:cs="Times New Roman" w:eastAsia="Times New Roman" w:hAnsi="Times New Roman"/>
          <w:sz w:val="17"/>
          <w:szCs w:val="17"/>
          <w:color w:val="auto"/>
        </w:rPr>
        <w:t>Unless otherwise restricted by the Certificate of Incorporation, regular meetings of the Board of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held at any time or date and at any place within or without the State of Delaware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w:t>
      </w:r>
    </w:p>
    <w:p>
      <w:pPr>
        <w:spacing w:after="0" w:line="161" w:lineRule="exact"/>
        <w:rPr>
          <w:rFonts w:ascii="Times New Roman" w:cs="Times New Roman" w:eastAsia="Times New Roman" w:hAnsi="Times New Roman"/>
          <w:sz w:val="17"/>
          <w:szCs w:val="17"/>
          <w:b w:val="1"/>
          <w:bCs w:val="1"/>
          <w:color w:val="auto"/>
        </w:rPr>
      </w:pPr>
    </w:p>
    <w:p>
      <w:pPr>
        <w:ind w:left="-640" w:right="200" w:firstLine="1288"/>
        <w:spacing w:after="0" w:line="264" w:lineRule="auto"/>
        <w:tabs>
          <w:tab w:leader="none" w:pos="1392"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Special Meetings. </w:t>
      </w:r>
      <w:r>
        <w:rPr>
          <w:rFonts w:ascii="Times New Roman" w:cs="Times New Roman" w:eastAsia="Times New Roman" w:hAnsi="Times New Roman"/>
          <w:sz w:val="18"/>
          <w:szCs w:val="18"/>
          <w:color w:val="auto"/>
        </w:rPr>
        <w:t>Unless otherwise restricted by the Certificate of Incorporation, special meetings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held at any time and place within or without the State of Delaware as designated and called by the Chairperson of the Board of Directors, the Chief Executive Officer or the Board of Directors.</w:t>
      </w:r>
    </w:p>
    <w:p>
      <w:pPr>
        <w:spacing w:after="0" w:line="170" w:lineRule="exact"/>
        <w:rPr>
          <w:rFonts w:ascii="Times New Roman" w:cs="Times New Roman" w:eastAsia="Times New Roman" w:hAnsi="Times New Roman"/>
          <w:sz w:val="18"/>
          <w:szCs w:val="18"/>
          <w:b w:val="1"/>
          <w:bCs w:val="1"/>
          <w:color w:val="auto"/>
        </w:rPr>
      </w:pPr>
    </w:p>
    <w:p>
      <w:pPr>
        <w:ind w:left="-640" w:right="280" w:firstLine="1288"/>
        <w:spacing w:after="0" w:line="264" w:lineRule="auto"/>
        <w:tabs>
          <w:tab w:leader="none" w:pos="1372"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Meetings by Electronic Communications Equipment. </w:t>
      </w:r>
      <w:r>
        <w:rPr>
          <w:rFonts w:ascii="Times New Roman" w:cs="Times New Roman" w:eastAsia="Times New Roman" w:hAnsi="Times New Roman"/>
          <w:sz w:val="18"/>
          <w:szCs w:val="18"/>
          <w:color w:val="auto"/>
        </w:rPr>
        <w:t>Any member of the Board of Directors, or of any committee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70" w:lineRule="exact"/>
        <w:rPr>
          <w:rFonts w:ascii="Times New Roman" w:cs="Times New Roman" w:eastAsia="Times New Roman" w:hAnsi="Times New Roman"/>
          <w:sz w:val="18"/>
          <w:szCs w:val="18"/>
          <w:b w:val="1"/>
          <w:bCs w:val="1"/>
          <w:color w:val="auto"/>
        </w:rPr>
      </w:pPr>
    </w:p>
    <w:p>
      <w:pPr>
        <w:jc w:val="both"/>
        <w:ind w:left="-640" w:right="20" w:firstLine="1288"/>
        <w:spacing w:after="0" w:line="258" w:lineRule="auto"/>
        <w:tabs>
          <w:tab w:leader="none" w:pos="1392"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of Special Meetings. </w:t>
      </w:r>
      <w:r>
        <w:rPr>
          <w:rFonts w:ascii="Times New Roman" w:cs="Times New Roman" w:eastAsia="Times New Roman" w:hAnsi="Times New Roman"/>
          <w:sz w:val="18"/>
          <w:szCs w:val="18"/>
          <w:color w:val="auto"/>
        </w:rPr>
        <w:t>Notice of the time and place, if any, of all special meetings of the Board of Directors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transmitted orally or in writing, by telephone, including a voice messaging system or other system or technology designed to record and communicate messages, or by electronic mail or other electronic means, during normal business hours, at least 24 hours before the date and time of the meeting. If notice is sent by U.S. mail, it shall be sent by first class mail, postage prepaid, at least three days before the date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398145</wp:posOffset>
            </wp:positionV>
            <wp:extent cx="71342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1" w:right="339" w:bottom="1440" w:gutter="0" w:footer="0" w:header="0"/>
        </w:sectPr>
      </w:pPr>
    </w:p>
    <w:bookmarkStart w:id="164" w:name="page165"/>
    <w:bookmarkEnd w:id="164"/>
    <w:p>
      <w:pPr>
        <w:ind w:right="100" w:firstLine="1288"/>
        <w:spacing w:after="0" w:line="253" w:lineRule="auto"/>
        <w:tabs>
          <w:tab w:leader="none" w:pos="2012"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Notice. </w:t>
      </w:r>
      <w:r>
        <w:rPr>
          <w:rFonts w:ascii="Times New Roman" w:cs="Times New Roman" w:eastAsia="Times New Roman" w:hAnsi="Times New Roman"/>
          <w:sz w:val="18"/>
          <w:szCs w:val="18"/>
          <w:color w:val="auto"/>
        </w:rPr>
        <w:t>Notice of any meeting of the Board of Directors may be waived in writing, or by electronic transmission,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80"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23.</w:t>
      </w:r>
      <w:r>
        <w:rPr>
          <w:sz w:val="20"/>
          <w:szCs w:val="20"/>
          <w:color w:val="auto"/>
        </w:rPr>
        <w:tab/>
      </w:r>
      <w:r>
        <w:rPr>
          <w:rFonts w:ascii="Times New Roman" w:cs="Times New Roman" w:eastAsia="Times New Roman" w:hAnsi="Times New Roman"/>
          <w:sz w:val="17"/>
          <w:szCs w:val="17"/>
          <w:b w:val="1"/>
          <w:bCs w:val="1"/>
          <w:color w:val="auto"/>
        </w:rPr>
        <w:t>Quorum and Voting.</w:t>
      </w:r>
    </w:p>
    <w:p>
      <w:pPr>
        <w:spacing w:after="0" w:line="224" w:lineRule="exact"/>
        <w:rPr>
          <w:sz w:val="20"/>
          <w:szCs w:val="20"/>
          <w:color w:val="auto"/>
        </w:rPr>
      </w:pPr>
    </w:p>
    <w:p>
      <w:pPr>
        <w:ind w:right="20" w:firstLine="1288"/>
        <w:spacing w:after="0" w:line="271" w:lineRule="auto"/>
        <w:tabs>
          <w:tab w:leader="none" w:pos="2022"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Unless the Certificate of Incorporation requires a greater number, and except with respect to questions related to indemnification arising under Section 47 for which a quorum shall be one-third of the exact number of directors fixed from time to time by the Board of Directors in accordance with the Certificate of Incorporation, a quorum of the Board of Directors shall consist of a majority of the total number of directors then serving on the Board of Directors or, if greater, one-third of the exact number of directors fixed from time to time by the Board of Directors in accordance with the Certificate of Incorporation.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69" w:lineRule="exact"/>
        <w:rPr>
          <w:rFonts w:ascii="Times New Roman" w:cs="Times New Roman" w:eastAsia="Times New Roman" w:hAnsi="Times New Roman"/>
          <w:sz w:val="17"/>
          <w:szCs w:val="17"/>
          <w:b w:val="1"/>
          <w:bCs w:val="1"/>
          <w:color w:val="auto"/>
        </w:rPr>
      </w:pPr>
    </w:p>
    <w:p>
      <w:pPr>
        <w:jc w:val="both"/>
        <w:ind w:right="220" w:firstLine="1288"/>
        <w:spacing w:after="0" w:line="307" w:lineRule="auto"/>
        <w:tabs>
          <w:tab w:leader="none" w:pos="2032"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each meeting of the Board of Directors at which a quorum is present, all questions and business shall be determined by the affirmative vote of a majority of the directors present, unless a different vote be required by applicable law, the Certificate of Incorporation or the Bylaws.</w:t>
      </w:r>
    </w:p>
    <w:p>
      <w:pPr>
        <w:spacing w:after="0" w:line="136" w:lineRule="exact"/>
        <w:rPr>
          <w:sz w:val="20"/>
          <w:szCs w:val="20"/>
          <w:color w:val="auto"/>
        </w:rPr>
      </w:pPr>
    </w:p>
    <w:p>
      <w:pPr>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24. Action without Meeting. </w:t>
      </w:r>
      <w:r>
        <w:rPr>
          <w:rFonts w:ascii="Times New Roman" w:cs="Times New Roman" w:eastAsia="Times New Roman" w:hAnsi="Times New Roman"/>
          <w:sz w:val="18"/>
          <w:szCs w:val="18"/>
          <w:color w:val="auto"/>
        </w:rPr>
        <w:t>Unless otherwise restricted by the Certificate of Incorporation or the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Such consent or consents shall be filed with the minutes of proceedings of the Board of Directors or committee. After an action is taken, such filing shall be in paper form if the minutes are maintained in paper form and shall be in electronic form if the minutes are maintained in electronic form.</w:t>
      </w:r>
    </w:p>
    <w:p>
      <w:pPr>
        <w:spacing w:after="0" w:line="177" w:lineRule="exact"/>
        <w:rPr>
          <w:sz w:val="20"/>
          <w:szCs w:val="20"/>
          <w:color w:val="auto"/>
        </w:rPr>
      </w:pPr>
    </w:p>
    <w:p>
      <w:pPr>
        <w:ind w:right="60"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25. Fees and Compensation. </w:t>
      </w:r>
      <w:r>
        <w:rPr>
          <w:rFonts w:ascii="Times New Roman" w:cs="Times New Roman" w:eastAsia="Times New Roman" w:hAnsi="Times New Roman"/>
          <w:sz w:val="18"/>
          <w:szCs w:val="18"/>
          <w:color w:val="auto"/>
        </w:rPr>
        <w:t>Directors shall be entitled to such compensation for their services as may be approved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or a committee thereof to which the Board of Directors has delegated such responsibility and authority, including, if so approved, by resolution of the Board of Directors or a committee thereof to which the Board of Directors has delegated such responsibility and authority, a fixed sum and reimbursement of expenses incurred, if any, for attendance at each regular or special meeting of the Board of Directors and at any meeting of a committee of the Board of Directors, as well as reimbursement for other reasonable expenses incurred with respect to duties as a member of the Board of Directors or any committee thereof. Nothing herein contained shall be construed to preclude any director from serving the corporation in any other capacity as an officer, agent, employee, or otherwise and receiving compensation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400050</wp:posOffset>
            </wp:positionV>
            <wp:extent cx="71342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65" w:name="page166"/>
    <w:bookmarkEnd w:id="165"/>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color w:val="auto"/>
        </w:rPr>
        <w:t>Committees.</w:t>
      </w:r>
    </w:p>
    <w:p>
      <w:pPr>
        <w:spacing w:after="0" w:line="220" w:lineRule="exact"/>
        <w:rPr>
          <w:sz w:val="20"/>
          <w:szCs w:val="20"/>
          <w:color w:val="auto"/>
        </w:rPr>
      </w:pPr>
    </w:p>
    <w:p>
      <w:pPr>
        <w:ind w:left="-640" w:firstLine="1288"/>
        <w:spacing w:after="0" w:line="254" w:lineRule="auto"/>
        <w:tabs>
          <w:tab w:leader="none" w:pos="1382"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Executive Committee. </w:t>
      </w:r>
      <w:r>
        <w:rPr>
          <w:rFonts w:ascii="Times New Roman" w:cs="Times New Roman" w:eastAsia="Times New Roman" w:hAnsi="Times New Roman"/>
          <w:sz w:val="18"/>
          <w:szCs w:val="18"/>
          <w:color w:val="auto"/>
        </w:rPr>
        <w:t>The Board of Directors may appoint an Executive Committee to consist of one or more members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The Executive Committee, to 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80" w:lineRule="exact"/>
        <w:rPr>
          <w:rFonts w:ascii="Times New Roman" w:cs="Times New Roman" w:eastAsia="Times New Roman" w:hAnsi="Times New Roman"/>
          <w:sz w:val="18"/>
          <w:szCs w:val="18"/>
          <w:b w:val="1"/>
          <w:bCs w:val="1"/>
          <w:color w:val="auto"/>
        </w:rPr>
      </w:pPr>
    </w:p>
    <w:p>
      <w:pPr>
        <w:ind w:left="-640" w:right="260" w:firstLine="1288"/>
        <w:spacing w:after="0" w:line="258" w:lineRule="auto"/>
        <w:tabs>
          <w:tab w:leader="none" w:pos="1392"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Committees. </w:t>
      </w:r>
      <w:r>
        <w:rPr>
          <w:rFonts w:ascii="Times New Roman" w:cs="Times New Roman" w:eastAsia="Times New Roman" w:hAnsi="Times New Roman"/>
          <w:sz w:val="18"/>
          <w:szCs w:val="18"/>
          <w:color w:val="auto"/>
        </w:rPr>
        <w:t>The Board of Directors may, from time to time, appoint such other committees as may be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 Bylaws.</w:t>
      </w:r>
    </w:p>
    <w:p>
      <w:pPr>
        <w:spacing w:after="0" w:line="177" w:lineRule="exact"/>
        <w:rPr>
          <w:rFonts w:ascii="Times New Roman" w:cs="Times New Roman" w:eastAsia="Times New Roman" w:hAnsi="Times New Roman"/>
          <w:sz w:val="18"/>
          <w:szCs w:val="18"/>
          <w:b w:val="1"/>
          <w:bCs w:val="1"/>
          <w:color w:val="auto"/>
        </w:rPr>
      </w:pPr>
    </w:p>
    <w:p>
      <w:pPr>
        <w:ind w:left="-640" w:right="40" w:firstLine="1288"/>
        <w:spacing w:after="0" w:line="251" w:lineRule="auto"/>
        <w:tabs>
          <w:tab w:leader="none" w:pos="1372"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Board of Directors, subject to any requirements of any outstanding series of preferred stock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(a) or (b) of this Section 26, may at any time increase or decrease the number of members of a committee or terminate the existence of a committee. The membership of a committee member shall terminate on the date of such committee member’s death, such person’s resignation from the committee or on such date that the committee member, for any reason, is no longer a member of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83" w:lineRule="exact"/>
        <w:rPr>
          <w:rFonts w:ascii="Times New Roman" w:cs="Times New Roman" w:eastAsia="Times New Roman" w:hAnsi="Times New Roman"/>
          <w:sz w:val="18"/>
          <w:szCs w:val="18"/>
          <w:b w:val="1"/>
          <w:bCs w:val="1"/>
          <w:color w:val="auto"/>
        </w:rPr>
      </w:pPr>
    </w:p>
    <w:p>
      <w:pPr>
        <w:ind w:left="-640" w:right="20" w:firstLine="1288"/>
        <w:spacing w:after="0" w:line="267" w:lineRule="auto"/>
        <w:tabs>
          <w:tab w:leader="none" w:pos="1392"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Meetings. </w:t>
      </w:r>
      <w:r>
        <w:rPr>
          <w:rFonts w:ascii="Times New Roman" w:cs="Times New Roman" w:eastAsia="Times New Roman" w:hAnsi="Times New Roman"/>
          <w:sz w:val="17"/>
          <w:szCs w:val="17"/>
          <w:color w:val="auto"/>
        </w:rPr>
        <w:t>Unless the Board of Directors shall otherwise provide, regular meetings of the Executive Committee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appointed pursuant to this Section 26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393065</wp:posOffset>
            </wp:positionV>
            <wp:extent cx="71342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80"/>
          </w:cols>
          <w:pgMar w:left="960" w:top="891" w:right="359" w:bottom="1440" w:gutter="0" w:footer="0" w:header="0"/>
        </w:sectPr>
      </w:pPr>
    </w:p>
    <w:bookmarkStart w:id="166" w:name="page167"/>
    <w:bookmarkEnd w:id="166"/>
    <w:p>
      <w:pPr>
        <w:ind w:left="64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27.</w:t>
      </w:r>
      <w:r>
        <w:rPr>
          <w:sz w:val="20"/>
          <w:szCs w:val="20"/>
          <w:color w:val="auto"/>
        </w:rPr>
        <w:tab/>
      </w:r>
      <w:r>
        <w:rPr>
          <w:rFonts w:ascii="Times New Roman" w:cs="Times New Roman" w:eastAsia="Times New Roman" w:hAnsi="Times New Roman"/>
          <w:sz w:val="17"/>
          <w:szCs w:val="17"/>
          <w:b w:val="1"/>
          <w:bCs w:val="1"/>
          <w:color w:val="auto"/>
        </w:rPr>
        <w:t>Duties of Chairperson of the Board of Directors and Lead Independent Director.</w:t>
      </w:r>
    </w:p>
    <w:p>
      <w:pPr>
        <w:spacing w:after="0" w:line="224" w:lineRule="exact"/>
        <w:rPr>
          <w:sz w:val="20"/>
          <w:szCs w:val="20"/>
          <w:color w:val="auto"/>
        </w:rPr>
      </w:pPr>
    </w:p>
    <w:p>
      <w:pPr>
        <w:ind w:right="40" w:firstLine="1288"/>
        <w:spacing w:after="0" w:line="262" w:lineRule="auto"/>
        <w:tabs>
          <w:tab w:leader="none" w:pos="2022"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Chairperson of the Board of Directors, when present, shall preside at all meetings of the stockholders and the Board of Directors. The Chairperson of the Board of Directors shall perform such other duties customarily associated with the office and shall also perform such other duties and have such other powers, as the Board of Directors shall designate from time to time.</w:t>
      </w:r>
    </w:p>
    <w:p>
      <w:pPr>
        <w:spacing w:after="0" w:line="176" w:lineRule="exact"/>
        <w:rPr>
          <w:rFonts w:ascii="Times New Roman" w:cs="Times New Roman" w:eastAsia="Times New Roman" w:hAnsi="Times New Roman"/>
          <w:sz w:val="18"/>
          <w:szCs w:val="18"/>
          <w:b w:val="1"/>
          <w:bCs w:val="1"/>
          <w:color w:val="auto"/>
        </w:rPr>
      </w:pPr>
    </w:p>
    <w:p>
      <w:pPr>
        <w:ind w:right="20" w:firstLine="1288"/>
        <w:spacing w:after="0" w:line="257" w:lineRule="auto"/>
        <w:tabs>
          <w:tab w:leader="none" w:pos="2032"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Chairperson of the Board of Directors, or if the Chairperson is not an independent director, one of the independent directors, may be designated by the Board of Directors as lead independent director to serve until replaced by the Board of Directors (“Lead Independent Director”). The Lead Independent Director will preside over meetings of the independent directors and perform such other duties as may be established or delegated by the Board of Directors.</w:t>
      </w:r>
    </w:p>
    <w:p>
      <w:pPr>
        <w:spacing w:after="0" w:line="177" w:lineRule="exact"/>
        <w:rPr>
          <w:sz w:val="20"/>
          <w:szCs w:val="20"/>
          <w:color w:val="auto"/>
        </w:rPr>
      </w:pPr>
    </w:p>
    <w:p>
      <w:pPr>
        <w:ind w:right="20" w:firstLine="6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28. Interested Directors. </w:t>
      </w:r>
      <w:r>
        <w:rPr>
          <w:rFonts w:ascii="Times New Roman" w:cs="Times New Roman" w:eastAsia="Times New Roman" w:hAnsi="Times New Roman"/>
          <w:sz w:val="18"/>
          <w:szCs w:val="18"/>
          <w:color w:val="auto"/>
        </w:rPr>
        <w:t>No contract or transaction between the corporation and one or more of its directors or officers, or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any such director’s or officer’s vote is counted for such purpose if: (a)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be less than a quorum; (b)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that authorizes the contract or transaction.</w:t>
      </w:r>
    </w:p>
    <w:p>
      <w:pPr>
        <w:spacing w:after="0" w:line="188"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29. Organization. </w:t>
      </w:r>
      <w:r>
        <w:rPr>
          <w:rFonts w:ascii="Times New Roman" w:cs="Times New Roman" w:eastAsia="Times New Roman" w:hAnsi="Times New Roman"/>
          <w:sz w:val="18"/>
          <w:szCs w:val="18"/>
          <w:color w:val="auto"/>
        </w:rPr>
        <w:t>At every meeting of the directors, the Chairperson of the Board of Directors, or, if a Chairperson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or is absent, the Lead Independent Director, or if a Lead Independent Director has not been appointed or is absent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399415</wp:posOffset>
            </wp:positionV>
            <wp:extent cx="71342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67" w:name="page168"/>
    <w:bookmarkEnd w:id="1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0" w:lineRule="exact"/>
        <w:rPr>
          <w:sz w:val="20"/>
          <w:szCs w:val="20"/>
          <w:color w:val="auto"/>
        </w:rPr>
      </w:pPr>
    </w:p>
    <w:p>
      <w:pPr>
        <w:ind w:right="40"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30. Officers Designated. </w:t>
      </w:r>
      <w:r>
        <w:rPr>
          <w:rFonts w:ascii="Times New Roman" w:cs="Times New Roman" w:eastAsia="Times New Roman" w:hAnsi="Times New Roman"/>
          <w:sz w:val="18"/>
          <w:szCs w:val="18"/>
          <w:color w:val="auto"/>
        </w:rPr>
        <w:t>The officers of the corporation shall include, if and when designated by the Board of Directors,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applicable law, the Certificate of Incorporation or the Bylaws. The salaries and other compensation of the officers of the corporation shall be fixed by or in the manner designated by the Board of Directors or by a committee thereof to which the Board of Directors has delegated such responsibility.</w:t>
      </w:r>
    </w:p>
    <w:p>
      <w:pPr>
        <w:spacing w:after="0" w:line="180"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31.</w:t>
      </w:r>
      <w:r>
        <w:rPr>
          <w:sz w:val="20"/>
          <w:szCs w:val="20"/>
          <w:color w:val="auto"/>
        </w:rPr>
        <w:tab/>
      </w:r>
      <w:r>
        <w:rPr>
          <w:rFonts w:ascii="Times New Roman" w:cs="Times New Roman" w:eastAsia="Times New Roman" w:hAnsi="Times New Roman"/>
          <w:sz w:val="17"/>
          <w:szCs w:val="17"/>
          <w:b w:val="1"/>
          <w:bCs w:val="1"/>
          <w:color w:val="auto"/>
        </w:rPr>
        <w:t>Tenure and Duties of Officers.</w:t>
      </w:r>
    </w:p>
    <w:p>
      <w:pPr>
        <w:spacing w:after="0" w:line="220" w:lineRule="exact"/>
        <w:rPr>
          <w:sz w:val="20"/>
          <w:szCs w:val="20"/>
          <w:color w:val="auto"/>
        </w:rPr>
      </w:pPr>
    </w:p>
    <w:p>
      <w:pPr>
        <w:ind w:right="260" w:firstLine="1288"/>
        <w:spacing w:after="0" w:line="258" w:lineRule="auto"/>
        <w:tabs>
          <w:tab w:leader="none" w:pos="2022"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All officers shall hold office at the pleasure of the Board of Directors and until their successors shall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and qualified, subject to the officer’s earlier death, resignation or removal. If the office of any officer becomes vacant for any reason, the vacancy may be filled by the Board of Directors or by a committee thereof to which the Board of Directors has delegated such responsibility or, if so authorized by the Board of Directors, by the Chief Executive Officer or another officer of the corporation.</w:t>
      </w:r>
    </w:p>
    <w:p>
      <w:pPr>
        <w:spacing w:after="0" w:line="177" w:lineRule="exact"/>
        <w:rPr>
          <w:rFonts w:ascii="Times New Roman" w:cs="Times New Roman" w:eastAsia="Times New Roman" w:hAnsi="Times New Roman"/>
          <w:sz w:val="18"/>
          <w:szCs w:val="18"/>
          <w:b w:val="1"/>
          <w:bCs w:val="1"/>
          <w:color w:val="auto"/>
        </w:rPr>
      </w:pPr>
    </w:p>
    <w:p>
      <w:pPr>
        <w:ind w:right="40" w:firstLine="1288"/>
        <w:spacing w:after="0" w:line="252" w:lineRule="auto"/>
        <w:tabs>
          <w:tab w:leader="none" w:pos="2032"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Chief Executive Officer. </w:t>
      </w:r>
      <w:r>
        <w:rPr>
          <w:rFonts w:ascii="Times New Roman" w:cs="Times New Roman" w:eastAsia="Times New Roman" w:hAnsi="Times New Roman"/>
          <w:sz w:val="18"/>
          <w:szCs w:val="18"/>
          <w:color w:val="auto"/>
        </w:rPr>
        <w:t>The Chief Executive Officer shall preside at all meetings of the stockholders and, if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at all meetings of the Board of Directors, unless a Chairperson of the Board of Directors or Lead Independent Director has been appointed and is present. The Chief Executive Officer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 Bylaws to the President shall be deemed references to the Chief Executive Officer. The Chief Executive Officer shall perform other duties customarily associated with the office and shall also perform such other duties and have such other powers, as the Board of Directors shall designate from time to time.</w:t>
      </w:r>
    </w:p>
    <w:p>
      <w:pPr>
        <w:spacing w:after="0" w:line="182" w:lineRule="exact"/>
        <w:rPr>
          <w:rFonts w:ascii="Times New Roman" w:cs="Times New Roman" w:eastAsia="Times New Roman" w:hAnsi="Times New Roman"/>
          <w:sz w:val="18"/>
          <w:szCs w:val="18"/>
          <w:b w:val="1"/>
          <w:bCs w:val="1"/>
          <w:color w:val="auto"/>
        </w:rPr>
      </w:pPr>
    </w:p>
    <w:p>
      <w:pPr>
        <w:ind w:firstLine="1288"/>
        <w:spacing w:after="0" w:line="252" w:lineRule="auto"/>
        <w:tabs>
          <w:tab w:leader="none" w:pos="2012"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President. </w:t>
      </w:r>
      <w:r>
        <w:rPr>
          <w:rFonts w:ascii="Times New Roman" w:cs="Times New Roman" w:eastAsia="Times New Roman" w:hAnsi="Times New Roman"/>
          <w:sz w:val="18"/>
          <w:szCs w:val="18"/>
          <w:color w:val="auto"/>
        </w:rPr>
        <w:t>The President shall preside at all meetings of the stockholders and, if a director, at all meetings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unless a Chairperson of the Board of Directors , Lead Independent Director, or Chief Executive Officer has been appointed and is present. Unless another officer has been appointed Chief Executive Officer of the corporation, the President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President. The President shall perform other duties customarily associated with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401320</wp:posOffset>
            </wp:positionV>
            <wp:extent cx="71342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8" w:name="page169"/>
    <w:bookmarkEnd w:id="168"/>
    <w:p>
      <w:pPr>
        <w:ind w:left="-1120" w:right="40" w:firstLine="1288"/>
        <w:spacing w:after="0" w:line="256" w:lineRule="auto"/>
        <w:tabs>
          <w:tab w:leader="none" w:pos="912"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Vice Presidents. </w:t>
      </w:r>
      <w:r>
        <w:rPr>
          <w:rFonts w:ascii="Times New Roman" w:cs="Times New Roman" w:eastAsia="Times New Roman" w:hAnsi="Times New Roman"/>
          <w:sz w:val="18"/>
          <w:szCs w:val="18"/>
          <w:color w:val="auto"/>
        </w:rPr>
        <w:t>A Vice President may assume and perform the duties of the President in the absence or disability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President or whenever the office of President is vacant (unless the duties of the President are being filled by the Chief Executive Officer). A Vice President shall perform other duties customarily associated with the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76" w:lineRule="exact"/>
        <w:rPr>
          <w:rFonts w:ascii="Times New Roman" w:cs="Times New Roman" w:eastAsia="Times New Roman" w:hAnsi="Times New Roman"/>
          <w:sz w:val="18"/>
          <w:szCs w:val="18"/>
          <w:b w:val="1"/>
          <w:bCs w:val="1"/>
          <w:color w:val="auto"/>
        </w:rPr>
      </w:pPr>
    </w:p>
    <w:p>
      <w:pPr>
        <w:ind w:left="-1120" w:firstLine="1288"/>
        <w:spacing w:after="0" w:line="251" w:lineRule="auto"/>
        <w:tabs>
          <w:tab w:leader="none" w:pos="892"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Secretary and Assistant Secretary. </w:t>
      </w:r>
      <w:r>
        <w:rPr>
          <w:rFonts w:ascii="Times New Roman" w:cs="Times New Roman" w:eastAsia="Times New Roman" w:hAnsi="Times New Roman"/>
          <w:sz w:val="18"/>
          <w:szCs w:val="18"/>
          <w:color w:val="auto"/>
        </w:rPr>
        <w:t>The Secretary shall attend all meetings of the stockholders and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shall record all acts, votes and proceedings thereof in the minute books of the corporation. The Secretary shall give notice in conformity with the Bylaws of all meetings of the stockholders and of all meetings of the Board of Directors and any committee thereof requiring notice. The Secretary shall perform all other duties provided for in the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w:t>
      </w:r>
    </w:p>
    <w:p>
      <w:pPr>
        <w:spacing w:after="0" w:line="186" w:lineRule="exact"/>
        <w:rPr>
          <w:rFonts w:ascii="Times New Roman" w:cs="Times New Roman" w:eastAsia="Times New Roman" w:hAnsi="Times New Roman"/>
          <w:sz w:val="18"/>
          <w:szCs w:val="18"/>
          <w:b w:val="1"/>
          <w:bCs w:val="1"/>
          <w:color w:val="auto"/>
        </w:rPr>
      </w:pPr>
    </w:p>
    <w:p>
      <w:pPr>
        <w:ind w:left="-1120" w:right="40" w:firstLine="1288"/>
        <w:spacing w:after="0" w:line="269" w:lineRule="auto"/>
        <w:tabs>
          <w:tab w:leader="none" w:pos="872"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Duties of Chief Financial Officer. </w:t>
      </w:r>
      <w:r>
        <w:rPr>
          <w:rFonts w:ascii="Times New Roman" w:cs="Times New Roman" w:eastAsia="Times New Roman" w:hAnsi="Times New Roman"/>
          <w:sz w:val="17"/>
          <w:szCs w:val="17"/>
          <w:color w:val="auto"/>
        </w:rPr>
        <w:t>The Chief Financial Officer shall keep or cause to be kept the books of account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in a thorough and proper manner and shall render statements of the financial affairs of the corporation in such form and as often as required by the Board of Directors, the Chief Executive Officer, or the President. The Chief Financial Officer, subject to the order of the Board of Directors, shall have the custody of all funds and securities of the corporation. The Chief Financial Officer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 Bylaws to the Treasurer shall be deemed references to the Chief Financial Officer. The President may direct the Treasurer, if any, or any Assistant Treasurer to assume and perform the duties of the Chief Financial Officer in the absence or disability of the Chief Financial Officer.</w:t>
      </w:r>
    </w:p>
    <w:p>
      <w:pPr>
        <w:spacing w:after="0" w:line="168" w:lineRule="exact"/>
        <w:rPr>
          <w:rFonts w:ascii="Times New Roman" w:cs="Times New Roman" w:eastAsia="Times New Roman" w:hAnsi="Times New Roman"/>
          <w:sz w:val="17"/>
          <w:szCs w:val="17"/>
          <w:b w:val="1"/>
          <w:bCs w:val="1"/>
          <w:color w:val="auto"/>
        </w:rPr>
      </w:pPr>
    </w:p>
    <w:p>
      <w:pPr>
        <w:ind w:left="-1120" w:right="80" w:firstLine="1288"/>
        <w:spacing w:after="0" w:line="250" w:lineRule="auto"/>
        <w:tabs>
          <w:tab w:leader="none" w:pos="902"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Treasurer and Assistant Treasurer. </w:t>
      </w:r>
      <w:r>
        <w:rPr>
          <w:rFonts w:ascii="Times New Roman" w:cs="Times New Roman" w:eastAsia="Times New Roman" w:hAnsi="Times New Roman"/>
          <w:sz w:val="18"/>
          <w:szCs w:val="18"/>
          <w:color w:val="auto"/>
        </w:rPr>
        <w:t>Unless another officer has been appointed Chief Financial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Treasurer shall be the chief financial officer of the corporation, shall keep or cause to be kept the books of account of the corporation in a thorough and proper manner and shall render statements of the financial affairs of the corporation in such form and as often as required by the Board of Directors, the Chief Executive Officer or the President. Unless another officer has been appointed Chief Financial Officer of the corporation, the Treasurer, subject to the order of the Board of Directors, shall have the custody of all funds and securities of the corporation. The 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405765</wp:posOffset>
            </wp:positionV>
            <wp:extent cx="71342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040"/>
          </w:cols>
          <w:pgMar w:left="1440" w:top="891" w:right="419" w:bottom="1440" w:gutter="0" w:footer="0" w:header="0"/>
        </w:sectPr>
      </w:pPr>
    </w:p>
    <w:bookmarkStart w:id="169" w:name="page170"/>
    <w:bookmarkEnd w:id="169"/>
    <w:p>
      <w:pPr>
        <w:ind w:right="24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Section 32. Delegation of Authority. </w:t>
      </w:r>
      <w:r>
        <w:rPr>
          <w:rFonts w:ascii="Times New Roman" w:cs="Times New Roman" w:eastAsia="Times New Roman" w:hAnsi="Times New Roman"/>
          <w:sz w:val="18"/>
          <w:szCs w:val="18"/>
          <w:color w:val="auto"/>
        </w:rPr>
        <w:t>The Board of Directors may from time to time delegate the powers or duties of any officer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agent, notwithstanding any provision hereof.</w:t>
      </w:r>
    </w:p>
    <w:p>
      <w:pPr>
        <w:spacing w:after="0" w:line="156" w:lineRule="exact"/>
        <w:rPr>
          <w:sz w:val="20"/>
          <w:szCs w:val="20"/>
          <w:color w:val="auto"/>
        </w:rPr>
      </w:pPr>
    </w:p>
    <w:p>
      <w:pPr>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33. Resignations. </w:t>
      </w:r>
      <w:r>
        <w:rPr>
          <w:rFonts w:ascii="Times New Roman" w:cs="Times New Roman" w:eastAsia="Times New Roman" w:hAnsi="Times New Roman"/>
          <w:sz w:val="18"/>
          <w:szCs w:val="18"/>
          <w:color w:val="auto"/>
        </w:rPr>
        <w:t>Any officer may resign at any time by giving notice in writing or by electronic transmission to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Chairperson of the Board of Directors, the Chief Executive Officer, the President or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77" w:lineRule="exact"/>
        <w:rPr>
          <w:sz w:val="20"/>
          <w:szCs w:val="20"/>
          <w:color w:val="auto"/>
        </w:rPr>
      </w:pPr>
    </w:p>
    <w:p>
      <w:pPr>
        <w:ind w:right="22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Section 34. Removal. </w:t>
      </w:r>
      <w:r>
        <w:rPr>
          <w:rFonts w:ascii="Times New Roman" w:cs="Times New Roman" w:eastAsia="Times New Roman" w:hAnsi="Times New Roman"/>
          <w:sz w:val="18"/>
          <w:szCs w:val="18"/>
          <w:color w:val="auto"/>
        </w:rPr>
        <w:t>Any officer may be removed from office at any time, either with or without cause, by the Board of Directors, or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thereof or any superior officer upon whom such power of removal may have been conferred by the Board of Directors.</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 OF SECURITIES OWNED BY THE CORPORATION</w:t>
      </w:r>
    </w:p>
    <w:p>
      <w:pPr>
        <w:spacing w:after="0" w:line="220" w:lineRule="exact"/>
        <w:rPr>
          <w:sz w:val="20"/>
          <w:szCs w:val="20"/>
          <w:color w:val="auto"/>
        </w:rPr>
      </w:pPr>
    </w:p>
    <w:p>
      <w:pPr>
        <w:ind w:right="80"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Section 35. Execution of Corporate Instruments. </w:t>
      </w:r>
      <w:r>
        <w:rPr>
          <w:rFonts w:ascii="Times New Roman" w:cs="Times New Roman" w:eastAsia="Times New Roman" w:hAnsi="Times New Roman"/>
          <w:sz w:val="18"/>
          <w:szCs w:val="18"/>
          <w:color w:val="auto"/>
        </w:rPr>
        <w:t>The Board of Directors may, in its discretion, determine the method and designate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signatory officer or officers, or other 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 Bylaws, and such execution or signature shall be binding upon the corporation.</w:t>
      </w:r>
    </w:p>
    <w:p>
      <w:pPr>
        <w:spacing w:after="0" w:line="181"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All checks and drafts drawn on banks or other depositaries on funds to the credit of the corporation or in special accounts of the corporation shall be signed by such person or persons as the Board of Directors shall from time to time authorize so to do.</w:t>
      </w:r>
    </w:p>
    <w:p>
      <w:pPr>
        <w:spacing w:after="0" w:line="163" w:lineRule="exact"/>
        <w:rPr>
          <w:sz w:val="20"/>
          <w:szCs w:val="20"/>
          <w:color w:val="auto"/>
        </w:rPr>
      </w:pPr>
    </w:p>
    <w:p>
      <w:pPr>
        <w:ind w:right="80" w:firstLine="640"/>
        <w:spacing w:after="0" w:line="262" w:lineRule="auto"/>
        <w:rPr>
          <w:sz w:val="20"/>
          <w:szCs w:val="20"/>
          <w:color w:val="auto"/>
        </w:rPr>
      </w:pPr>
      <w:r>
        <w:rPr>
          <w:rFonts w:ascii="Times New Roman" w:cs="Times New Roman" w:eastAsia="Times New Roman" w:hAnsi="Times New Roman"/>
          <w:sz w:val="18"/>
          <w:szCs w:val="18"/>
          <w:color w:val="auto"/>
        </w:rPr>
        <w:t>Unless otherwise specifically determined by the Board of Directors or otherwise required by applicable law, the execution, signing or endorsement of any corporate instrument or document may be effected manually, by facsimile or (to the extent permitted by applicable law and subject to such policies and procedures as the corporation may have in effect from time to time) by electronic signature.</w:t>
      </w:r>
    </w:p>
    <w:p>
      <w:pPr>
        <w:spacing w:after="0" w:line="176" w:lineRule="exact"/>
        <w:rPr>
          <w:sz w:val="20"/>
          <w:szCs w:val="20"/>
          <w:color w:val="auto"/>
        </w:rPr>
      </w:pPr>
    </w:p>
    <w:p>
      <w:pPr>
        <w:ind w:right="20" w:firstLine="640"/>
        <w:spacing w:after="0" w:line="277" w:lineRule="auto"/>
        <w:rPr>
          <w:sz w:val="20"/>
          <w:szCs w:val="20"/>
          <w:color w:val="auto"/>
        </w:rPr>
      </w:pPr>
      <w:r>
        <w:rPr>
          <w:rFonts w:ascii="Times New Roman" w:cs="Times New Roman" w:eastAsia="Times New Roman" w:hAnsi="Times New Roman"/>
          <w:sz w:val="18"/>
          <w:szCs w:val="18"/>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386080</wp:posOffset>
            </wp:positionV>
            <wp:extent cx="71342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70" w:name="page171"/>
    <w:bookmarkEnd w:id="170"/>
    <w:p>
      <w:pPr>
        <w:ind w:right="100"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Section 36. Voting of Securities Owned by the Corporation. </w:t>
      </w:r>
      <w:r>
        <w:rPr>
          <w:rFonts w:ascii="Times New Roman" w:cs="Times New Roman" w:eastAsia="Times New Roman" w:hAnsi="Times New Roman"/>
          <w:sz w:val="18"/>
          <w:szCs w:val="18"/>
          <w:color w:val="auto"/>
        </w:rPr>
        <w:t>All stock and other securities of or interests in other corporations or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0" w:lineRule="exact"/>
        <w:rPr>
          <w:sz w:val="20"/>
          <w:szCs w:val="20"/>
          <w:color w:val="auto"/>
        </w:rPr>
      </w:pPr>
    </w:p>
    <w:p>
      <w:pPr>
        <w:ind w:right="120"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37. Form and Execution of Certificates. </w:t>
      </w:r>
      <w:r>
        <w:rPr>
          <w:rFonts w:ascii="Times New Roman" w:cs="Times New Roman" w:eastAsia="Times New Roman" w:hAnsi="Times New Roman"/>
          <w:sz w:val="18"/>
          <w:szCs w:val="18"/>
          <w:color w:val="auto"/>
        </w:rPr>
        <w:t>The shares of the corporation shall be represented by certificates, or shall be uncertificated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certifying the number, and the class or series,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80"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38. Lost Certificates. </w:t>
      </w:r>
      <w:r>
        <w:rPr>
          <w:rFonts w:ascii="Times New Roman" w:cs="Times New Roman" w:eastAsia="Times New Roman" w:hAnsi="Times New Roman"/>
          <w:sz w:val="18"/>
          <w:szCs w:val="18"/>
          <w:color w:val="auto"/>
        </w:rPr>
        <w:t>A new certificate or certificates shall be issued in place of any certificate or certificates theretofore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0"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39.</w:t>
      </w:r>
      <w:r>
        <w:rPr>
          <w:sz w:val="20"/>
          <w:szCs w:val="20"/>
          <w:color w:val="auto"/>
        </w:rPr>
        <w:tab/>
      </w:r>
      <w:r>
        <w:rPr>
          <w:rFonts w:ascii="Times New Roman" w:cs="Times New Roman" w:eastAsia="Times New Roman" w:hAnsi="Times New Roman"/>
          <w:sz w:val="17"/>
          <w:szCs w:val="17"/>
          <w:b w:val="1"/>
          <w:bCs w:val="1"/>
          <w:color w:val="auto"/>
        </w:rPr>
        <w:t>Transfers.</w:t>
      </w:r>
    </w:p>
    <w:p>
      <w:pPr>
        <w:spacing w:after="0" w:line="224" w:lineRule="exact"/>
        <w:rPr>
          <w:sz w:val="20"/>
          <w:szCs w:val="20"/>
          <w:color w:val="auto"/>
        </w:rPr>
      </w:pPr>
    </w:p>
    <w:p>
      <w:pPr>
        <w:ind w:right="20" w:firstLine="1288"/>
        <w:spacing w:after="0" w:line="262" w:lineRule="auto"/>
        <w:tabs>
          <w:tab w:leader="none" w:pos="2022"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76" w:lineRule="exact"/>
        <w:rPr>
          <w:rFonts w:ascii="Times New Roman" w:cs="Times New Roman" w:eastAsia="Times New Roman" w:hAnsi="Times New Roman"/>
          <w:sz w:val="18"/>
          <w:szCs w:val="18"/>
          <w:b w:val="1"/>
          <w:bCs w:val="1"/>
          <w:color w:val="auto"/>
        </w:rPr>
      </w:pPr>
    </w:p>
    <w:p>
      <w:pPr>
        <w:ind w:right="120" w:firstLine="1288"/>
        <w:spacing w:after="0" w:line="262" w:lineRule="auto"/>
        <w:tabs>
          <w:tab w:leader="none" w:pos="2032"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394335</wp:posOffset>
            </wp:positionV>
            <wp:extent cx="71342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1" w:name="page172"/>
    <w:bookmarkEnd w:id="171"/>
    <w:p>
      <w:pPr>
        <w:ind w:left="64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40.</w:t>
      </w:r>
      <w:r>
        <w:rPr>
          <w:sz w:val="20"/>
          <w:szCs w:val="20"/>
          <w:color w:val="auto"/>
        </w:rPr>
        <w:tab/>
      </w:r>
      <w:r>
        <w:rPr>
          <w:rFonts w:ascii="Times New Roman" w:cs="Times New Roman" w:eastAsia="Times New Roman" w:hAnsi="Times New Roman"/>
          <w:sz w:val="17"/>
          <w:szCs w:val="17"/>
          <w:b w:val="1"/>
          <w:bCs w:val="1"/>
          <w:color w:val="auto"/>
        </w:rPr>
        <w:t>Fixing Record Dates.</w:t>
      </w:r>
    </w:p>
    <w:p>
      <w:pPr>
        <w:spacing w:after="0" w:line="224" w:lineRule="exact"/>
        <w:rPr>
          <w:sz w:val="20"/>
          <w:szCs w:val="20"/>
          <w:color w:val="auto"/>
        </w:rPr>
      </w:pPr>
    </w:p>
    <w:p>
      <w:pPr>
        <w:ind w:firstLine="1288"/>
        <w:spacing w:after="0" w:line="250" w:lineRule="auto"/>
        <w:tabs>
          <w:tab w:leader="none" w:pos="202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ten days before the date of such meeting. If the Board of Directors so fixes a record date for determining the stockholders entitled to notice of any meeting of stockholders, such date shall also be the record date for determining the stockholders entitled to vote at such meeting, unless the Board of Directors determines, at the time it fixes the record date for determining the stockholders entitled to notice of such meeting, that a later date on or before the date of the meeting shall be the record date for determining the stockholders entitled to vote at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the adjourned meeting in accordance with the provisions of this Section 40(a).</w:t>
      </w:r>
    </w:p>
    <w:p>
      <w:pPr>
        <w:spacing w:after="0" w:line="190" w:lineRule="exact"/>
        <w:rPr>
          <w:rFonts w:ascii="Times New Roman" w:cs="Times New Roman" w:eastAsia="Times New Roman" w:hAnsi="Times New Roman"/>
          <w:sz w:val="18"/>
          <w:szCs w:val="18"/>
          <w:b w:val="1"/>
          <w:bCs w:val="1"/>
          <w:color w:val="auto"/>
        </w:rPr>
      </w:pPr>
    </w:p>
    <w:p>
      <w:pPr>
        <w:ind w:right="40" w:firstLine="1288"/>
        <w:spacing w:after="0" w:line="253" w:lineRule="auto"/>
        <w:tabs>
          <w:tab w:leader="none" w:pos="203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1" w:lineRule="exact"/>
        <w:rPr>
          <w:sz w:val="20"/>
          <w:szCs w:val="20"/>
          <w:color w:val="auto"/>
        </w:rPr>
      </w:pPr>
    </w:p>
    <w:p>
      <w:pPr>
        <w:jc w:val="both"/>
        <w:ind w:right="40" w:firstLine="640"/>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Section 41. Registered Stockholders. </w:t>
      </w:r>
      <w:r>
        <w:rPr>
          <w:rFonts w:ascii="Times New Roman" w:cs="Times New Roman" w:eastAsia="Times New Roman" w:hAnsi="Times New Roman"/>
          <w:sz w:val="17"/>
          <w:szCs w:val="17"/>
          <w:color w:val="auto"/>
        </w:rPr>
        <w:t>The corporation shall be entitled to recognize the exclusive right of a person registered on its books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53" w:lineRule="exact"/>
        <w:rPr>
          <w:sz w:val="20"/>
          <w:szCs w:val="20"/>
          <w:color w:val="auto"/>
        </w:rPr>
      </w:pPr>
    </w:p>
    <w:p>
      <w:pPr>
        <w:ind w:right="60"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42. Additional Powers of the Board. </w:t>
      </w:r>
      <w:r>
        <w:rPr>
          <w:rFonts w:ascii="Times New Roman" w:cs="Times New Roman" w:eastAsia="Times New Roman" w:hAnsi="Times New Roman"/>
          <w:sz w:val="18"/>
          <w:szCs w:val="18"/>
          <w:color w:val="auto"/>
        </w:rPr>
        <w:t>In addition to, and without limiting, the powers set forth in the Bylaws,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power and authority to make all such rules and regulations as it shall deem expedient concerning the issue, transfer, and registration of certificates for shares of stock of the corporation, including the use of uncertificated shares of stock, subject to the provisions of the DGCL, other applicable law, the Certificate of Incorporation and the Bylaws. The Board of Directors may appoint and remove transfer agents and registrars of transfers, and may require all stock certificates to bear the signature of any such transfer agent and/or any such registrar of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397510</wp:posOffset>
            </wp:positionV>
            <wp:extent cx="71342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72" w:name="page173"/>
    <w:bookmarkEnd w:id="17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20"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43. Execution of Other Securities. </w:t>
      </w:r>
      <w:r>
        <w:rPr>
          <w:rFonts w:ascii="Times New Roman" w:cs="Times New Roman" w:eastAsia="Times New Roman" w:hAnsi="Times New Roman"/>
          <w:sz w:val="18"/>
          <w:szCs w:val="18"/>
          <w:color w:val="auto"/>
        </w:rPr>
        <w:t>All bonds, debentures and other corporate securities of the corporation, other than stock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in Section 37), may be signed by the Chairperson of the Board of Directors, the Chief Executive Officer, the President or any Vice President, or such other person as may be authorized by the Board of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0" w:lineRule="exact"/>
        <w:rPr>
          <w:sz w:val="20"/>
          <w:szCs w:val="20"/>
          <w:color w:val="auto"/>
        </w:rPr>
      </w:pPr>
    </w:p>
    <w:p>
      <w:pPr>
        <w:ind w:right="260"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Section 44. Declaration of Dividends. </w:t>
      </w:r>
      <w:r>
        <w:rPr>
          <w:rFonts w:ascii="Times New Roman" w:cs="Times New Roman" w:eastAsia="Times New Roman" w:hAnsi="Times New Roman"/>
          <w:sz w:val="18"/>
          <w:szCs w:val="18"/>
          <w:color w:val="auto"/>
        </w:rPr>
        <w:t>Dividends upon the capital stock of the corporation, subject to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applicable law, if any, may be declared by the Board of Directors. Dividends may be paid in cash, in property, or in shares of the capital stock, or other securities of the corporation, subject to the provisions of the Certificate of Incorporation and applicable law.</w:t>
      </w:r>
    </w:p>
    <w:p>
      <w:pPr>
        <w:spacing w:after="0" w:line="171" w:lineRule="exact"/>
        <w:rPr>
          <w:sz w:val="20"/>
          <w:szCs w:val="20"/>
          <w:color w:val="auto"/>
        </w:rPr>
      </w:pPr>
    </w:p>
    <w:p>
      <w:pPr>
        <w:ind w:right="20"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45. Dividend Reserve. </w:t>
      </w:r>
      <w:r>
        <w:rPr>
          <w:rFonts w:ascii="Times New Roman" w:cs="Times New Roman" w:eastAsia="Times New Roman" w:hAnsi="Times New Roman"/>
          <w:sz w:val="18"/>
          <w:szCs w:val="18"/>
          <w:color w:val="auto"/>
        </w:rPr>
        <w:t>Before payment of any dividend, there may be set aside out of any funds of the corporation available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such sum or sums as the Board of Directors from time to time, in its absolute discretion, determines proper as a reserve or reserves to meet contingencies, or for equalizing dividends,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0" w:lineRule="exact"/>
        <w:rPr>
          <w:sz w:val="20"/>
          <w:szCs w:val="20"/>
          <w:color w:val="auto"/>
        </w:rPr>
      </w:pPr>
    </w:p>
    <w:p>
      <w:pPr>
        <w:ind w:left="64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46.</w:t>
      </w:r>
      <w:r>
        <w:rPr>
          <w:sz w:val="20"/>
          <w:szCs w:val="20"/>
          <w:color w:val="auto"/>
        </w:rPr>
        <w:tab/>
      </w:r>
      <w:r>
        <w:rPr>
          <w:rFonts w:ascii="Times New Roman" w:cs="Times New Roman" w:eastAsia="Times New Roman" w:hAnsi="Times New Roman"/>
          <w:sz w:val="17"/>
          <w:szCs w:val="17"/>
          <w:b w:val="1"/>
          <w:bCs w:val="1"/>
          <w:color w:val="auto"/>
        </w:rPr>
        <w:t xml:space="preserve">Fiscal Year. </w:t>
      </w:r>
      <w:r>
        <w:rPr>
          <w:rFonts w:ascii="Times New Roman" w:cs="Times New Roman" w:eastAsia="Times New Roman" w:hAnsi="Times New Roman"/>
          <w:sz w:val="17"/>
          <w:szCs w:val="17"/>
          <w:color w:val="auto"/>
        </w:rPr>
        <w:t>The fiscal year of the corporation shall be fixed by resolution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424815</wp:posOffset>
            </wp:positionV>
            <wp:extent cx="71342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0" w:lineRule="exact"/>
        <w:rPr>
          <w:sz w:val="20"/>
          <w:szCs w:val="20"/>
          <w:color w:val="auto"/>
        </w:rPr>
      </w:pPr>
    </w:p>
    <w:p>
      <w:pPr>
        <w:ind w:left="62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Section 47.</w:t>
      </w:r>
      <w:r>
        <w:rPr>
          <w:sz w:val="20"/>
          <w:szCs w:val="20"/>
          <w:color w:val="auto"/>
        </w:rPr>
        <w:tab/>
      </w:r>
      <w:r>
        <w:rPr>
          <w:rFonts w:ascii="Times New Roman" w:cs="Times New Roman" w:eastAsia="Times New Roman" w:hAnsi="Times New Roman"/>
          <w:sz w:val="17"/>
          <w:szCs w:val="17"/>
          <w:b w:val="1"/>
          <w:bCs w:val="1"/>
          <w:color w:val="auto"/>
        </w:rPr>
        <w:t>Indemnification of Directors, Executive Officers, Employees and Other Agents.</w:t>
      </w:r>
    </w:p>
    <w:p>
      <w:pPr>
        <w:spacing w:after="0" w:line="220" w:lineRule="exact"/>
        <w:rPr>
          <w:sz w:val="20"/>
          <w:szCs w:val="20"/>
          <w:color w:val="auto"/>
        </w:rPr>
      </w:pPr>
    </w:p>
    <w:p>
      <w:pPr>
        <w:ind w:left="-20" w:right="40" w:firstLine="1288"/>
        <w:spacing w:after="0" w:line="249" w:lineRule="auto"/>
        <w:tabs>
          <w:tab w:leader="none" w:pos="2002"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Directors and Executive Officers. </w:t>
      </w:r>
      <w:r>
        <w:rPr>
          <w:rFonts w:ascii="Times New Roman" w:cs="Times New Roman" w:eastAsia="Times New Roman" w:hAnsi="Times New Roman"/>
          <w:sz w:val="18"/>
          <w:szCs w:val="18"/>
          <w:color w:val="auto"/>
        </w:rPr>
        <w:t>The corporation shall indemnify to the full extent permitted under and in any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under the DGCL or any other applicable law, any person who was or is made or threatened to be made a party to or is otherwise involved (as a witness or otherwise) in any threatened, pending, or completed action, suit, or proceeding, whether civil, criminal, administrative, or investigative (hereinafter,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such person is or was a director or executive officer (for the purposes of this Article XI,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color w:val="auto"/>
        </w:rPr>
        <w:t>” shall be those persons designated by the corporation as (a) executive officers for purposes of the disclosures required in the corporation’s proxy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w:t>
      </w:r>
      <w:r>
        <w:rPr>
          <w:rFonts w:ascii="Times New Roman" w:cs="Times New Roman" w:eastAsia="Times New Roman" w:hAnsi="Times New Roman"/>
          <w:sz w:val="18"/>
          <w:szCs w:val="18"/>
          <w:b w:val="1"/>
          <w:bCs w:val="1"/>
          <w:i w:val="1"/>
          <w:iCs w:val="1"/>
          <w:color w:val="auto"/>
        </w:rPr>
        <w:t>Another Enterprise</w:t>
      </w:r>
      <w:r>
        <w:rPr>
          <w:rFonts w:ascii="Times New Roman" w:cs="Times New Roman" w:eastAsia="Times New Roman" w:hAnsi="Times New Roman"/>
          <w:sz w:val="18"/>
          <w:szCs w:val="18"/>
          <w:color w:val="auto"/>
        </w:rPr>
        <w:t xml:space="preserve">”), against expenses (including attorneys’ fees),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corporation may modify the extent of such indemnification by individual contracts with its directors and executive officers; and,</w:t>
      </w:r>
      <w:r>
        <w:rPr>
          <w:rFonts w:ascii="Times New Roman" w:cs="Times New Roman" w:eastAsia="Times New Roman" w:hAnsi="Times New Roman"/>
          <w:sz w:val="18"/>
          <w:szCs w:val="18"/>
          <w:i w:val="1"/>
          <w:iCs w:val="1"/>
          <w:color w:val="auto"/>
        </w:rPr>
        <w:t xml:space="preserve"> provided, further, </w:t>
      </w:r>
      <w:r>
        <w:rPr>
          <w:rFonts w:ascii="Times New Roman" w:cs="Times New Roman" w:eastAsia="Times New Roman" w:hAnsi="Times New Roman"/>
          <w:sz w:val="18"/>
          <w:szCs w:val="18"/>
          <w:color w:val="auto"/>
        </w:rPr>
        <w:t>that the corporation shall not be required to indemnify any director or executive officer in connection with any proceeding (or part thereof) initiated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such person unless (i) such indemnification is expressly required to be made by applicable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 of this Section 47.</w:t>
      </w:r>
    </w:p>
    <w:p>
      <w:pPr>
        <w:spacing w:after="0" w:line="193" w:lineRule="exact"/>
        <w:rPr>
          <w:rFonts w:ascii="Times New Roman" w:cs="Times New Roman" w:eastAsia="Times New Roman" w:hAnsi="Times New Roman"/>
          <w:sz w:val="18"/>
          <w:szCs w:val="18"/>
          <w:b w:val="1"/>
          <w:bCs w:val="1"/>
          <w:color w:val="auto"/>
        </w:rPr>
      </w:pPr>
    </w:p>
    <w:p>
      <w:pPr>
        <w:ind w:left="-20" w:firstLine="1288"/>
        <w:spacing w:after="0" w:line="258" w:lineRule="auto"/>
        <w:tabs>
          <w:tab w:leader="none" w:pos="2012"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Officers, Employees and Other Agents. </w:t>
      </w:r>
      <w:r>
        <w:rPr>
          <w:rFonts w:ascii="Times New Roman" w:cs="Times New Roman" w:eastAsia="Times New Roman" w:hAnsi="Times New Roman"/>
          <w:sz w:val="18"/>
          <w:szCs w:val="18"/>
          <w:color w:val="auto"/>
        </w:rPr>
        <w:t>The corporation shall have power to indemnify (including the power to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 a manner consistent with subsection (c) of this Section 47)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177" w:lineRule="exact"/>
        <w:rPr>
          <w:rFonts w:ascii="Times New Roman" w:cs="Times New Roman" w:eastAsia="Times New Roman" w:hAnsi="Times New Roman"/>
          <w:sz w:val="18"/>
          <w:szCs w:val="18"/>
          <w:b w:val="1"/>
          <w:bCs w:val="1"/>
          <w:color w:val="auto"/>
        </w:rPr>
      </w:pPr>
    </w:p>
    <w:p>
      <w:pPr>
        <w:ind w:left="-20" w:firstLine="1288"/>
        <w:spacing w:after="0" w:line="251" w:lineRule="auto"/>
        <w:tabs>
          <w:tab w:leader="none" w:pos="1992"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corporation shall advance to any person who was or is a party or is threatened to be made a party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threatened, pending or completed Proceeding, by reason of the fact that such person is or was a director or executive officer, of the corporation, or is or was serving at the request of the corporation as a director or executive officer of Another Enterprise, prior to the final disposition of the Proceeding, promptly following request therefor, all expenses (including attorneys’ fees)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Times New Roman" w:cs="Times New Roman" w:eastAsia="Times New Roman" w:hAnsi="Times New Roman"/>
          <w:sz w:val="18"/>
          <w:szCs w:val="18"/>
          <w:b w:val="1"/>
          <w:bCs w:val="1"/>
          <w:i w:val="1"/>
          <w:iCs w:val="1"/>
          <w:color w:val="auto"/>
        </w:rPr>
        <w:t>undertaking</w:t>
      </w:r>
      <w:r>
        <w:rPr>
          <w:rFonts w:ascii="Times New Roman" w:cs="Times New Roman" w:eastAsia="Times New Roman" w:hAnsi="Times New Roman"/>
          <w:sz w:val="18"/>
          <w:szCs w:val="18"/>
          <w:color w:val="auto"/>
        </w:rPr>
        <w:t>”), by or on behalf of such indemnitee, to repay all amounts so advanced if it shall ultimately be determined by final judicial decision from which there is no further right to appeal (hereinafter a “</w:t>
      </w:r>
      <w:r>
        <w:rPr>
          <w:rFonts w:ascii="Times New Roman" w:cs="Times New Roman" w:eastAsia="Times New Roman" w:hAnsi="Times New Roman"/>
          <w:sz w:val="18"/>
          <w:szCs w:val="18"/>
          <w:b w:val="1"/>
          <w:bCs w:val="1"/>
          <w:i w:val="1"/>
          <w:iCs w:val="1"/>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adjudication</w:t>
      </w:r>
      <w:r>
        <w:rPr>
          <w:rFonts w:ascii="Times New Roman" w:cs="Times New Roman" w:eastAsia="Times New Roman" w:hAnsi="Times New Roman"/>
          <w:sz w:val="18"/>
          <w:szCs w:val="18"/>
          <w:color w:val="auto"/>
        </w:rPr>
        <w:t>”) that such indemnitee is not entitled to be indemnified for such expenses under this Section 47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403860</wp:posOffset>
            </wp:positionV>
            <wp:extent cx="71342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74" w:name="page175"/>
    <w:bookmarkEnd w:id="174"/>
    <w:p>
      <w:pPr>
        <w:ind w:right="20" w:firstLine="640"/>
        <w:spacing w:after="0" w:line="252" w:lineRule="auto"/>
        <w:rPr>
          <w:sz w:val="20"/>
          <w:szCs w:val="20"/>
          <w:color w:val="auto"/>
        </w:rPr>
      </w:pPr>
      <w:r>
        <w:rPr>
          <w:rFonts w:ascii="Times New Roman" w:cs="Times New Roman" w:eastAsia="Times New Roman" w:hAnsi="Times New Roman"/>
          <w:sz w:val="18"/>
          <w:szCs w:val="18"/>
          <w:color w:val="auto"/>
        </w:rPr>
        <w:t>Notwithstanding the foregoing, unless otherwise determined pursuant to paragraph (d) of this Section 47, no advance shall be made by the corporation to an executive officer of the corporation (except by reason of the fact that such executive officer is or was a director of the corporation in which event this paragraph shall not apply) in any Proceeding,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83" w:lineRule="exact"/>
        <w:rPr>
          <w:sz w:val="20"/>
          <w:szCs w:val="20"/>
          <w:color w:val="auto"/>
        </w:rPr>
      </w:pPr>
    </w:p>
    <w:p>
      <w:pPr>
        <w:ind w:firstLine="1288"/>
        <w:spacing w:after="0" w:line="264" w:lineRule="auto"/>
        <w:tabs>
          <w:tab w:leader="none" w:pos="2032"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Enforcement</w:t>
      </w:r>
      <w:r>
        <w:rPr>
          <w:rFonts w:ascii="Times New Roman" w:cs="Times New Roman" w:eastAsia="Times New Roman" w:hAnsi="Times New Roman"/>
          <w:sz w:val="17"/>
          <w:szCs w:val="17"/>
          <w:color w:val="auto"/>
        </w:rPr>
        <w:t>. Without the necessity of entering into an express contract, all rights to indemnification and advances to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executive officers under this Section 47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advancement of expenses granted by this Section 47 to a director or executive officer shall be enforceable by or on behalf of the person holding such right in any court of competent jurisdiction if (i) the claim for indemnification or advancement of expenses is denied, in whole or in part, or (ii) no disposition of a claim for indemnification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or brought by the corporation to recover an advancement of expenses pursuant to the terms of an undertaking, the burden of proving that the director or executive officer is not entitled to be indemnified, or to such advancement of expenses, under this Section 47 or otherwise shall be on the corporation.</w:t>
      </w:r>
    </w:p>
    <w:p>
      <w:pPr>
        <w:spacing w:after="0" w:line="395" w:lineRule="exact"/>
        <w:rPr>
          <w:rFonts w:ascii="Times New Roman" w:cs="Times New Roman" w:eastAsia="Times New Roman" w:hAnsi="Times New Roman"/>
          <w:sz w:val="17"/>
          <w:szCs w:val="17"/>
          <w:b w:val="1"/>
          <w:bCs w:val="1"/>
          <w:color w:val="auto"/>
        </w:rPr>
      </w:pPr>
    </w:p>
    <w:p>
      <w:pPr>
        <w:ind w:right="180" w:firstLine="1288"/>
        <w:spacing w:after="0" w:line="256" w:lineRule="auto"/>
        <w:tabs>
          <w:tab w:leader="none" w:pos="201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Non-Exclusivity of Rights. </w:t>
      </w:r>
      <w:r>
        <w:rPr>
          <w:rFonts w:ascii="Times New Roman" w:cs="Times New Roman" w:eastAsia="Times New Roman" w:hAnsi="Times New Roman"/>
          <w:sz w:val="18"/>
          <w:szCs w:val="18"/>
          <w:color w:val="auto"/>
        </w:rPr>
        <w:t>The rights conferred on any person by this Section 47 shall not be exclusive of any other right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397510</wp:posOffset>
            </wp:positionV>
            <wp:extent cx="71342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5" w:name="page176"/>
    <w:bookmarkEnd w:id="175"/>
    <w:p>
      <w:pPr>
        <w:ind w:left="-1120" w:right="240" w:firstLine="1288"/>
        <w:spacing w:after="0" w:line="312" w:lineRule="auto"/>
        <w:tabs>
          <w:tab w:leader="none" w:pos="872"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Survival of Rights. </w:t>
      </w:r>
      <w:r>
        <w:rPr>
          <w:rFonts w:ascii="Times New Roman" w:cs="Times New Roman" w:eastAsia="Times New Roman" w:hAnsi="Times New Roman"/>
          <w:sz w:val="17"/>
          <w:szCs w:val="17"/>
          <w:color w:val="auto"/>
        </w:rPr>
        <w:t>The rights conferred on any person by this Section 47 shall continue as to a person who has ceased to be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executive officer, other officer, employee or other agent and shall inure to the benefit of the heirs, executors and administrators of such a person.</w:t>
      </w:r>
    </w:p>
    <w:p>
      <w:pPr>
        <w:spacing w:after="0" w:line="132" w:lineRule="exact"/>
        <w:rPr>
          <w:rFonts w:ascii="Times New Roman" w:cs="Times New Roman" w:eastAsia="Times New Roman" w:hAnsi="Times New Roman"/>
          <w:sz w:val="17"/>
          <w:szCs w:val="17"/>
          <w:b w:val="1"/>
          <w:bCs w:val="1"/>
          <w:color w:val="auto"/>
        </w:rPr>
      </w:pPr>
    </w:p>
    <w:p>
      <w:pPr>
        <w:ind w:left="-1120" w:right="480" w:firstLine="1288"/>
        <w:spacing w:after="0" w:line="312" w:lineRule="auto"/>
        <w:tabs>
          <w:tab w:leader="none" w:pos="902"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Insurance. </w:t>
      </w:r>
      <w:r>
        <w:rPr>
          <w:rFonts w:ascii="Times New Roman" w:cs="Times New Roman" w:eastAsia="Times New Roman" w:hAnsi="Times New Roman"/>
          <w:sz w:val="17"/>
          <w:szCs w:val="17"/>
          <w:color w:val="auto"/>
        </w:rPr>
        <w:t>To the fullest extent permitted by the DGCL or any other applicable law, the corporation, upon approval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may purchase and maintain insurance on behalf of any person required or permitted to be indemnified pursuant to this Section 47.</w:t>
      </w:r>
    </w:p>
    <w:p>
      <w:pPr>
        <w:spacing w:after="0" w:line="132" w:lineRule="exact"/>
        <w:rPr>
          <w:rFonts w:ascii="Times New Roman" w:cs="Times New Roman" w:eastAsia="Times New Roman" w:hAnsi="Times New Roman"/>
          <w:sz w:val="17"/>
          <w:szCs w:val="17"/>
          <w:b w:val="1"/>
          <w:bCs w:val="1"/>
          <w:color w:val="auto"/>
        </w:rPr>
      </w:pPr>
    </w:p>
    <w:p>
      <w:pPr>
        <w:ind w:left="-1120" w:right="200" w:firstLine="1288"/>
        <w:spacing w:after="0" w:line="264" w:lineRule="auto"/>
        <w:tabs>
          <w:tab w:leader="none" w:pos="912"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Any repeal or modification of this Section 47 shall only be prospective and shall not affect the rights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47 as in effect at the time of the alleged occurrence of any action or omission to act that is the cause of any Proceeding against any agent of the corporation.</w:t>
      </w:r>
    </w:p>
    <w:p>
      <w:pPr>
        <w:spacing w:after="0" w:line="170" w:lineRule="exact"/>
        <w:rPr>
          <w:rFonts w:ascii="Times New Roman" w:cs="Times New Roman" w:eastAsia="Times New Roman" w:hAnsi="Times New Roman"/>
          <w:sz w:val="18"/>
          <w:szCs w:val="18"/>
          <w:b w:val="1"/>
          <w:bCs w:val="1"/>
          <w:color w:val="auto"/>
        </w:rPr>
      </w:pPr>
    </w:p>
    <w:p>
      <w:pPr>
        <w:ind w:left="-1120" w:right="40" w:firstLine="1288"/>
        <w:spacing w:after="0" w:line="256" w:lineRule="auto"/>
        <w:tabs>
          <w:tab w:leader="none" w:pos="862"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Saving Clause. </w:t>
      </w:r>
      <w:r>
        <w:rPr>
          <w:rFonts w:ascii="Times New Roman" w:cs="Times New Roman" w:eastAsia="Times New Roman" w:hAnsi="Times New Roman"/>
          <w:sz w:val="18"/>
          <w:szCs w:val="18"/>
          <w:color w:val="auto"/>
        </w:rPr>
        <w:t>If this Article XI or any portion hereof shall be invalidated on any ground by any court of competent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the corporation shall nevertheless indemnify and advance expenses to each director and executive officer to the full extent not prohibited by any applicable portion of this Article XI that shall not have been invalidated, or by any other applicable law. If this Article XI shall be invalid due to the application of the indemnification and advancement provisions of another jurisdiction, then the corporation shall indemnify and advance expenses to each director and executive officer to the full extent under any other applicable law.</w:t>
      </w:r>
    </w:p>
    <w:p>
      <w:pPr>
        <w:spacing w:after="0" w:line="176" w:lineRule="exact"/>
        <w:rPr>
          <w:rFonts w:ascii="Times New Roman" w:cs="Times New Roman" w:eastAsia="Times New Roman" w:hAnsi="Times New Roman"/>
          <w:sz w:val="18"/>
          <w:szCs w:val="18"/>
          <w:b w:val="1"/>
          <w:bCs w:val="1"/>
          <w:color w:val="auto"/>
        </w:rPr>
      </w:pPr>
    </w:p>
    <w:p>
      <w:pPr>
        <w:ind w:left="-1120" w:right="280" w:firstLine="1288"/>
        <w:spacing w:after="0" w:line="281" w:lineRule="auto"/>
        <w:tabs>
          <w:tab w:leader="none" w:pos="872"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Definitions and Construction of Terms. </w:t>
      </w:r>
      <w:r>
        <w:rPr>
          <w:rFonts w:ascii="Times New Roman" w:cs="Times New Roman" w:eastAsia="Times New Roman" w:hAnsi="Times New Roman"/>
          <w:sz w:val="18"/>
          <w:szCs w:val="18"/>
          <w:color w:val="auto"/>
        </w:rPr>
        <w:t>For the purposes of Article XI of the Bylaws, the following definitions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of construction shall apply:</w:t>
      </w:r>
    </w:p>
    <w:p>
      <w:pPr>
        <w:spacing w:after="0" w:line="155" w:lineRule="exact"/>
        <w:rPr>
          <w:rFonts w:ascii="Times New Roman" w:cs="Times New Roman" w:eastAsia="Times New Roman" w:hAnsi="Times New Roman"/>
          <w:sz w:val="18"/>
          <w:szCs w:val="18"/>
          <w:b w:val="1"/>
          <w:bCs w:val="1"/>
          <w:color w:val="auto"/>
        </w:rPr>
      </w:pPr>
    </w:p>
    <w:p>
      <w:pPr>
        <w:jc w:val="both"/>
        <w:ind w:left="-1120" w:right="180" w:firstLine="1928"/>
        <w:spacing w:after="0" w:line="264" w:lineRule="auto"/>
        <w:tabs>
          <w:tab w:leader="none" w:pos="1503"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0" w:lineRule="exact"/>
        <w:rPr>
          <w:rFonts w:ascii="Times New Roman" w:cs="Times New Roman" w:eastAsia="Times New Roman" w:hAnsi="Times New Roman"/>
          <w:sz w:val="18"/>
          <w:szCs w:val="18"/>
          <w:b w:val="1"/>
          <w:bCs w:val="1"/>
          <w:color w:val="auto"/>
        </w:rPr>
      </w:pPr>
    </w:p>
    <w:p>
      <w:pPr>
        <w:ind w:left="-1120" w:right="500" w:firstLine="1928"/>
        <w:spacing w:after="0" w:line="264" w:lineRule="auto"/>
        <w:tabs>
          <w:tab w:leader="none" w:pos="1552"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70" w:lineRule="exact"/>
        <w:rPr>
          <w:rFonts w:ascii="Times New Roman" w:cs="Times New Roman" w:eastAsia="Times New Roman" w:hAnsi="Times New Roman"/>
          <w:sz w:val="18"/>
          <w:szCs w:val="18"/>
          <w:b w:val="1"/>
          <w:bCs w:val="1"/>
          <w:color w:val="auto"/>
        </w:rPr>
      </w:pPr>
    </w:p>
    <w:p>
      <w:pPr>
        <w:ind w:left="-1120" w:firstLine="1928"/>
        <w:spacing w:after="0" w:line="254" w:lineRule="auto"/>
        <w:tabs>
          <w:tab w:leader="none" w:pos="1601"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employee benefit plan or other enterprise, shall stand in the same position under the provisions of this Section 47 with respect to the resulting or surviving corporation as he would have with respect to such constituent corporation if its separate existence had continued.</w:t>
      </w:r>
    </w:p>
    <w:p>
      <w:pPr>
        <w:spacing w:after="0" w:line="180" w:lineRule="exact"/>
        <w:rPr>
          <w:rFonts w:ascii="Times New Roman" w:cs="Times New Roman" w:eastAsia="Times New Roman" w:hAnsi="Times New Roman"/>
          <w:sz w:val="18"/>
          <w:szCs w:val="18"/>
          <w:b w:val="1"/>
          <w:bCs w:val="1"/>
          <w:color w:val="auto"/>
        </w:rPr>
      </w:pPr>
    </w:p>
    <w:p>
      <w:pPr>
        <w:ind w:left="-1120" w:right="240" w:firstLine="1928"/>
        <w:spacing w:after="0" w:line="264" w:lineRule="auto"/>
        <w:tabs>
          <w:tab w:leader="none" w:pos="1591"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393700</wp:posOffset>
            </wp:positionV>
            <wp:extent cx="71342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1" w:right="339" w:bottom="1440" w:gutter="0" w:footer="0" w:header="0"/>
        </w:sectPr>
      </w:pPr>
    </w:p>
    <w:bookmarkStart w:id="176" w:name="page177"/>
    <w:bookmarkEnd w:id="176"/>
    <w:p>
      <w:pPr>
        <w:ind w:left="-40" w:firstLine="1928"/>
        <w:spacing w:after="0" w:line="254" w:lineRule="auto"/>
        <w:tabs>
          <w:tab w:leader="none" w:pos="2622"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Another Enterprise</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i w:val="1"/>
          <w:iCs w:val="1"/>
          <w:color w:val="auto"/>
        </w:rPr>
        <w:t>serving at the request of the corporation</w:t>
      </w:r>
      <w:r>
        <w:rPr>
          <w:rFonts w:ascii="Times New Roman" w:cs="Times New Roman" w:eastAsia="Times New Roman" w:hAnsi="Times New Roman"/>
          <w:sz w:val="18"/>
          <w:szCs w:val="18"/>
          <w:color w:val="auto"/>
        </w:rPr>
        <w:t>”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i w:val="1"/>
          <w:iCs w:val="1"/>
          <w:color w:val="auto"/>
        </w:rPr>
        <w:t>not opposed to the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interests of the corporation</w:t>
      </w:r>
      <w:r>
        <w:rPr>
          <w:rFonts w:ascii="Times New Roman" w:cs="Times New Roman" w:eastAsia="Times New Roman" w:hAnsi="Times New Roman"/>
          <w:sz w:val="18"/>
          <w:szCs w:val="18"/>
          <w:color w:val="auto"/>
        </w:rPr>
        <w:t>” as referred to in this Section 47.</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0" w:lineRule="exact"/>
        <w:rPr>
          <w:sz w:val="20"/>
          <w:szCs w:val="20"/>
          <w:color w:val="auto"/>
        </w:rPr>
      </w:pPr>
    </w:p>
    <w:p>
      <w:pPr>
        <w:ind w:left="60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Section 48.</w:t>
      </w:r>
      <w:r>
        <w:rPr>
          <w:sz w:val="20"/>
          <w:szCs w:val="20"/>
          <w:color w:val="auto"/>
        </w:rPr>
        <w:tab/>
      </w:r>
      <w:r>
        <w:rPr>
          <w:rFonts w:ascii="Times New Roman" w:cs="Times New Roman" w:eastAsia="Times New Roman" w:hAnsi="Times New Roman"/>
          <w:sz w:val="17"/>
          <w:szCs w:val="17"/>
          <w:b w:val="1"/>
          <w:bCs w:val="1"/>
          <w:color w:val="auto"/>
        </w:rPr>
        <w:t>Notices.</w:t>
      </w:r>
    </w:p>
    <w:p>
      <w:pPr>
        <w:spacing w:after="0" w:line="220" w:lineRule="exact"/>
        <w:rPr>
          <w:sz w:val="20"/>
          <w:szCs w:val="20"/>
          <w:color w:val="auto"/>
        </w:rPr>
      </w:pPr>
    </w:p>
    <w:p>
      <w:pPr>
        <w:ind w:left="-40" w:right="140" w:firstLine="1288"/>
        <w:spacing w:after="0" w:line="258" w:lineRule="auto"/>
        <w:tabs>
          <w:tab w:leader="none" w:pos="198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Stockholders. </w:t>
      </w:r>
      <w:r>
        <w:rPr>
          <w:rFonts w:ascii="Times New Roman" w:cs="Times New Roman" w:eastAsia="Times New Roman" w:hAnsi="Times New Roman"/>
          <w:sz w:val="18"/>
          <w:szCs w:val="18"/>
          <w:color w:val="auto"/>
        </w:rPr>
        <w:t>Notice to stockholders of stockholder meetings shall be given as provided in Section 7.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limiting the manner by which notice may otherwise be given effectively to stockholders under any agreement or contract with such stockholder, and except as otherwise required by applicable law, written notice to stockholders for purposes other than stockholder meetings may be sent by U.S. mail or nationally recognized overnight courier, or by electronic mail or other electronic means in accordance with Section 232 of the DGCL.</w:t>
      </w:r>
    </w:p>
    <w:p>
      <w:pPr>
        <w:spacing w:after="0" w:line="177" w:lineRule="exact"/>
        <w:rPr>
          <w:rFonts w:ascii="Times New Roman" w:cs="Times New Roman" w:eastAsia="Times New Roman" w:hAnsi="Times New Roman"/>
          <w:sz w:val="18"/>
          <w:szCs w:val="18"/>
          <w:b w:val="1"/>
          <w:bCs w:val="1"/>
          <w:color w:val="auto"/>
        </w:rPr>
      </w:pPr>
    </w:p>
    <w:p>
      <w:pPr>
        <w:ind w:left="-40" w:right="100" w:firstLine="1288"/>
        <w:spacing w:after="0" w:line="258" w:lineRule="auto"/>
        <w:tabs>
          <w:tab w:leader="none" w:pos="199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Directors. </w:t>
      </w:r>
      <w:r>
        <w:rPr>
          <w:rFonts w:ascii="Times New Roman" w:cs="Times New Roman" w:eastAsia="Times New Roman" w:hAnsi="Times New Roman"/>
          <w:sz w:val="18"/>
          <w:szCs w:val="18"/>
          <w:color w:val="auto"/>
        </w:rPr>
        <w:t>Any notice required to be given to any director may be given by the method stated in subsection (a),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in the Bylaws (including by any of the means specified in Section 22(d)), or by overnight delivery service. Any notice sent by overnight delivery service or U.S. mail shall be sent to such address as such director shall have filed in writing with the Secretary, or, in the absence of such filing, to the last known post office address of such director.</w:t>
      </w:r>
    </w:p>
    <w:p>
      <w:pPr>
        <w:spacing w:after="0" w:line="177" w:lineRule="exact"/>
        <w:rPr>
          <w:rFonts w:ascii="Times New Roman" w:cs="Times New Roman" w:eastAsia="Times New Roman" w:hAnsi="Times New Roman"/>
          <w:sz w:val="18"/>
          <w:szCs w:val="18"/>
          <w:b w:val="1"/>
          <w:bCs w:val="1"/>
          <w:color w:val="auto"/>
        </w:rPr>
      </w:pPr>
    </w:p>
    <w:p>
      <w:pPr>
        <w:ind w:left="-40" w:right="180" w:firstLine="1288"/>
        <w:spacing w:after="0" w:line="258" w:lineRule="auto"/>
        <w:tabs>
          <w:tab w:leader="none" w:pos="197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Affidavit of Mailing. </w:t>
      </w:r>
      <w:r>
        <w:rPr>
          <w:rFonts w:ascii="Times New Roman" w:cs="Times New Roman" w:eastAsia="Times New Roman" w:hAnsi="Times New Roman"/>
          <w:sz w:val="18"/>
          <w:szCs w:val="18"/>
          <w:color w:val="auto"/>
        </w:rPr>
        <w:t>An affidavit of mailing, executed by a duly authorized and competent employee of the corporation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7" w:lineRule="exact"/>
        <w:rPr>
          <w:rFonts w:ascii="Times New Roman" w:cs="Times New Roman" w:eastAsia="Times New Roman" w:hAnsi="Times New Roman"/>
          <w:sz w:val="18"/>
          <w:szCs w:val="18"/>
          <w:b w:val="1"/>
          <w:bCs w:val="1"/>
          <w:color w:val="auto"/>
        </w:rPr>
      </w:pPr>
    </w:p>
    <w:p>
      <w:pPr>
        <w:ind w:left="-40" w:right="220" w:firstLine="1288"/>
        <w:spacing w:after="0" w:line="264" w:lineRule="auto"/>
        <w:tabs>
          <w:tab w:leader="none" w:pos="199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Methods of Notice. </w:t>
      </w:r>
      <w:r>
        <w:rPr>
          <w:rFonts w:ascii="Times New Roman" w:cs="Times New Roman" w:eastAsia="Times New Roman" w:hAnsi="Times New Roman"/>
          <w:sz w:val="18"/>
          <w:szCs w:val="18"/>
          <w:color w:val="auto"/>
        </w:rPr>
        <w:t>It shall not be necessary that the same method of giving notice be employed in respect of all recipients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but one permissible method may be employed in respect of any one or more, and any other permissible method or methods may be employed in respect of any other or others.</w:t>
      </w:r>
    </w:p>
    <w:p>
      <w:pPr>
        <w:spacing w:after="0" w:line="170" w:lineRule="exact"/>
        <w:rPr>
          <w:rFonts w:ascii="Times New Roman" w:cs="Times New Roman" w:eastAsia="Times New Roman" w:hAnsi="Times New Roman"/>
          <w:sz w:val="18"/>
          <w:szCs w:val="18"/>
          <w:b w:val="1"/>
          <w:bCs w:val="1"/>
          <w:color w:val="auto"/>
        </w:rPr>
      </w:pPr>
    </w:p>
    <w:p>
      <w:pPr>
        <w:ind w:left="-40" w:right="20" w:firstLine="1288"/>
        <w:spacing w:after="0" w:line="253" w:lineRule="auto"/>
        <w:tabs>
          <w:tab w:leader="none" w:pos="197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Person with Whom Communication is Unlawful. </w:t>
      </w:r>
      <w:r>
        <w:rPr>
          <w:rFonts w:ascii="Times New Roman" w:cs="Times New Roman" w:eastAsia="Times New Roman" w:hAnsi="Times New Roman"/>
          <w:sz w:val="18"/>
          <w:szCs w:val="18"/>
          <w:color w:val="auto"/>
        </w:rPr>
        <w:t>Whenever notice is required to be given, under applicable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400050</wp:posOffset>
            </wp:positionV>
            <wp:extent cx="71342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60" w:top="891" w:right="379" w:bottom="1440" w:gutter="0" w:footer="0" w:header="0"/>
        </w:sectPr>
      </w:pPr>
    </w:p>
    <w:bookmarkStart w:id="177" w:name="page178"/>
    <w:bookmarkEnd w:id="177"/>
    <w:p>
      <w:pPr>
        <w:ind w:right="180" w:firstLine="1288"/>
        <w:spacing w:after="0" w:line="256" w:lineRule="auto"/>
        <w:tabs>
          <w:tab w:leader="none" w:pos="1992"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Stockholders Sharing an Address. </w:t>
      </w:r>
      <w:r>
        <w:rPr>
          <w:rFonts w:ascii="Times New Roman" w:cs="Times New Roman" w:eastAsia="Times New Roman" w:hAnsi="Times New Roman"/>
          <w:sz w:val="18"/>
          <w:szCs w:val="18"/>
          <w:color w:val="auto"/>
        </w:rPr>
        <w:t>Except as otherwise prohibited under the DGCL, any notice given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0" w:lineRule="exact"/>
        <w:rPr>
          <w:sz w:val="20"/>
          <w:szCs w:val="20"/>
          <w:color w:val="auto"/>
        </w:rPr>
      </w:pPr>
    </w:p>
    <w:p>
      <w:pPr>
        <w:ind w:firstLine="6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49. Amendments. </w:t>
      </w:r>
      <w:r>
        <w:rPr>
          <w:rFonts w:ascii="Times New Roman" w:cs="Times New Roman" w:eastAsia="Times New Roman" w:hAnsi="Times New Roman"/>
          <w:sz w:val="17"/>
          <w:szCs w:val="17"/>
          <w:color w:val="auto"/>
        </w:rPr>
        <w:t>Subject to the limitations set forth in Section 47(h) or the provisions of the Certificate of Incorporation, the Board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 addition to any vote of the holders of any class or series of stock of the corporation required by applicable law or by the Certificate of Incorporation, such action by stockholders shall require the affirmative vote of the holders of</w:t>
      </w:r>
    </w:p>
    <w:p>
      <w:pPr>
        <w:spacing w:after="0" w:line="3" w:lineRule="exact"/>
        <w:rPr>
          <w:sz w:val="20"/>
          <w:szCs w:val="20"/>
          <w:color w:val="auto"/>
        </w:rPr>
      </w:pPr>
    </w:p>
    <w:p>
      <w:pPr>
        <w:ind w:right="220"/>
        <w:spacing w:after="0" w:line="213" w:lineRule="auto"/>
        <w:rPr>
          <w:sz w:val="20"/>
          <w:szCs w:val="20"/>
          <w:color w:val="auto"/>
        </w:rPr>
      </w:pPr>
      <w:r>
        <w:rPr>
          <w:rFonts w:ascii="Times New Roman" w:cs="Times New Roman" w:eastAsia="Times New Roman" w:hAnsi="Times New Roman"/>
          <w:sz w:val="18"/>
          <w:szCs w:val="18"/>
          <w:color w:val="auto"/>
        </w:rPr>
        <w:t>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voting power of all of the then-outstanding shares of the capital stock of the corporation entitled to vote generally in the election of directors,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406400</wp:posOffset>
            </wp:positionV>
            <wp:extent cx="71342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00"/>
          </w:cols>
          <w:pgMar w:left="320" w:top="891" w:right="47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20"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2023, is made and entered into by and among (i) TriSalus Life 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(formerly known as MedTech Acquisition Corp. (“</w:t>
      </w:r>
      <w:r>
        <w:rPr>
          <w:rFonts w:ascii="Times New Roman" w:cs="Times New Roman" w:eastAsia="Times New Roman" w:hAnsi="Times New Roman"/>
          <w:sz w:val="18"/>
          <w:szCs w:val="18"/>
          <w:b w:val="1"/>
          <w:bCs w:val="1"/>
          <w:i w:val="1"/>
          <w:iCs w:val="1"/>
          <w:color w:val="auto"/>
        </w:rPr>
        <w:t>MedTech</w:t>
      </w:r>
      <w:r>
        <w:rPr>
          <w:rFonts w:ascii="Times New Roman" w:cs="Times New Roman" w:eastAsia="Times New Roman" w:hAnsi="Times New Roman"/>
          <w:sz w:val="18"/>
          <w:szCs w:val="18"/>
          <w:color w:val="auto"/>
        </w:rPr>
        <w:t>”), a Delaware corporation), (ii) MedTech Acquisition Sponsor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(iii) certain former stockholders of TriSalus Operating Company, a Delaware corporation (formerly known as TriSalus Life Sciences, Inc. (“</w:t>
      </w:r>
      <w:r>
        <w:rPr>
          <w:rFonts w:ascii="Times New Roman" w:cs="Times New Roman" w:eastAsia="Times New Roman" w:hAnsi="Times New Roman"/>
          <w:sz w:val="18"/>
          <w:szCs w:val="18"/>
          <w:b w:val="1"/>
          <w:bCs w:val="1"/>
          <w:i w:val="1"/>
          <w:iCs w:val="1"/>
          <w:color w:val="auto"/>
        </w:rPr>
        <w:t>Legacy TriSalus</w:t>
      </w:r>
      <w:r>
        <w:rPr>
          <w:rFonts w:ascii="Times New Roman" w:cs="Times New Roman" w:eastAsia="Times New Roman" w:hAnsi="Times New Roman"/>
          <w:sz w:val="18"/>
          <w:szCs w:val="18"/>
          <w:color w:val="auto"/>
        </w:rPr>
        <w:t>”)) set forth on Schedule I hereto (the “</w:t>
      </w:r>
      <w:r>
        <w:rPr>
          <w:rFonts w:ascii="Times New Roman" w:cs="Times New Roman" w:eastAsia="Times New Roman" w:hAnsi="Times New Roman"/>
          <w:sz w:val="18"/>
          <w:szCs w:val="18"/>
          <w:b w:val="1"/>
          <w:bCs w:val="1"/>
          <w:i w:val="1"/>
          <w:iCs w:val="1"/>
          <w:color w:val="auto"/>
        </w:rPr>
        <w:t>TriSalus Holders</w:t>
      </w:r>
      <w:r>
        <w:rPr>
          <w:rFonts w:ascii="Times New Roman" w:cs="Times New Roman" w:eastAsia="Times New Roman" w:hAnsi="Times New Roman"/>
          <w:sz w:val="18"/>
          <w:szCs w:val="18"/>
          <w:color w:val="auto"/>
        </w:rPr>
        <w:t xml:space="preserve">” and, together with the Sponsor and any person or entity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this Agreement,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0" w:lineRule="exact"/>
        <w:rPr>
          <w:sz w:val="20"/>
          <w:szCs w:val="20"/>
          <w:color w:val="auto"/>
        </w:rPr>
      </w:pPr>
    </w:p>
    <w:p>
      <w:pPr>
        <w:ind w:right="80" w:firstLine="320"/>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Legacy TriSalus were party to that certain Agreement and Plan of Merger, dated as of November 11, 2022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among the Company, MTAC Merger Sub, Inc., a Delaware corporation and a direct, wholly owned subsidiary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Legacy TriSalus;</w:t>
      </w:r>
    </w:p>
    <w:p>
      <w:pPr>
        <w:spacing w:after="0" w:line="171" w:lineRule="exact"/>
        <w:rPr>
          <w:sz w:val="20"/>
          <w:szCs w:val="20"/>
          <w:color w:val="auto"/>
        </w:rPr>
      </w:pPr>
    </w:p>
    <w:p>
      <w:pPr>
        <w:ind w:right="60" w:firstLine="320"/>
        <w:spacing w:after="0" w:line="25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Merger Agreement, at the Closing (as defined in the Merger Agreement), Merger Sub will merge with and into Legacy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TriSalus, with Legacy TriSalus continuing as the surviving company and, after giving effect to the merger, the separate existence of Merger Sub will cease to exist and Legacy TriSalus shall become a wholly owned subsidiary of the Company, which shall survive as the surviving corporation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Combination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right="140" w:firstLine="320"/>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MedTech, the Sponsor and certain of the Holders entered into that certain Registration Rights Agreement, dated as of December 17,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it may be amended, supplemented, restated or otherwise modified from time to time until the consummation of the Business Combination, the “</w:t>
      </w:r>
      <w:r>
        <w:rPr>
          <w:rFonts w:ascii="Times New Roman" w:cs="Times New Roman" w:eastAsia="Times New Roman" w:hAnsi="Times New Roman"/>
          <w:sz w:val="18"/>
          <w:szCs w:val="18"/>
          <w:b w:val="1"/>
          <w:bCs w:val="1"/>
          <w:i w:val="1"/>
          <w:iCs w:val="1"/>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320"/>
        <w:spacing w:after="0" w:line="25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consummation of the Business Combination, the parties to the Existing Agreement desire to amend and restate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its entirety as set forth herein and the Company, the Sponsor and the Holders desire to enter into this Agreement, pursuant to which the Company shall grant the Holders certain registration rights with respect to the Registrable Securities (as defined below) on the terms and conditions set forth in this Agreement.</w:t>
      </w:r>
    </w:p>
    <w:p>
      <w:pPr>
        <w:spacing w:after="0" w:line="177" w:lineRule="exact"/>
        <w:rPr>
          <w:sz w:val="20"/>
          <w:szCs w:val="20"/>
          <w:color w:val="auto"/>
        </w:rPr>
      </w:pPr>
    </w:p>
    <w:p>
      <w:pPr>
        <w:ind w:right="460" w:firstLine="320"/>
        <w:spacing w:after="0" w:line="312" w:lineRule="auto"/>
        <w:rPr>
          <w:sz w:val="20"/>
          <w:szCs w:val="20"/>
          <w:color w:val="auto"/>
        </w:rPr>
      </w:pPr>
      <w:r>
        <w:rPr>
          <w:rFonts w:ascii="Times New Roman" w:cs="Times New Roman" w:eastAsia="Times New Roman" w:hAnsi="Times New Roman"/>
          <w:sz w:val="17"/>
          <w:szCs w:val="17"/>
          <w:b w:val="1"/>
          <w:bCs w:val="1"/>
          <w:color w:val="auto"/>
        </w:rPr>
        <w:t>NOW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THEREFORE</w:t>
      </w:r>
      <w:r>
        <w:rPr>
          <w:rFonts w:ascii="Times New Roman" w:cs="Times New Roman" w:eastAsia="Times New Roman" w:hAnsi="Times New Roman"/>
          <w:sz w:val="17"/>
          <w:szCs w:val="17"/>
          <w:color w:val="auto"/>
        </w:rPr>
        <w:t>, in consideration of the representations, covenants and agreements contained herein, and certain other good and valuable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consideration, the receipt and sufficiency of which are hereby acknowledged, the parties hereto, intending to be legally bound, hereby agree as follows: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terms defined in this </w:t>
      </w:r>
      <w:r>
        <w:rPr>
          <w:rFonts w:ascii="Times New Roman" w:cs="Times New Roman" w:eastAsia="Times New Roman" w:hAnsi="Times New Roman"/>
          <w:sz w:val="18"/>
          <w:szCs w:val="18"/>
          <w:i w:val="1"/>
          <w:iCs w:val="1"/>
          <w:u w:val="single" w:color="auto"/>
          <w:color w:val="auto"/>
        </w:rPr>
        <w:t>Article I</w:t>
      </w:r>
      <w:r>
        <w:rPr>
          <w:rFonts w:ascii="Times New Roman" w:cs="Times New Roman" w:eastAsia="Times New Roman" w:hAnsi="Times New Roman"/>
          <w:sz w:val="18"/>
          <w:szCs w:val="18"/>
          <w:color w:val="auto"/>
        </w:rPr>
        <w:t xml:space="preserve"> shall, for all purposes of this Agreement, have the respective meanings set forth below:</w:t>
      </w:r>
    </w:p>
    <w:p>
      <w:pPr>
        <w:spacing w:after="0" w:line="218" w:lineRule="exact"/>
        <w:rPr>
          <w:sz w:val="20"/>
          <w:szCs w:val="20"/>
          <w:color w:val="auto"/>
        </w:rPr>
      </w:pPr>
    </w:p>
    <w:p>
      <w:pPr>
        <w:ind w:right="40" w:firstLine="3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xml:space="preserve">” shall mean any public disclosure of material non-public information, which disclosure, in the good faith judgment of the chief executive officer or chief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or was effective, and (iii) the Company has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business purpose for not making such information public.</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79" w:name="page180"/>
    <w:bookmarkEnd w:id="179"/>
    <w:p>
      <w:pPr>
        <w:ind w:right="84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Action</w:t>
      </w:r>
      <w:r>
        <w:rPr>
          <w:rFonts w:ascii="Times New Roman" w:cs="Times New Roman" w:eastAsia="Times New Roman" w:hAnsi="Times New Roman"/>
          <w:sz w:val="18"/>
          <w:szCs w:val="18"/>
          <w:color w:val="auto"/>
        </w:rPr>
        <w:t>” means any claim, charge, action, suit, complaint, grievance, audit, investigation, inquiry, assessment, arbitration or legal, judicial or administrative proceeding (whether at law or in equity).</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 Trade</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subsection 2.6.1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have the meaning given in the Recitals hereto.</w:t>
      </w:r>
    </w:p>
    <w:p>
      <w:pPr>
        <w:spacing w:after="0" w:line="220" w:lineRule="exact"/>
        <w:rPr>
          <w:sz w:val="20"/>
          <w:szCs w:val="20"/>
          <w:color w:val="auto"/>
        </w:rPr>
      </w:pPr>
    </w:p>
    <w:p>
      <w:pPr>
        <w:ind w:right="4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a Saturday, a Sunday or other day on which commercial banks in New York, New York are authorized or required by applicable law to close.</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have the meaning given in the Merger Agreement.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U.S. Securities and Exchange Commission.</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mean the Company’s Common Stock, with a par value of $0.0001 per share.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given in the Recitals hereto.</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6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shall mean either (i) any Holder or Holders who, in the aggregate, hold at least a majority of the Registrable Securities issued to the Sponsor or (ii) one or more TriSalus Holders holding at least a majority-in-interest of Registrable Securities held by TriSalus Holders.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Agreement</w:t>
      </w:r>
      <w:r>
        <w:rPr>
          <w:rFonts w:ascii="Times New Roman" w:cs="Times New Roman" w:eastAsia="Times New Roman" w:hAnsi="Times New Roman"/>
          <w:sz w:val="18"/>
          <w:szCs w:val="18"/>
          <w:color w:val="auto"/>
        </w:rPr>
        <w:t>” shall have the meaning given in the Recitals hereto.</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shall mean the 4,062,500 shares of MedTech’s Class B common stock, par value $0.0001 per share, issued to the Sponsor in a private placement pursuant to the Subscription Agreement that are not forfeited at Closing and not subsequently forfeited by the Sponsor as described in the Sponsor Support Agreement.</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4.1.2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shall have the meaning given in Section 2.5.</w:t>
      </w:r>
    </w:p>
    <w:p>
      <w:pPr>
        <w:spacing w:after="0" w:line="220" w:lineRule="exact"/>
        <w:rPr>
          <w:sz w:val="20"/>
          <w:szCs w:val="20"/>
          <w:color w:val="auto"/>
        </w:rPr>
      </w:pPr>
    </w:p>
    <w:p>
      <w:pPr>
        <w:ind w:right="40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shall mean any lock-up period with respect to the Registrable Securities included in the Company’s governing documents or any agreements between a Holder and the Company or any of the Company’s subsidiaries.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shall have the meaning given in the Recitals hereto.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80" w:name="page181"/>
    <w:bookmarkEnd w:id="180"/>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Takedown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60" w:firstLine="32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Opt-Out Requests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Coordinated Offering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subsection 2.6.1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60" w:firstLine="3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xml:space="preserve">” means, in the case of any Holder, a person to whom, or entity to which, a Holder may transfer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transfer does not violate the Company’s governing documents, or any agreements between such Holder and the Company or any of the Company’s subsidiaries, or this Agreement, and (b) such transferee shall only be a Permitted Transferee if and to the extent the transferor designates the transferee as a Permitted Transferee entitled to rights hereunder pursuant to </w:t>
      </w:r>
      <w:r>
        <w:rPr>
          <w:rFonts w:ascii="Times New Roman" w:cs="Times New Roman" w:eastAsia="Times New Roman" w:hAnsi="Times New Roman"/>
          <w:sz w:val="18"/>
          <w:szCs w:val="18"/>
          <w:u w:val="single" w:color="auto"/>
          <w:color w:val="auto"/>
        </w:rPr>
        <w:t>subsection 5.2.3</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6" w:lineRule="exact"/>
        <w:rPr>
          <w:sz w:val="20"/>
          <w:szCs w:val="20"/>
          <w:color w:val="auto"/>
        </w:rPr>
      </w:pPr>
    </w:p>
    <w:p>
      <w:pPr>
        <w:jc w:val="both"/>
        <w:ind w:right="140" w:firstLine="32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Additional Holder</w:t>
      </w:r>
      <w:r>
        <w:rPr>
          <w:rFonts w:ascii="Times New Roman" w:cs="Times New Roman" w:eastAsia="Times New Roman" w:hAnsi="Times New Roman"/>
          <w:sz w:val="18"/>
          <w:szCs w:val="18"/>
          <w:color w:val="auto"/>
        </w:rPr>
        <w:t>” shall mean any stockholder of the Company that is a director or officer of the Company or any other stockholder of the Company that is approved to become a “Holder” under this Agreement by the Holders holding a majority of Registrable Securities then outstanding (such approval not to be unreasonably withheld, conditioned or delayed).</w:t>
      </w:r>
    </w:p>
    <w:p>
      <w:pPr>
        <w:spacing w:after="0" w:line="171" w:lineRule="exact"/>
        <w:rPr>
          <w:sz w:val="20"/>
          <w:szCs w:val="20"/>
          <w:color w:val="auto"/>
        </w:rPr>
      </w:pPr>
    </w:p>
    <w:p>
      <w:pPr>
        <w:ind w:right="120" w:firstLine="3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Security</w:t>
      </w:r>
      <w:r>
        <w:rPr>
          <w:rFonts w:ascii="Times New Roman" w:cs="Times New Roman" w:eastAsia="Times New Roman" w:hAnsi="Times New Roman"/>
          <w:sz w:val="18"/>
          <w:szCs w:val="18"/>
          <w:color w:val="auto"/>
        </w:rPr>
        <w:t>” shall mean (i) any outstanding shares of Common Stock or any warrants to purchase shares of Common Stock and (ii) shares of Common Stock issued or issuable upon the exercise or conversion of any warrants or equity awards of the Company, in each case held by a Holder immediately following the Closing (including any warrants or equity awards distributable pursuant to the Merger Agreement, any Founder Shares, any warrants issued or issuable in connection with MedTech’s initial public offering or concurrent private placement and any Working Capital Warrants) and</w:t>
      </w:r>
    </w:p>
    <w:p>
      <w:pPr>
        <w:spacing w:after="0" w:line="1" w:lineRule="exact"/>
        <w:rPr>
          <w:sz w:val="20"/>
          <w:szCs w:val="20"/>
          <w:color w:val="auto"/>
        </w:rPr>
      </w:pPr>
    </w:p>
    <w:p>
      <w:pPr>
        <w:ind w:firstLine="7"/>
        <w:spacing w:after="0" w:line="248" w:lineRule="auto"/>
        <w:tabs>
          <w:tab w:leader="none" w:pos="31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equity security of the Company issued or issuable with respect to any such securities by way of a stock dividend, share capitalization or share sub-division or in connection with a reclassification, recapitalization, merger, consolidation, spin-off, reorganization or similar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or book entry provisions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without limitation as to volume and manner of sale or public information requirements; or (e) such securities have been sold to, or through, a broker, dealer or underwriter in a public distribution or other public securities transaction.</w:t>
      </w:r>
    </w:p>
    <w:p>
      <w:pPr>
        <w:spacing w:after="0" w:line="186"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shall mean a registration, including an Underwritten Shelf Takedown,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81" w:name="page182"/>
    <w:bookmarkEnd w:id="181"/>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shall mean the out-of-pocket expenses of a Registration, including the following:</w:t>
      </w:r>
    </w:p>
    <w:p>
      <w:pPr>
        <w:spacing w:after="0" w:line="224" w:lineRule="exact"/>
        <w:rPr>
          <w:sz w:val="20"/>
          <w:szCs w:val="20"/>
          <w:color w:val="auto"/>
        </w:rPr>
      </w:pPr>
    </w:p>
    <w:p>
      <w:pPr>
        <w:ind w:right="560" w:firstLine="1288"/>
        <w:spacing w:after="0" w:line="277" w:lineRule="auto"/>
        <w:tabs>
          <w:tab w:leader="none" w:pos="157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62" w:lineRule="exact"/>
        <w:rPr>
          <w:rFonts w:ascii="Times New Roman" w:cs="Times New Roman" w:eastAsia="Times New Roman" w:hAnsi="Times New Roman"/>
          <w:sz w:val="18"/>
          <w:szCs w:val="18"/>
          <w:color w:val="auto"/>
        </w:rPr>
      </w:pPr>
    </w:p>
    <w:p>
      <w:pPr>
        <w:ind w:right="460" w:firstLine="1288"/>
        <w:spacing w:after="0" w:line="277" w:lineRule="auto"/>
        <w:tabs>
          <w:tab w:leader="none" w:pos="156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2" w:lineRule="exact"/>
        <w:rPr>
          <w:rFonts w:ascii="Times New Roman" w:cs="Times New Roman" w:eastAsia="Times New Roman" w:hAnsi="Times New Roman"/>
          <w:sz w:val="18"/>
          <w:szCs w:val="18"/>
          <w:color w:val="auto"/>
        </w:rPr>
      </w:pPr>
    </w:p>
    <w:p>
      <w:pPr>
        <w:ind w:left="1560" w:hanging="272"/>
        <w:spacing w:after="0"/>
        <w:tabs>
          <w:tab w:leader="none" w:pos="15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printing, messenger, telephone and delivery expenses;</w:t>
      </w:r>
    </w:p>
    <w:p>
      <w:pPr>
        <w:spacing w:after="0" w:line="219"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19" w:lineRule="exact"/>
        <w:rPr>
          <w:rFonts w:ascii="Times New Roman" w:cs="Times New Roman" w:eastAsia="Times New Roman" w:hAnsi="Times New Roman"/>
          <w:sz w:val="18"/>
          <w:szCs w:val="18"/>
          <w:color w:val="auto"/>
        </w:rPr>
      </w:pPr>
    </w:p>
    <w:p>
      <w:pPr>
        <w:ind w:right="40" w:firstLine="1288"/>
        <w:spacing w:after="0" w:line="277" w:lineRule="auto"/>
        <w:tabs>
          <w:tab w:leader="none" w:pos="155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w:t>
      </w:r>
    </w:p>
    <w:p>
      <w:pPr>
        <w:spacing w:after="0" w:line="162" w:lineRule="exact"/>
        <w:rPr>
          <w:rFonts w:ascii="Times New Roman" w:cs="Times New Roman" w:eastAsia="Times New Roman" w:hAnsi="Times New Roman"/>
          <w:sz w:val="18"/>
          <w:szCs w:val="18"/>
          <w:color w:val="auto"/>
        </w:rPr>
      </w:pPr>
    </w:p>
    <w:p>
      <w:pPr>
        <w:ind w:firstLine="1288"/>
        <w:spacing w:after="0" w:line="277" w:lineRule="auto"/>
        <w:tabs>
          <w:tab w:leader="none" w:pos="154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the Company relating to analyst and investor presentations or any “road show” undertaken in connection with the Registration and/or marketing of the Registrable Securities; and</w:t>
      </w:r>
    </w:p>
    <w:p>
      <w:pPr>
        <w:spacing w:after="0" w:line="162" w:lineRule="exact"/>
        <w:rPr>
          <w:rFonts w:ascii="Times New Roman" w:cs="Times New Roman" w:eastAsia="Times New Roman" w:hAnsi="Times New Roman"/>
          <w:sz w:val="18"/>
          <w:szCs w:val="18"/>
          <w:color w:val="auto"/>
        </w:rPr>
      </w:pPr>
    </w:p>
    <w:p>
      <w:pPr>
        <w:ind w:firstLine="1288"/>
        <w:spacing w:after="0" w:line="262" w:lineRule="auto"/>
        <w:tabs>
          <w:tab w:leader="none" w:pos="157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up to $35,000 of one (1) legal counsel selected by the majority-in-interest of the Demanding Holders initiating a Demand Registration to be registered for offer and sale in the applicable Registration or majority-in-interest of the Takedown Demanding Holders initiating an Underwritten Shelf Takedown.</w:t>
      </w:r>
    </w:p>
    <w:p>
      <w:pPr>
        <w:spacing w:after="0" w:line="172" w:lineRule="exact"/>
        <w:rPr>
          <w:sz w:val="20"/>
          <w:szCs w:val="20"/>
          <w:color w:val="auto"/>
        </w:rPr>
      </w:pPr>
    </w:p>
    <w:p>
      <w:pPr>
        <w:ind w:right="220" w:firstLine="32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shall mean the Form S-1 Shelf, the Form S-3 Shelf or any Subsequent Shelf Registration Statement, as the case may be.</w:t>
      </w:r>
    </w:p>
    <w:p>
      <w:pPr>
        <w:spacing w:after="0" w:line="220" w:lineRule="exact"/>
        <w:rPr>
          <w:sz w:val="20"/>
          <w:szCs w:val="20"/>
          <w:color w:val="auto"/>
        </w:rPr>
      </w:pPr>
    </w:p>
    <w:p>
      <w:pPr>
        <w:ind w:right="24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Registration</w:t>
      </w:r>
      <w:r>
        <w:rPr>
          <w:rFonts w:ascii="Times New Roman" w:cs="Times New Roman" w:eastAsia="Times New Roman" w:hAnsi="Times New Roman"/>
          <w:sz w:val="18"/>
          <w:szCs w:val="18"/>
          <w:color w:val="auto"/>
        </w:rPr>
        <w:t>” shall mean a Registration of Registrable Securities pursuant to a registration statement filed with the Commission in accordance with and pursuant to Rule 415 promulgated under the Securities Act (or any successor rule then in effect).</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shall have the meaning given in the Preamble hereto.</w:t>
      </w:r>
    </w:p>
    <w:p>
      <w:pPr>
        <w:spacing w:after="0" w:line="220" w:lineRule="exact"/>
        <w:rPr>
          <w:sz w:val="20"/>
          <w:szCs w:val="20"/>
          <w:color w:val="auto"/>
        </w:rPr>
      </w:pPr>
    </w:p>
    <w:p>
      <w:pPr>
        <w:ind w:right="58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Support Agreement</w:t>
      </w:r>
      <w:r>
        <w:rPr>
          <w:rFonts w:ascii="Times New Roman" w:cs="Times New Roman" w:eastAsia="Times New Roman" w:hAnsi="Times New Roman"/>
          <w:sz w:val="18"/>
          <w:szCs w:val="18"/>
          <w:color w:val="auto"/>
        </w:rPr>
        <w:t>” shall mean that certain Sponsor Support Agreement, dated as of November 11, 2022, by and among the Sponsor, MedTech and the Company.</w:t>
      </w:r>
    </w:p>
    <w:p>
      <w:pPr>
        <w:spacing w:after="0" w:line="156" w:lineRule="exact"/>
        <w:rPr>
          <w:sz w:val="20"/>
          <w:szCs w:val="20"/>
          <w:color w:val="auto"/>
        </w:rPr>
      </w:pPr>
    </w:p>
    <w:p>
      <w:pPr>
        <w:ind w:right="58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Subscription Agreement</w:t>
      </w:r>
      <w:r>
        <w:rPr>
          <w:rFonts w:ascii="Times New Roman" w:cs="Times New Roman" w:eastAsia="Times New Roman" w:hAnsi="Times New Roman"/>
          <w:sz w:val="18"/>
          <w:szCs w:val="18"/>
          <w:color w:val="auto"/>
        </w:rPr>
        <w:t>” shall mean that certain Securities Subscription Agreement, dated as of September 11, 2020, between the Sponsor and MedTech.</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Takedown 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Takedown 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82" w:name="page183"/>
    <w:bookmarkEnd w:id="182"/>
    <w:p>
      <w:pPr>
        <w:ind w:right="18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6" w:lineRule="exact"/>
        <w:rPr>
          <w:sz w:val="20"/>
          <w:szCs w:val="20"/>
          <w:color w:val="auto"/>
        </w:rPr>
      </w:pPr>
    </w:p>
    <w:p>
      <w:pPr>
        <w:ind w:right="16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54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Capital Warrants</w:t>
      </w:r>
      <w:r>
        <w:rPr>
          <w:rFonts w:ascii="Times New Roman" w:cs="Times New Roman" w:eastAsia="Times New Roman" w:hAnsi="Times New Roman"/>
          <w:sz w:val="18"/>
          <w:szCs w:val="18"/>
          <w:color w:val="auto"/>
        </w:rPr>
        <w:t>” shall mean warrants to purchase Common Stock issuable upon the conversion of loans made to the Company by the Sponsor, an affiliate of the Sponsor, or an officer or director of the Company.</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Interpretive Provisions</w:t>
      </w:r>
      <w:r>
        <w:rPr>
          <w:rFonts w:ascii="Times New Roman" w:cs="Times New Roman" w:eastAsia="Times New Roman" w:hAnsi="Times New Roman"/>
          <w:sz w:val="17"/>
          <w:szCs w:val="17"/>
          <w:color w:val="auto"/>
        </w:rPr>
        <w:t>. For all purposes of this Agreement, except as otherwise provided in this Agreement or unless the context otherwise requires:</w:t>
      </w:r>
    </w:p>
    <w:p>
      <w:pPr>
        <w:spacing w:after="0" w:line="2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1.2.1 the singular shall include the plural, and the plural shall include the singular, unless the context clearly prohibits that construction.</w:t>
      </w:r>
    </w:p>
    <w:p>
      <w:pPr>
        <w:spacing w:after="0" w:line="220" w:lineRule="exact"/>
        <w:rPr>
          <w:sz w:val="20"/>
          <w:szCs w:val="20"/>
          <w:color w:val="auto"/>
        </w:rPr>
      </w:pPr>
    </w:p>
    <w:p>
      <w:pPr>
        <w:ind w:right="140" w:firstLine="961"/>
        <w:spacing w:after="0" w:line="277" w:lineRule="auto"/>
        <w:rPr>
          <w:sz w:val="20"/>
          <w:szCs w:val="20"/>
          <w:color w:val="auto"/>
        </w:rPr>
      </w:pPr>
      <w:r>
        <w:rPr>
          <w:rFonts w:ascii="Times New Roman" w:cs="Times New Roman" w:eastAsia="Times New Roman" w:hAnsi="Times New Roman"/>
          <w:sz w:val="18"/>
          <w:szCs w:val="18"/>
          <w:color w:val="auto"/>
        </w:rPr>
        <w:t>1.2.2 the words “hereof,” “herein,” “hereunder” and words of similar import, when used in this Agreement, refer to this Agreement as a whole and not to any particular provision of this Agreement.</w:t>
      </w:r>
    </w:p>
    <w:p>
      <w:pPr>
        <w:spacing w:after="0" w:line="1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1.2.3 references in this Agreement to any law shall be deemed also to refer to such law, and all rules and regulations promulgated thereunder.</w:t>
      </w:r>
    </w:p>
    <w:p>
      <w:pPr>
        <w:spacing w:after="0" w:line="2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1.2.4 whenever the words “include,” “includes” or “including” are used in this Agreement, they shall mean “without limitation.”</w:t>
      </w:r>
    </w:p>
    <w:p>
      <w:pPr>
        <w:spacing w:after="0" w:line="2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1.2.5 the captions and headings of this Agreement are for convenience of reference only and shall not affect the interpretation of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1.2.6 pronouns of any gender or neuter shall include, as appropriate, the other pronoun forms.</w:t>
      </w:r>
    </w:p>
    <w:p>
      <w:pPr>
        <w:spacing w:after="0" w:line="220" w:lineRule="exact"/>
        <w:rPr>
          <w:sz w:val="20"/>
          <w:szCs w:val="20"/>
          <w:color w:val="auto"/>
        </w:rPr>
      </w:pPr>
    </w:p>
    <w:p>
      <w:pPr>
        <w:ind w:right="180" w:firstLine="961"/>
        <w:spacing w:after="0" w:line="277" w:lineRule="auto"/>
        <w:rPr>
          <w:sz w:val="20"/>
          <w:szCs w:val="20"/>
          <w:color w:val="auto"/>
        </w:rPr>
      </w:pPr>
      <w:r>
        <w:rPr>
          <w:rFonts w:ascii="Times New Roman" w:cs="Times New Roman" w:eastAsia="Times New Roman" w:hAnsi="Times New Roman"/>
          <w:sz w:val="18"/>
          <w:szCs w:val="18"/>
          <w:color w:val="auto"/>
        </w:rPr>
        <w:t>1.2.7 the word “or” shall be construed to mean “and/or” and the words “neither,” “nor,” “any,” “either” and “or” shall not be exclusive, unless the context clearly prohibits that construction.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REGISTRATIONS</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961"/>
        <w:spacing w:after="0" w:line="249"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subsections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at any time and from time to time on or after the date the Company consummates the Business Combination, any Demanding Holder may make a written demand for Registration of all or part of their Registrable Securities, which written demand shall describe the amount and type of securities to be included in such Registration and the intended method(s) of distribution thereof separate from a Shelf Registration or Underwritten Shelf Takedown (such written demand a “</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The Company shall, within five (5) Business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i w:val="1"/>
          <w:iCs w:val="1"/>
          <w:color w:val="auto"/>
        </w:rPr>
        <w:t>Requesting Holder</w:t>
      </w:r>
      <w:r>
        <w:rPr>
          <w:rFonts w:ascii="Times New Roman" w:cs="Times New Roman" w:eastAsia="Times New Roman" w:hAnsi="Times New Roman"/>
          <w:sz w:val="18"/>
          <w:szCs w:val="18"/>
          <w:color w:val="auto"/>
        </w:rPr>
        <w:t>”)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use commercially reasonable efforts to file, as soon thereafter as reasonably practicable, but not more than forty-five (45) days after the Company’s receipt of the Demand Registration, a Registration Statement on Form S-1 or any similar long-form registration statement that may be available at such time (“</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xml:space="preserve">”) for the Registration of all Registrable Securities requested by the Demanding Holders and Requesting Holders pursuant to such Demand Registration, and use commercially reasonable efforts to cause such Form S-1 to be declared effective as soon as reasonably practicable after its initial filing. Under no circumstances shall the Company be obligated to effect more than an aggregate of one (1) Registration per Demanding Holder pursuant to a Demand Registration under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with respect to any or all Registrable Securities. Notwithstanding anything to the contrary herein, to the extent there is an active Form S-3 Shelf covering a Holder’s or Holders’ Registrable Securities,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be inapplicable and any request by such Holder or Holders to conduct an Underwritten Offering shall follow the procedures of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 xml:space="preserve"> herein and shall be counted as an Underwritten Shelf Takedown.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3" w:name="page184"/>
    <w:bookmarkEnd w:id="183"/>
    <w:p>
      <w:pPr>
        <w:ind w:firstLine="961"/>
        <w:spacing w:after="0" w:line="250"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then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after the removal, recission or other termination of such stop order or injunction, of such election;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90" w:lineRule="exact"/>
        <w:rPr>
          <w:sz w:val="20"/>
          <w:szCs w:val="20"/>
          <w:color w:val="auto"/>
        </w:rPr>
      </w:pPr>
    </w:p>
    <w:p>
      <w:pPr>
        <w:ind w:right="100" w:firstLine="961"/>
        <w:spacing w:after="0" w:line="251"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subsections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at any time and from time to time on or after the date the Company consummates the Business Combination, if a majority in interest of the Demanding Holders so advise the Company as part of their Demand Registration that the offering of the Registrable Securities pursuant to such Demand Registration shall be in the form of an Underwritten Offering, then the right of such Demanding Holders 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majority in interest of the Demanding Holders initiating the Demand Registration and shall execute a customary lock-up agreement in favor of the Underwriters (in each case on substantially the same terms and conditions as all such Holders participating in such Underwritten Offering).</w:t>
      </w:r>
    </w:p>
    <w:p>
      <w:pPr>
        <w:spacing w:after="0" w:line="187" w:lineRule="exact"/>
        <w:rPr>
          <w:sz w:val="20"/>
          <w:szCs w:val="20"/>
          <w:color w:val="auto"/>
        </w:rPr>
      </w:pPr>
    </w:p>
    <w:p>
      <w:pPr>
        <w:ind w:right="20" w:firstLine="961"/>
        <w:spacing w:after="0" w:line="249"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i w:val="1"/>
          <w:iCs w:val="1"/>
          <w:color w:val="auto"/>
        </w:rPr>
        <w:t>Maximum Number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that can be sold without exceeding the Maximum Number of Securities; (ii) second, to the extent that the Maximum Number of Securities has not been reached under the foregoing clause (i), the Common Stock or other equity securities that the Company desires to sell, which can be sold without exceeding the Maximum Number of Securities; and (iii) third, to the extent that the Maximum Number of Securities has not been reached under the foregoing clauses (i) and (ii), the Registrable Securities of Holders (pro rata, based on the respective number of Registrable Securities that each Holder has requested be included in such Underwritten Registration)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4" w:name="page185"/>
    <w:bookmarkEnd w:id="184"/>
    <w:p>
      <w:pPr>
        <w:ind w:right="140" w:firstLine="961"/>
        <w:spacing w:after="0" w:line="253"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 Demanding Holder shall have the right to withdraw all or any portion of its Registrable Securities included in a Demand Registration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for any or no reason whatsoever upon written notification to the Company and the Underwriter or Underwriters (if any) of their intention to withdraw from such Registration prior to the effectiveness of the Registration Statement filed with the Commission pursuant to such Demand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withdrawn amount shall still be considered a Demand Registration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Notwithstanding anything to the contrary in this Agreement, 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961"/>
        <w:spacing w:after="0" w:line="263"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Piggyback Rights</w:t>
      </w:r>
      <w:r>
        <w:rPr>
          <w:rFonts w:ascii="Times New Roman" w:cs="Times New Roman" w:eastAsia="Times New Roman" w:hAnsi="Times New Roman"/>
          <w:sz w:val="17"/>
          <w:szCs w:val="17"/>
          <w:color w:val="auto"/>
        </w:rPr>
        <w:t xml:space="preserve">. If, at any time on or after the date the Company consummates the Business Combination, the Company proposes to file a Registration Statement on Form S-3 under the Securities Act with respect to an offering of equity securities of the Company, or securities or other obligations exercisable or exchangeable for, or convertible into equity securities of the Company, for its own account or for the account of stockholders of the Company (or by the Company and by the stockholders of the Company including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subsection 2.3.4</w:t>
      </w:r>
      <w:r>
        <w:rPr>
          <w:rFonts w:ascii="Times New Roman" w:cs="Times New Roman" w:eastAsia="Times New Roman" w:hAnsi="Times New Roman"/>
          <w:sz w:val="17"/>
          <w:szCs w:val="17"/>
          <w:color w:val="auto"/>
        </w:rPr>
        <w:t xml:space="preserve"> hereof), other than a Registration Statement (or any registered offering with respect thereto) (i) filed in connection with any employee share option or other benefit plan on Form S-8 (or other successor registration statement form thereof), (ii) pursuant to a Registration Statement on Form S-4 (or other successor registration statement form thereof or similar form that relates to a transaction subject to Rule 145 under the Securities Act or any successor rule thereto), (iii) for an offering of debt that is convertible into equity securities of the Company, (iv) for an exchange offer or offering of securities solely to the Company’s existing stockholders, (v) for a dividend reinvestment plan, (vi) for a rights offering, (vii) for the exercise of any warrants, (viii) for a Block Trade, (ix) for an equity line of credit, or (x) for an at-the-market offering of securities, then the Company shall give written notice of such proposed filing to all of the Holders of Registrable Securities and the holders of other equity securities that the Company is obligated to register in a Registration (collectively, the “</w:t>
      </w:r>
      <w:r>
        <w:rPr>
          <w:rFonts w:ascii="Times New Roman" w:cs="Times New Roman" w:eastAsia="Times New Roman" w:hAnsi="Times New Roman"/>
          <w:sz w:val="17"/>
          <w:szCs w:val="17"/>
          <w:b w:val="1"/>
          <w:bCs w:val="1"/>
          <w:i w:val="1"/>
          <w:iCs w:val="1"/>
          <w:color w:val="auto"/>
        </w:rPr>
        <w:t>Other Holders</w:t>
      </w:r>
      <w:r>
        <w:rPr>
          <w:rFonts w:ascii="Times New Roman" w:cs="Times New Roman" w:eastAsia="Times New Roman" w:hAnsi="Times New Roman"/>
          <w:sz w:val="17"/>
          <w:szCs w:val="17"/>
          <w:color w:val="auto"/>
        </w:rPr>
        <w:t>”) pursuant to separate written contractual piggy-back registration rights, as soon as reasonably practicable but not less than five (5) Business Days before the anticipated filing date of such Registration Statement, or, in the case of an Underwritten Offering pursuant to a Shelf Registration, the anticipated filing of the applicable “red herring” prospectus or prospectus supplement, which notice shall (A) describe the amount and type of securities to be included in such offering, the intended method(s) of distribution, and the name of the proposed managing Underwriter or Underwriters, if any and if known, in such offering, and (B) offer to all of the Holders of Registrable Securities the opportunity to include in such registered offering such number of Registrable Securities as such Holders may request in writing within five (5) days after receipt of such written notice (such Registration a “</w:t>
      </w:r>
      <w:r>
        <w:rPr>
          <w:rFonts w:ascii="Times New Roman" w:cs="Times New Roman" w:eastAsia="Times New Roman" w:hAnsi="Times New Roman"/>
          <w:sz w:val="17"/>
          <w:szCs w:val="17"/>
          <w:b w:val="1"/>
          <w:bCs w:val="1"/>
          <w:i w:val="1"/>
          <w:iCs w:val="1"/>
          <w:color w:val="auto"/>
        </w:rPr>
        <w:t>Piggyback 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such Holder agrees that the fact that such a notice has been delivered shall constitute material non-public confidential information. Subject to </w:t>
      </w:r>
      <w:r>
        <w:rPr>
          <w:rFonts w:ascii="Times New Roman" w:cs="Times New Roman" w:eastAsia="Times New Roman" w:hAnsi="Times New Roman"/>
          <w:sz w:val="17"/>
          <w:szCs w:val="17"/>
          <w:u w:val="single" w:color="auto"/>
          <w:color w:val="auto"/>
        </w:rPr>
        <w:t>subsection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2.2.2</w:t>
      </w:r>
      <w:r>
        <w:rPr>
          <w:rFonts w:ascii="Times New Roman" w:cs="Times New Roman" w:eastAsia="Times New Roman" w:hAnsi="Times New Roman"/>
          <w:sz w:val="17"/>
          <w:szCs w:val="17"/>
          <w:color w:val="auto"/>
        </w:rPr>
        <w:t xml:space="preserve">, the Company shall, in good faith, cause such Registrable Securities and the securities of any Other Holders, to be included in such Piggyback Registration and shall use commercially reasonable efforts to cause the managing Underwriter or Underwriters of a proposed Underwritten Offering to permit the Registrable Securities requested by the Holders or Other Holders, as applicable, pursuant to this </w:t>
      </w:r>
      <w:r>
        <w:rPr>
          <w:rFonts w:ascii="Times New Roman" w:cs="Times New Roman" w:eastAsia="Times New Roman" w:hAnsi="Times New Roman"/>
          <w:sz w:val="17"/>
          <w:szCs w:val="17"/>
          <w:u w:val="single" w:color="auto"/>
          <w:color w:val="auto"/>
        </w:rPr>
        <w:t>subsection 2.2.1</w:t>
      </w:r>
      <w:r>
        <w:rPr>
          <w:rFonts w:ascii="Times New Roman" w:cs="Times New Roman" w:eastAsia="Times New Roman" w:hAnsi="Times New Roman"/>
          <w:sz w:val="17"/>
          <w:szCs w:val="17"/>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7"/>
          <w:szCs w:val="17"/>
          <w:u w:val="single" w:color="auto"/>
          <w:color w:val="auto"/>
        </w:rPr>
        <w:t>subsection 2.2.1</w:t>
      </w:r>
      <w:r>
        <w:rPr>
          <w:rFonts w:ascii="Times New Roman" w:cs="Times New Roman" w:eastAsia="Times New Roman" w:hAnsi="Times New Roman"/>
          <w:sz w:val="17"/>
          <w:szCs w:val="17"/>
          <w:color w:val="auto"/>
        </w:rPr>
        <w:t xml:space="preserve"> shall enter into an underwriting agreement in customary form with the Underwriter or Underwriters selected for such Underwritten Offering by the Company and shall execute a customary lock-up agreement in favor of the Underwriter or Underwriters (in each case on substantially the same terms and conditions as all such Holders participating in such Underwritten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5" w:name="page186"/>
    <w:bookmarkEnd w:id="185"/>
    <w:p>
      <w:pPr>
        <w:ind w:right="40" w:firstLine="961"/>
        <w:spacing w:after="0" w:line="252"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or other equity securities that the Company desires to sell, taken together with (i) the shares of Common Stock, if any, as to which Registration has been demanded pursuant to separate written contractual arrangements with any Other Holders, (ii)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(iii) the shares of Common Stock, if any, as to which Registration has been requested pursuant to separate written contractual piggy-back registration rights of Other Holders, exceeds the Maximum Number of Securities, then:</w:t>
      </w:r>
    </w:p>
    <w:p>
      <w:pPr>
        <w:spacing w:after="0" w:line="187" w:lineRule="exact"/>
        <w:rPr>
          <w:sz w:val="20"/>
          <w:szCs w:val="20"/>
          <w:color w:val="auto"/>
        </w:rPr>
      </w:pPr>
    </w:p>
    <w:p>
      <w:pPr>
        <w:ind w:right="40" w:firstLine="1288"/>
        <w:spacing w:after="0" w:line="273" w:lineRule="auto"/>
        <w:tabs>
          <w:tab w:leader="none" w:pos="1523"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Registration is initiated and undertaken for the Company’s account, the Company shall include in any such Registration (i) first, the Common Stock or other equity securities that the Company desires to sell, which can be sold without exceeding the Maximum Number of Securities and;</w:t>
      </w:r>
    </w:p>
    <w:p>
      <w:pPr>
        <w:spacing w:after="0" w:line="1" w:lineRule="exact"/>
        <w:rPr>
          <w:rFonts w:ascii="Times New Roman" w:cs="Times New Roman" w:eastAsia="Times New Roman" w:hAnsi="Times New Roman"/>
          <w:sz w:val="17"/>
          <w:szCs w:val="17"/>
          <w:color w:val="auto"/>
        </w:rPr>
      </w:pPr>
    </w:p>
    <w:p>
      <w:pPr>
        <w:ind w:right="60" w:firstLine="7"/>
        <w:spacing w:after="0" w:line="249" w:lineRule="auto"/>
        <w:tabs>
          <w:tab w:leader="none" w:pos="26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that the Maximum Number of Securities has not been reached under the foregoing clause (i),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and the Common Stock, if any, as to which Registration has been requested by any Other Holders pursuant to separate written contractual piggy-back registration rights (pro rata based on the respective number of Registrable Securities or shares of Common Stock that such Holder or Other Holder, as applicable, has requested be included in such Piggyback Registration relative to the total number of Registrable Securities and shares of Common Stock that all Holders and Other Holders have requested be included in such Piggyback Registration), which can be sold without exceeding the Maximum Number of Securities;</w:t>
      </w:r>
    </w:p>
    <w:p>
      <w:pPr>
        <w:spacing w:after="0" w:line="186" w:lineRule="exact"/>
        <w:rPr>
          <w:rFonts w:ascii="Times New Roman" w:cs="Times New Roman" w:eastAsia="Times New Roman" w:hAnsi="Times New Roman"/>
          <w:sz w:val="18"/>
          <w:szCs w:val="18"/>
          <w:color w:val="auto"/>
        </w:rPr>
      </w:pPr>
    </w:p>
    <w:p>
      <w:pPr>
        <w:ind w:firstLine="1288"/>
        <w:spacing w:after="0" w:line="249" w:lineRule="auto"/>
        <w:tabs>
          <w:tab w:leader="none" w:pos="1533"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not initiated and undertaken for the Company’s account and is pursuant to a request by persons or entities other than the Holders of Registrable Securities, then the Company shall include in any such Registration (i) first, the Common Stock or other equity securities, if any, of such requesting persons or entities, other than the Holders of Registrable Securities, which can be sold without exceeding the Maximum Number of Securities; (ii)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(pro rata based on the respective number of Registrable Securities that such Holder has requested be included in such Piggyback Registration relative to the total number of Registrable Securities that all Holders have requested be included in such Piggyback Registration), which can be sold without exceeding the Maximum Number of Securities; (iii) third, to the extent that the Maximum Number of Securities has not been reached under the foregoing clauses (i) and (ii), the Common Stock or other equity securities that the Company desires to sell, which can be sold without exceeding the Maximum Number of Securities; and (iv) fourth, to the extent that the Maximum Number of Securities has not been reached under the foregoing clauses (i), (ii) and (iii), the Common Stock or other equity securities for the account of any other persons or entities that the Company is obligated to register pursuant to separate written contractual arrangements with such other person or entity (pro rata based on the shares of Common Stock that such other person or entity, as applicable, has requested be included in such Piggyback Registration relative to the total number of shares of Common Stock that such other persons or entities have requested be included in such Piggyback Registration), which can be sold without exceeding the Maximum Number of Securities.</w:t>
      </w:r>
    </w:p>
    <w:p>
      <w:pPr>
        <w:spacing w:after="0" w:line="196" w:lineRule="exact"/>
        <w:rPr>
          <w:sz w:val="20"/>
          <w:szCs w:val="20"/>
          <w:color w:val="auto"/>
        </w:rPr>
      </w:pPr>
    </w:p>
    <w:p>
      <w:pPr>
        <w:ind w:right="80" w:firstLine="961"/>
        <w:spacing w:after="0" w:line="251"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subsection 2.2.3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6" w:name="page187"/>
    <w:bookmarkEnd w:id="186"/>
    <w:p>
      <w:pPr>
        <w:jc w:val="both"/>
        <w:ind w:right="240" w:firstLine="961"/>
        <w:spacing w:after="0" w:line="26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or Underwritten Shelf Takedown effected under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Shelf Registrations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961"/>
        <w:spacing w:after="0" w:line="249"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Initial Shelf Registration</w:t>
      </w:r>
      <w:r>
        <w:rPr>
          <w:rFonts w:ascii="Times New Roman" w:cs="Times New Roman" w:eastAsia="Times New Roman" w:hAnsi="Times New Roman"/>
          <w:sz w:val="18"/>
          <w:szCs w:val="18"/>
          <w:color w:val="auto"/>
        </w:rPr>
        <w:t>. The Company shall file with the Commission within forty-five (45) days of the Closing, and use commercially reasonable efforts to cause to be declared effective as soon as reasonably practicable thereafter,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or, if the Company is eligible to use a Registration Statement on Form S-3, a Shelf Registration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in each case, covering the resale of all the Registrable Securities (determined as of two (2) Business Days prior to such filing) on a delayed or continuous basis. Such Shelf shall provide for the resale of the Registrable Securities included therein pursuant to any method or combination of methods legally available to, and requested by, any Holder named therein. The Company shall use its commercially reasonable efforts to maintain a Shelf in accordance with the terms of this Agreement, and shall use its commercially reasonable efforts to prepare and file with the Commission such amendments, including post-effective amendments, and supplements as may be necessary to keep a Shelf continuously effective, available for use and in compliance with the provisions of the Securities Act until such time as there are no longer any Registrable Securities, subject to Section 3.4 hereof. In the event the Company files a Form S-1 Shelf, the Company shall use its commercially reasonable efforts to convert the Form S-1 Shelf (and any Subsequent Shelf Registration) to a Form S-3 Shelf as soon as practicable after the Company is eligible to use Form S-3, or any similar short form registration. Notwithstanding anything to the contrary herein, to the extent there is an active Form S-3 Shelf under this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covering a Holder’s or Holders’ Registrable Securities, and such Holder or Holders qualify as Demanding Holders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wish to request an Underwritten Offering, such Underwritten Offering shall follow the procedures of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 The Company shall have the right to remove any persons no longer holding Registrable Securities from the Shelf or any other shelf registration statement by means of a post-effective amendment.</w:t>
      </w:r>
    </w:p>
    <w:p>
      <w:pPr>
        <w:spacing w:after="0" w:line="195" w:lineRule="exact"/>
        <w:rPr>
          <w:sz w:val="20"/>
          <w:szCs w:val="20"/>
          <w:color w:val="auto"/>
        </w:rPr>
      </w:pPr>
    </w:p>
    <w:p>
      <w:pPr>
        <w:ind w:right="40" w:firstLine="961"/>
        <w:spacing w:after="0" w:line="249"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Registrations on Form S-3</w:t>
      </w:r>
      <w:r>
        <w:rPr>
          <w:rFonts w:ascii="Times New Roman" w:cs="Times New Roman" w:eastAsia="Times New Roman" w:hAnsi="Times New Roman"/>
          <w:sz w:val="18"/>
          <w:szCs w:val="18"/>
          <w:color w:val="auto"/>
        </w:rPr>
        <w:t>. The Holders of Registrable Securities may, at any time and from time to time on or after the expiration of the Lock-up Period applicable to the Registrable Securities of a Holder, to the extent that its Registrable Securities are not covered by an effective Shelf,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or if the Company is a well-known seasoned issuer (as defined in Rule 405 under the Securities Act) on an automatic shelf registration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five (5) days after the receipt by the Holder of the notice from the Company. As soon as reasonably practicable thereafter, but not more than fifteen (15) days after the Company’s initial receipt of such written request for a Registration on Form S-3, the Company shall use commercially reasonable efforts to file a Form S-3 to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and shall use commercially reasonable efforts to cause such Form S-3 to be declared effective as soon as reasonably practicable after its initial filing;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obligated to effect a Registration pursuant to this </w:t>
      </w:r>
      <w:r>
        <w:rPr>
          <w:rFonts w:ascii="Times New Roman" w:cs="Times New Roman" w:eastAsia="Times New Roman" w:hAnsi="Times New Roman"/>
          <w:sz w:val="18"/>
          <w:szCs w:val="18"/>
          <w:u w:val="single" w:color="auto"/>
          <w:color w:val="auto"/>
        </w:rPr>
        <w:t>subsection 2.3.2</w:t>
      </w:r>
      <w:r>
        <w:rPr>
          <w:rFonts w:ascii="Times New Roman" w:cs="Times New Roman" w:eastAsia="Times New Roman" w:hAnsi="Times New Roman"/>
          <w:sz w:val="18"/>
          <w:szCs w:val="18"/>
          <w:color w:val="auto"/>
        </w:rPr>
        <w:t xml:space="preserve"> hereof only if (i) Form S-3 is available for such Registration; and (ii) the Holders of Registrable Securities, together with the Holders of any other equity securities of the Company entitled to inclusion in such Registration, propose to sell Registrable Securities and such other equity securities (if any) with a total offering price to the public reasonably expected to exceed, in the aggregate, $20 million.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7" w:name="page188"/>
    <w:bookmarkEnd w:id="187"/>
    <w:p>
      <w:pPr>
        <w:ind w:firstLine="961"/>
        <w:spacing w:after="0" w:line="249"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Subsequent Shelf Registration</w:t>
      </w:r>
      <w:r>
        <w:rPr>
          <w:rFonts w:ascii="Times New Roman" w:cs="Times New Roman" w:eastAsia="Times New Roman" w:hAnsi="Times New Roman"/>
          <w:sz w:val="18"/>
          <w:szCs w:val="18"/>
          <w:color w:val="auto"/>
        </w:rPr>
        <w:t xml:space="preserve">. If any Shelf ceases to be effective under the Securities Act for any reason at any time while Registrable Securities included thereon are still outstanding, the Company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 “</w:t>
      </w:r>
      <w:r>
        <w:rPr>
          <w:rFonts w:ascii="Times New Roman" w:cs="Times New Roman" w:eastAsia="Times New Roman" w:hAnsi="Times New Roman"/>
          <w:sz w:val="18"/>
          <w:szCs w:val="18"/>
          <w:b w:val="1"/>
          <w:bCs w:val="1"/>
          <w:i w:val="1"/>
          <w:iCs w:val="1"/>
          <w:color w:val="auto"/>
        </w:rPr>
        <w:t>Subsequent Shelf Registration”</w:t>
      </w:r>
      <w:r>
        <w:rPr>
          <w:rFonts w:ascii="Times New Roman" w:cs="Times New Roman" w:eastAsia="Times New Roman" w:hAnsi="Times New Roman"/>
          <w:sz w:val="18"/>
          <w:szCs w:val="18"/>
          <w:color w:val="auto"/>
        </w:rPr>
        <w:t xml:space="preserve">) registering the resale of all Registrable Securities from time to time, and pursuant to any method or combination of methods legally available to, and reasonably requested by, any Holder named therein. If a Subsequent Shelf Registration is filed, the Company shall use its commercially reasonable efforts to (i) cause such Subsequent Shelf Registration to become effective under the Securities Act as promptly as is reasonably practicable after the filing thereof and (ii) keep such Subsequent Shelf Registration continuously effective, available for use to permit Holders named therein to sell their Registrable Securities included therein and in compliance with the provisions of the Securities Act until such time as there are no longer any Registrable Securities included thereon. Any such Subsequent Shelf Registration shall be on Form S-3, or any similar short form registration, to the extent that the Company is eligible to use such form. Without limiting the foregoing provisions of this Section 2.3.3, 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a Shelf (including by means of a post-effective amendment) or a Subsequent Shelf Registration and cause the same to be declared effective as soon as practicable after such filing and such Shelf or Subsequent Shelf Registration shall be subject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only be required to cause such Registrable Securities to be so covered twice annually after inquiry of the Holders.</w:t>
      </w:r>
    </w:p>
    <w:p>
      <w:pPr>
        <w:spacing w:after="0" w:line="192" w:lineRule="exact"/>
        <w:rPr>
          <w:sz w:val="20"/>
          <w:szCs w:val="20"/>
          <w:color w:val="auto"/>
        </w:rPr>
      </w:pPr>
    </w:p>
    <w:p>
      <w:pPr>
        <w:ind w:right="20" w:firstLine="961"/>
        <w:spacing w:after="0" w:line="264" w:lineRule="auto"/>
        <w:rPr>
          <w:sz w:val="20"/>
          <w:szCs w:val="20"/>
          <w:color w:val="auto"/>
        </w:rPr>
      </w:pPr>
      <w:r>
        <w:rPr>
          <w:rFonts w:ascii="Times New Roman" w:cs="Times New Roman" w:eastAsia="Times New Roman" w:hAnsi="Times New Roman"/>
          <w:sz w:val="17"/>
          <w:szCs w:val="17"/>
          <w:color w:val="auto"/>
        </w:rPr>
        <w:t xml:space="preserve">2.3.4 </w:t>
      </w:r>
      <w:r>
        <w:rPr>
          <w:rFonts w:ascii="Times New Roman" w:cs="Times New Roman" w:eastAsia="Times New Roman" w:hAnsi="Times New Roman"/>
          <w:sz w:val="17"/>
          <w:szCs w:val="17"/>
          <w:u w:val="single" w:color="auto"/>
          <w:color w:val="auto"/>
        </w:rPr>
        <w:t>Underwritten Shelf Takedown</w:t>
      </w:r>
      <w:r>
        <w:rPr>
          <w:rFonts w:ascii="Times New Roman" w:cs="Times New Roman" w:eastAsia="Times New Roman" w:hAnsi="Times New Roman"/>
          <w:sz w:val="17"/>
          <w:szCs w:val="17"/>
          <w:color w:val="auto"/>
        </w:rPr>
        <w:t>. At any time and from time to time after a Form S-3 Shelf has been declared effective by the Commission, any Demanding Holder (the “</w:t>
      </w:r>
      <w:r>
        <w:rPr>
          <w:rFonts w:ascii="Times New Roman" w:cs="Times New Roman" w:eastAsia="Times New Roman" w:hAnsi="Times New Roman"/>
          <w:sz w:val="17"/>
          <w:szCs w:val="17"/>
          <w:b w:val="1"/>
          <w:bCs w:val="1"/>
          <w:i w:val="1"/>
          <w:iCs w:val="1"/>
          <w:color w:val="auto"/>
        </w:rPr>
        <w:t>Takedown Demanding Holders</w:t>
      </w:r>
      <w:r>
        <w:rPr>
          <w:rFonts w:ascii="Times New Roman" w:cs="Times New Roman" w:eastAsia="Times New Roman" w:hAnsi="Times New Roman"/>
          <w:sz w:val="17"/>
          <w:szCs w:val="17"/>
          <w:color w:val="auto"/>
        </w:rPr>
        <w:t>”) may request to sell all or any portion of its Registrable Securities in an underwritten offering that is registered pursuant to the Form S-3 Shelf (each, an “</w:t>
      </w:r>
      <w:r>
        <w:rPr>
          <w:rFonts w:ascii="Times New Roman" w:cs="Times New Roman" w:eastAsia="Times New Roman" w:hAnsi="Times New Roman"/>
          <w:sz w:val="17"/>
          <w:szCs w:val="17"/>
          <w:b w:val="1"/>
          <w:bCs w:val="1"/>
          <w:i w:val="1"/>
          <w:iCs w:val="1"/>
          <w:color w:val="auto"/>
        </w:rPr>
        <w:t>Underwritten Shelf Takedown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only be obligated to effect an Underwritten Shelf Takedown if such offering shall include Registrable Securities with a total offering price (including piggyback securities and before deduction of underwriting discounts) reasonably expected to exceed, in the aggregate, $20 million (the “</w:t>
      </w:r>
      <w:r>
        <w:rPr>
          <w:rFonts w:ascii="Times New Roman" w:cs="Times New Roman" w:eastAsia="Times New Roman" w:hAnsi="Times New Roman"/>
          <w:sz w:val="17"/>
          <w:szCs w:val="17"/>
          <w:b w:val="1"/>
          <w:bCs w:val="1"/>
          <w:i w:val="1"/>
          <w:iCs w:val="1"/>
          <w:color w:val="auto"/>
        </w:rPr>
        <w:t>Minimum Takedown Threshold</w:t>
      </w:r>
      <w:r>
        <w:rPr>
          <w:rFonts w:ascii="Times New Roman" w:cs="Times New Roman" w:eastAsia="Times New Roman" w:hAnsi="Times New Roman"/>
          <w:sz w:val="17"/>
          <w:szCs w:val="17"/>
          <w:color w:val="auto"/>
        </w:rPr>
        <w:t>”). All requests for Underwritten Shelf Takedowns shall be made by giving written notice to the Company at least five (5) Business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Times New Roman" w:cs="Times New Roman" w:eastAsia="Times New Roman" w:hAnsi="Times New Roman"/>
          <w:sz w:val="17"/>
          <w:szCs w:val="17"/>
          <w:b w:val="1"/>
          <w:bCs w:val="1"/>
          <w:i w:val="1"/>
          <w:iCs w:val="1"/>
          <w:color w:val="auto"/>
        </w:rPr>
        <w:t>Takedown Requesting Holder</w:t>
      </w:r>
      <w:r>
        <w:rPr>
          <w:rFonts w:ascii="Times New Roman" w:cs="Times New Roman" w:eastAsia="Times New Roman" w:hAnsi="Times New Roman"/>
          <w:sz w:val="17"/>
          <w:szCs w:val="17"/>
          <w:color w:val="auto"/>
        </w:rPr>
        <w:t xml:space="preserve">”) at least two (2) Business Days prior to the public announcement of such Underwritten Shelf Takedown pursuant to the piggyback registration rights of such Holder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herein. The Takedown Demanding Holders holding a majority-in-interest of the Registrable Securities proposed to be sold in the underwritten offering shall have the right to select the underwriter(s) for such offering, subject to the Company’s prior approval which shall not be unreasonably withheld, conditioned or delayed. The Demanding Holders may demand an aggregate of not more than four (4) Underwritten Shelf Takedowns pursuant to this Agreement (of which the Sponsor may demand not more than two (2)), and the Company is not obligated to effect (x) more than two (2) Underwritten Shelf Takedowns per year (provided, that, the Sponsor may demand not more than one (1) Underwritten Shelf Takedowns per year) or (y) an Underwritten Shelf Takedown within sixty (60) days after the closing of a prior Underwritten Shelf Takedown. The Company shall use its commercially reasonable efforts to effect such Underwritten Shelf Takedowns, including the filing of any prospectus supplement or any post-effective amendments and otherwise taking any action necessary to include therein all disclosure and language deemed necessary or advisable by the Demanding Holder to effect such Underwritten Shelf Takedown. For purposes of clarity, any Registration effected pursuant to this </w:t>
      </w:r>
      <w:r>
        <w:rPr>
          <w:rFonts w:ascii="Times New Roman" w:cs="Times New Roman" w:eastAsia="Times New Roman" w:hAnsi="Times New Roman"/>
          <w:sz w:val="17"/>
          <w:szCs w:val="17"/>
          <w:u w:val="single" w:color="auto"/>
          <w:color w:val="auto"/>
        </w:rPr>
        <w:t>subsection 2.3.4</w:t>
      </w:r>
      <w:r>
        <w:rPr>
          <w:rFonts w:ascii="Times New Roman" w:cs="Times New Roman" w:eastAsia="Times New Roman" w:hAnsi="Times New Roman"/>
          <w:sz w:val="17"/>
          <w:szCs w:val="17"/>
          <w:color w:val="auto"/>
        </w:rPr>
        <w:t xml:space="preserve"> shall not be counted as a Registration pursuant to a Demand Registration effected under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hereof or Block Trade or Other Coordinated Offering effected under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8" w:name="page189"/>
    <w:bookmarkEnd w:id="188"/>
    <w:p>
      <w:pPr>
        <w:ind w:right="80" w:firstLine="961"/>
        <w:spacing w:after="0" w:line="265" w:lineRule="auto"/>
        <w:rPr>
          <w:sz w:val="20"/>
          <w:szCs w:val="20"/>
          <w:color w:val="auto"/>
        </w:rPr>
      </w:pPr>
      <w:r>
        <w:rPr>
          <w:rFonts w:ascii="Times New Roman" w:cs="Times New Roman" w:eastAsia="Times New Roman" w:hAnsi="Times New Roman"/>
          <w:sz w:val="17"/>
          <w:szCs w:val="17"/>
          <w:color w:val="auto"/>
        </w:rPr>
        <w:t xml:space="preserve">2.3.5 </w:t>
      </w:r>
      <w:r>
        <w:rPr>
          <w:rFonts w:ascii="Times New Roman" w:cs="Times New Roman" w:eastAsia="Times New Roman" w:hAnsi="Times New Roman"/>
          <w:sz w:val="17"/>
          <w:szCs w:val="17"/>
          <w:u w:val="single" w:color="auto"/>
          <w:color w:val="auto"/>
        </w:rPr>
        <w:t>Reduction of Underwritten Shelf Takedown</w:t>
      </w:r>
      <w:r>
        <w:rPr>
          <w:rFonts w:ascii="Times New Roman" w:cs="Times New Roman" w:eastAsia="Times New Roman" w:hAnsi="Times New Roman"/>
          <w:sz w:val="17"/>
          <w:szCs w:val="17"/>
          <w:color w:val="auto"/>
        </w:rPr>
        <w:t>. If the managing Underwriters in an Underwritten Shelf Takedown, in good faith, advises the Company, the Takedown Demanding Holders and the Takedown Requesting Holders (if any) in writing that the dollar amount or number of Registrable Securities that the Takedown Demanding Holders and the Takedown Requesting Holders (if any) desire to sell, taken together with all other Common Stock or other equity securities that the Company desires to sell, exceeds the Maximum Number of Securities, then the Company shall include in such Underwritten Shelf Takedown, as follows: (i) first, the Registrable Securities of the Takedown Demanding Holders that can be sold without exceeding the Maximum Number of Securities; (ii) second, to the extent that the Maximum Number of Securities has not been reached under the foregoing clause (i), the Common Stock or other equity securities of the Takedown Requesting Holders, if any, that can be sold without exceeding the Maximum Number of Securities determined pro rata based on the respective number of shares of Common Stock or other equity securities that each Takedown Requesting Holder has so requested to be included in such Underwritten Shelf Takedown; (iii) third, to the extent that the Maximum Number of Securities has not been reached under the foregoing clauses (i) and (ii), the Common Stock or other equity securities that the Company desires to sell and that can be sold without exceeding the Maximum Number of Securities,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3" w:lineRule="exact"/>
        <w:rPr>
          <w:sz w:val="20"/>
          <w:szCs w:val="20"/>
          <w:color w:val="auto"/>
        </w:rPr>
      </w:pPr>
    </w:p>
    <w:p>
      <w:pPr>
        <w:ind w:right="100" w:firstLine="961"/>
        <w:spacing w:after="0" w:line="252"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u w:val="single" w:color="auto"/>
          <w:color w:val="auto"/>
        </w:rPr>
        <w:t>Underwritten Shelf Takedown Withdrawal</w:t>
      </w:r>
      <w:r>
        <w:rPr>
          <w:rFonts w:ascii="Times New Roman" w:cs="Times New Roman" w:eastAsia="Times New Roman" w:hAnsi="Times New Roman"/>
          <w:sz w:val="18"/>
          <w:szCs w:val="18"/>
          <w:color w:val="auto"/>
        </w:rPr>
        <w:t xml:space="preserve">. A Takedown Demanding Holder shall have the right to withdraw from an Underwritten Shelf Takedown for any or no reason whatsoever upon written notification to the Company and the Underwriters (if any) of its intention to withdraw from such Underwritten Shelf Takedown prior to the public announcement of such Underwritten Shelf Takedown;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Takedown Demanding Holder delivers a written notification to the Company and the Underwriters (if any) of its intention to withdraw from such Underwritten Shelf Takedown, the Company shall not be required to continue such Underwritten Shelf Takedown unless the Minimum Takedown Threshold would still be satisfied by the Registrable Securities proposed to be sold. Notwithstanding anything to the contrary in this Agreement, the Company shall be responsible for the Registration Expenses incurred in connection with an Underwritten Shelf Takedown prior to a withdrawal under this </w:t>
      </w:r>
      <w:r>
        <w:rPr>
          <w:rFonts w:ascii="Times New Roman" w:cs="Times New Roman" w:eastAsia="Times New Roman" w:hAnsi="Times New Roman"/>
          <w:sz w:val="18"/>
          <w:szCs w:val="18"/>
          <w:u w:val="single" w:color="auto"/>
          <w:color w:val="auto"/>
        </w:rPr>
        <w:t>subsection 2.3.6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320"/>
        <w:spacing w:after="0" w:line="250"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Restrictions on Registration Rights</w:t>
      </w:r>
      <w:r>
        <w:rPr>
          <w:rFonts w:ascii="Times New Roman" w:cs="Times New Roman" w:eastAsia="Times New Roman" w:hAnsi="Times New Roman"/>
          <w:sz w:val="18"/>
          <w:szCs w:val="18"/>
          <w:color w:val="auto"/>
        </w:rPr>
        <w:t xml:space="preserve">. If (i)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it continues to actively employ, in good faith, all commercially reasonable efforts to cause the applicable Registration Statement to be declared effective; (ii) the Holders have requested an Underwritten Registration and the Company and the Holders are unable to obtain the commitment of underwriters to firmly underwrite the offer; or (iii)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defer its obligation in this manner more than two (2) times in any 12-month period.</w:t>
      </w:r>
    </w:p>
    <w:p>
      <w:pPr>
        <w:spacing w:after="0" w:line="190" w:lineRule="exact"/>
        <w:rPr>
          <w:sz w:val="20"/>
          <w:szCs w:val="20"/>
          <w:color w:val="auto"/>
        </w:rPr>
      </w:pPr>
    </w:p>
    <w:p>
      <w:pPr>
        <w:ind w:firstLine="320"/>
        <w:spacing w:after="0" w:line="250"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In connection with any Underwritten Offering of equity securities of the Company in which a Holder participates, if requested by the managing Underwriters, such Holder agrees that it shall not Transfer any shares of Common Stock or other equity securities of the Company (other than those included in such offering pursuant to this Agreement), without the prior written consent of the Company, during the ninety (90)-day period (or such shorter time agreed to by the managing Underwriters) beginning on the date of pricing of such offering, except as expressly permitted by such lock-up agreement or in the event the managing Underwriters otherwise agree by written consent and further agrees to execute a customary lock-up agreement in favor of the Underwriters to such effect (in each case on substantially the same terms and conditions as all such Holders) (a “</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Notwithstanding the foregoing, any release of a Lock-Up by Underwriters shall only be effective if made on a pro rata basis, including with respect to management and employees, and any Lock-Up with Underwriters shall contain a clause to this effect. Each of the Holders that is a director or officer of the Company shall execute and deliver any “lock-up” agreement reasonably requested by the managing underwriter of such Underwritten Offering, but only to the extent as is required generally of any executive officers or directors by such managing underwriter.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9" w:name="page190"/>
    <w:bookmarkEnd w:id="189"/>
    <w:p>
      <w:pPr>
        <w:ind w:left="32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Block Trades; Other Coordinated Offerings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40" w:firstLine="320"/>
        <w:spacing w:after="0" w:line="250" w:lineRule="auto"/>
        <w:rPr>
          <w:sz w:val="20"/>
          <w:szCs w:val="20"/>
          <w:color w:val="auto"/>
        </w:rPr>
      </w:pPr>
      <w:r>
        <w:rPr>
          <w:rFonts w:ascii="Times New Roman" w:cs="Times New Roman" w:eastAsia="Times New Roman" w:hAnsi="Times New Roman"/>
          <w:sz w:val="18"/>
          <w:szCs w:val="18"/>
          <w:color w:val="auto"/>
        </w:rPr>
        <w:t xml:space="preserve">2.6.1 Notwithstanding any other provision of Article II, but subject to </w:t>
      </w:r>
      <w:r>
        <w:rPr>
          <w:rFonts w:ascii="Times New Roman" w:cs="Times New Roman" w:eastAsia="Times New Roman" w:hAnsi="Times New Roman"/>
          <w:sz w:val="18"/>
          <w:szCs w:val="18"/>
          <w:u w:val="single" w:color="auto"/>
          <w:color w:val="auto"/>
        </w:rPr>
        <w:t>Sections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at any time and from time to time when an effective S-3 Shelf is on file with the Commission, if a Demanding Holder wishes to engage in (a) an underwritten registered offering not involving a “roadshow,” an offer commonly known as a “block trade” (a “</w:t>
      </w:r>
      <w:r>
        <w:rPr>
          <w:rFonts w:ascii="Times New Roman" w:cs="Times New Roman" w:eastAsia="Times New Roman" w:hAnsi="Times New Roman"/>
          <w:sz w:val="18"/>
          <w:szCs w:val="18"/>
          <w:b w:val="1"/>
          <w:bCs w:val="1"/>
          <w:i w:val="1"/>
          <w:iCs w:val="1"/>
          <w:color w:val="auto"/>
        </w:rPr>
        <w:t>Block Trade</w:t>
      </w:r>
      <w:r>
        <w:rPr>
          <w:rFonts w:ascii="Times New Roman" w:cs="Times New Roman" w:eastAsia="Times New Roman" w:hAnsi="Times New Roman"/>
          <w:sz w:val="18"/>
          <w:szCs w:val="18"/>
          <w:color w:val="auto"/>
        </w:rPr>
        <w:t>”) or (b) an “at the market” or similar registered offering through a broker, sales agent or distribution agent, whether as agent or principal, (an “</w:t>
      </w:r>
      <w:r>
        <w:rPr>
          <w:rFonts w:ascii="Times New Roman" w:cs="Times New Roman" w:eastAsia="Times New Roman" w:hAnsi="Times New Roman"/>
          <w:sz w:val="18"/>
          <w:szCs w:val="18"/>
          <w:b w:val="1"/>
          <w:bCs w:val="1"/>
          <w:i w:val="1"/>
          <w:iCs w:val="1"/>
          <w:color w:val="auto"/>
        </w:rPr>
        <w:t>Other Coordinated Offering</w:t>
      </w:r>
      <w:r>
        <w:rPr>
          <w:rFonts w:ascii="Times New Roman" w:cs="Times New Roman" w:eastAsia="Times New Roman" w:hAnsi="Times New Roman"/>
          <w:sz w:val="18"/>
          <w:szCs w:val="18"/>
          <w:color w:val="auto"/>
        </w:rPr>
        <w:t xml:space="preserve">”), in each case, with an anticipated aggregate offering price of, either (x) at least $20 million or (y) all remaining Registrable Securities held by the Demanding Holder, then such Demanding Holder only needs to notify the Company of the Block Trade or Other Coordinated Offering at least five (5) Business Days prior to the day such offering is to commence and the Company shall as expeditiously as possible use its commercially reasonable efforts to facilitate such Block Trade or Other Coordinated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Demanding Holders representing a majority-in-interest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190" w:lineRule="exact"/>
        <w:rPr>
          <w:sz w:val="20"/>
          <w:szCs w:val="20"/>
          <w:color w:val="auto"/>
        </w:rPr>
      </w:pPr>
    </w:p>
    <w:p>
      <w:pPr>
        <w:ind w:right="40" w:firstLine="320"/>
        <w:spacing w:after="0" w:line="253" w:lineRule="auto"/>
        <w:rPr>
          <w:sz w:val="20"/>
          <w:szCs w:val="20"/>
          <w:color w:val="auto"/>
        </w:rPr>
      </w:pPr>
      <w:r>
        <w:rPr>
          <w:rFonts w:ascii="Times New Roman" w:cs="Times New Roman" w:eastAsia="Times New Roman" w:hAnsi="Times New Roman"/>
          <w:sz w:val="18"/>
          <w:szCs w:val="18"/>
          <w:color w:val="auto"/>
        </w:rPr>
        <w:t>2.6.2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Section 2.6.2.</w:t>
      </w:r>
    </w:p>
    <w:p>
      <w:pPr>
        <w:spacing w:after="0" w:line="185" w:lineRule="exact"/>
        <w:rPr>
          <w:sz w:val="20"/>
          <w:szCs w:val="20"/>
          <w:color w:val="auto"/>
        </w:rPr>
      </w:pPr>
    </w:p>
    <w:p>
      <w:pPr>
        <w:ind w:right="200" w:firstLine="320"/>
        <w:spacing w:after="0" w:line="277" w:lineRule="auto"/>
        <w:rPr>
          <w:sz w:val="20"/>
          <w:szCs w:val="20"/>
          <w:color w:val="auto"/>
        </w:rPr>
      </w:pPr>
      <w:r>
        <w:rPr>
          <w:rFonts w:ascii="Times New Roman" w:cs="Times New Roman" w:eastAsia="Times New Roman" w:hAnsi="Times New Roman"/>
          <w:sz w:val="18"/>
          <w:szCs w:val="18"/>
          <w:color w:val="auto"/>
        </w:rPr>
        <w:t>2.6.3 Notwithstanding anything to the contrary in this Agreement, Section 2.2 shall not apply to a Block Trade or Other Coordinated Offering initiated by a Demanding Holder pursuant to this Agreement.</w:t>
      </w:r>
    </w:p>
    <w:p>
      <w:pPr>
        <w:spacing w:after="0" w:line="163" w:lineRule="exact"/>
        <w:rPr>
          <w:sz w:val="20"/>
          <w:szCs w:val="20"/>
          <w:color w:val="auto"/>
        </w:rPr>
      </w:pPr>
    </w:p>
    <w:p>
      <w:pPr>
        <w:ind w:right="420" w:firstLine="320"/>
        <w:spacing w:after="0" w:line="277" w:lineRule="auto"/>
        <w:rPr>
          <w:sz w:val="20"/>
          <w:szCs w:val="20"/>
          <w:color w:val="auto"/>
        </w:rPr>
      </w:pPr>
      <w:r>
        <w:rPr>
          <w:rFonts w:ascii="Times New Roman" w:cs="Times New Roman" w:eastAsia="Times New Roman" w:hAnsi="Times New Roman"/>
          <w:sz w:val="18"/>
          <w:szCs w:val="18"/>
          <w:color w:val="auto"/>
        </w:rPr>
        <w:t>2.6.4 The Demanding Holders in a Block Trade or Other Coordinated Offering shall have the right to select the Underwriters and any brokers, sales agents or placement agents (if any) for such Block Trade or Other Coordinated Offering.</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2.6.5 A Demanding Holder may demand no more than two (2) Block Trades or Other Coordinated Offerings pursuant to this Section 2.6 in any twelve</w:t>
      </w:r>
    </w:p>
    <w:p>
      <w:pPr>
        <w:spacing w:after="0" w:line="25" w:lineRule="exact"/>
        <w:rPr>
          <w:sz w:val="20"/>
          <w:szCs w:val="20"/>
          <w:color w:val="auto"/>
        </w:rPr>
      </w:pPr>
    </w:p>
    <w:p>
      <w:pPr>
        <w:ind w:right="60" w:firstLine="7"/>
        <w:spacing w:after="0" w:line="255" w:lineRule="auto"/>
        <w:tabs>
          <w:tab w:leader="none" w:pos="34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For the avoidance of doubt, any Block Trade or Other Coordinated Offering effected pursuant to this Section 2.6 shall not be counted as a demand for a Demand Registration pursuant to Section 2.1 hereof or an Underwritten Shelf Takedown pursuant to subsection 2.3.4 hereof.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1"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If at any time on or after the date of this Agreement the Company is required to effect the Registration of Registrable Securities, subject to applicable law and any regulations promulgated by any securities exchange on which the Company’s equity securities are then listed, each as interpreted by the Company with the advice of its counsel,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spacing w:after="0" w:line="186" w:lineRule="exact"/>
        <w:rPr>
          <w:sz w:val="20"/>
          <w:szCs w:val="20"/>
          <w:color w:val="auto"/>
        </w:rPr>
      </w:pPr>
    </w:p>
    <w:p>
      <w:pPr>
        <w:ind w:right="80" w:firstLine="961"/>
        <w:spacing w:after="0" w:line="262" w:lineRule="auto"/>
        <w:rPr>
          <w:sz w:val="20"/>
          <w:szCs w:val="20"/>
          <w:color w:val="auto"/>
        </w:rPr>
      </w:pPr>
      <w:r>
        <w:rPr>
          <w:rFonts w:ascii="Times New Roman" w:cs="Times New Roman" w:eastAsia="Times New Roman" w:hAnsi="Times New Roman"/>
          <w:sz w:val="18"/>
          <w:szCs w:val="18"/>
          <w:color w:val="auto"/>
        </w:rPr>
        <w:t>3.1.1 prepare and file with the Commission as soon as reasonably practicable a Registration Statement with respect to such Registrable Securities and use its commercially reasonable efforts to cause such Registration Statement to be declared effective and remain effective until all Registrable Securities covered by such Registration Statement have been sold;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0" w:name="page191"/>
    <w:bookmarkEnd w:id="190"/>
    <w:p>
      <w:pPr>
        <w:ind w:right="80" w:firstLine="961"/>
        <w:spacing w:after="0" w:line="252"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(i) requested by a Holder if additional selling securityholders that are such Holder’s pledgee, donees, transferees, assignees, successors, designees, successors-in-interest and others who later come to hold any of Holder’s interest in the Registrable Securities other than through a public sale are required to be included in a supplement to the Prospectus or (ii)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sz w:val="20"/>
          <w:szCs w:val="20"/>
          <w:color w:val="auto"/>
        </w:rPr>
      </w:pPr>
    </w:p>
    <w:p>
      <w:pPr>
        <w:ind w:firstLine="961"/>
        <w:spacing w:after="0" w:line="267" w:lineRule="auto"/>
        <w:rPr>
          <w:sz w:val="20"/>
          <w:szCs w:val="20"/>
          <w:color w:val="auto"/>
        </w:rPr>
      </w:pPr>
      <w:r>
        <w:rPr>
          <w:rFonts w:ascii="Times New Roman" w:cs="Times New Roman" w:eastAsia="Times New Roman" w:hAnsi="Times New Roman"/>
          <w:sz w:val="17"/>
          <w:szCs w:val="17"/>
          <w:color w:val="auto"/>
        </w:rPr>
        <w:t xml:space="preserve">3.1.3 prior to any public offering of Registrable Securities, use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78" w:lineRule="exact"/>
        <w:rPr>
          <w:sz w:val="20"/>
          <w:szCs w:val="20"/>
          <w:color w:val="auto"/>
        </w:rPr>
      </w:pPr>
    </w:p>
    <w:p>
      <w:pPr>
        <w:ind w:right="220" w:firstLine="961"/>
        <w:spacing w:after="0" w:line="277" w:lineRule="auto"/>
        <w:rPr>
          <w:sz w:val="20"/>
          <w:szCs w:val="20"/>
          <w:color w:val="auto"/>
        </w:rPr>
      </w:pPr>
      <w:r>
        <w:rPr>
          <w:rFonts w:ascii="Times New Roman" w:cs="Times New Roman" w:eastAsia="Times New Roman" w:hAnsi="Times New Roman"/>
          <w:sz w:val="18"/>
          <w:szCs w:val="18"/>
          <w:color w:val="auto"/>
        </w:rPr>
        <w:t>3.1.4 cause all such Registrable Securities to be listed on each securities exchange or automated quotation system on which similar securities issued by the Company are then listed;</w:t>
      </w:r>
    </w:p>
    <w:p>
      <w:pPr>
        <w:spacing w:after="0" w:line="163" w:lineRule="exact"/>
        <w:rPr>
          <w:sz w:val="20"/>
          <w:szCs w:val="20"/>
          <w:color w:val="auto"/>
        </w:rPr>
      </w:pPr>
    </w:p>
    <w:p>
      <w:pPr>
        <w:ind w:right="120" w:firstLine="961"/>
        <w:spacing w:after="0" w:line="277" w:lineRule="auto"/>
        <w:rPr>
          <w:sz w:val="20"/>
          <w:szCs w:val="20"/>
          <w:color w:val="auto"/>
        </w:rPr>
      </w:pPr>
      <w:r>
        <w:rPr>
          <w:rFonts w:ascii="Times New Roman" w:cs="Times New Roman" w:eastAsia="Times New Roman" w:hAnsi="Times New Roman"/>
          <w:sz w:val="18"/>
          <w:szCs w:val="18"/>
          <w:color w:val="auto"/>
        </w:rPr>
        <w:t>3.1.5 provide a transfer agent or warrant agent, as applicable, and registrar for all such Registrable Securities no later than the effective date of such Registration Statement;</w:t>
      </w:r>
    </w:p>
    <w:p>
      <w:pPr>
        <w:spacing w:after="0" w:line="163" w:lineRule="exact"/>
        <w:rPr>
          <w:sz w:val="20"/>
          <w:szCs w:val="20"/>
          <w:color w:val="auto"/>
        </w:rPr>
      </w:pPr>
    </w:p>
    <w:p>
      <w:pPr>
        <w:jc w:val="both"/>
        <w:ind w:right="20" w:firstLine="961"/>
        <w:spacing w:after="0" w:line="284" w:lineRule="auto"/>
        <w:rPr>
          <w:sz w:val="20"/>
          <w:szCs w:val="20"/>
          <w:color w:val="auto"/>
        </w:rPr>
      </w:pPr>
      <w:r>
        <w:rPr>
          <w:rFonts w:ascii="Times New Roman" w:cs="Times New Roman" w:eastAsia="Times New Roman" w:hAnsi="Times New Roman"/>
          <w:sz w:val="17"/>
          <w:szCs w:val="17"/>
          <w:color w:val="auto"/>
        </w:rPr>
        <w:t>3.1.6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60" w:lineRule="exact"/>
        <w:rPr>
          <w:sz w:val="20"/>
          <w:szCs w:val="20"/>
          <w:color w:val="auto"/>
        </w:rPr>
      </w:pPr>
    </w:p>
    <w:p>
      <w:pPr>
        <w:ind w:firstLine="961"/>
        <w:spacing w:after="0" w:line="262" w:lineRule="auto"/>
        <w:rPr>
          <w:sz w:val="20"/>
          <w:szCs w:val="20"/>
          <w:color w:val="auto"/>
        </w:rPr>
      </w:pPr>
      <w:r>
        <w:rPr>
          <w:rFonts w:ascii="Times New Roman" w:cs="Times New Roman" w:eastAsia="Times New Roman" w:hAnsi="Times New Roman"/>
          <w:sz w:val="18"/>
          <w:szCs w:val="18"/>
          <w:color w:val="auto"/>
        </w:rPr>
        <w:t xml:space="preserve">3.1.8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right="40" w:firstLine="961"/>
        <w:spacing w:after="0" w:line="252" w:lineRule="auto"/>
        <w:rPr>
          <w:sz w:val="20"/>
          <w:szCs w:val="20"/>
          <w:color w:val="auto"/>
        </w:rPr>
      </w:pPr>
      <w:r>
        <w:rPr>
          <w:rFonts w:ascii="Times New Roman" w:cs="Times New Roman" w:eastAsia="Times New Roman" w:hAnsi="Times New Roman"/>
          <w:sz w:val="18"/>
          <w:szCs w:val="18"/>
          <w:color w:val="auto"/>
        </w:rPr>
        <w:t xml:space="preserve">3.1.9 permit a representative of the Holders (such representative to be selected by a majority of the participating Holders), the Underwriters, if any, and any attorney or accountant retained by such Holders or Underwriter to participate, other than as set forth in the definition of “Registration Expenses,”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representatives or Underwriters enter into a confidentiality agreement, in form and substance reasonably satisfactory to the Company, prior to the release or disclosure of any such information;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Holders, Underwriters, and their legal counsel must provide any comments promptly (and in any event with five (5) Business Days) after receipt of such Registration Statement;</w:t>
      </w:r>
    </w:p>
    <w:p>
      <w:pPr>
        <w:spacing w:after="0" w:line="187" w:lineRule="exact"/>
        <w:rPr>
          <w:sz w:val="20"/>
          <w:szCs w:val="20"/>
          <w:color w:val="auto"/>
        </w:rPr>
      </w:pPr>
    </w:p>
    <w:p>
      <w:pPr>
        <w:ind w:right="460" w:firstLine="961"/>
        <w:spacing w:after="0" w:line="262" w:lineRule="auto"/>
        <w:rPr>
          <w:sz w:val="20"/>
          <w:szCs w:val="20"/>
          <w:color w:val="auto"/>
        </w:rPr>
      </w:pPr>
      <w:r>
        <w:rPr>
          <w:rFonts w:ascii="Times New Roman" w:cs="Times New Roman" w:eastAsia="Times New Roman" w:hAnsi="Times New Roman"/>
          <w:sz w:val="18"/>
          <w:szCs w:val="18"/>
          <w:color w:val="auto"/>
        </w:rPr>
        <w:t>3.1.10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the managing Underwriter;</w:t>
      </w:r>
    </w:p>
    <w:p>
      <w:pPr>
        <w:spacing w:after="0" w:line="176" w:lineRule="exact"/>
        <w:rPr>
          <w:sz w:val="20"/>
          <w:szCs w:val="20"/>
          <w:color w:val="auto"/>
        </w:rPr>
      </w:pPr>
    </w:p>
    <w:p>
      <w:pPr>
        <w:ind w:right="120" w:firstLine="961"/>
        <w:spacing w:after="0" w:line="254" w:lineRule="auto"/>
        <w:rPr>
          <w:sz w:val="20"/>
          <w:szCs w:val="20"/>
          <w:color w:val="auto"/>
        </w:rPr>
      </w:pPr>
      <w:r>
        <w:rPr>
          <w:rFonts w:ascii="Times New Roman" w:cs="Times New Roman" w:eastAsia="Times New Roman" w:hAnsi="Times New Roman"/>
          <w:sz w:val="18"/>
          <w:szCs w:val="18"/>
          <w:color w:val="auto"/>
        </w:rPr>
        <w:t>3.1.11 on the date the Registrable Securities are delivered for sale pursuant to such Registration, obtain an opinion, dated such date, of counsel representing the Company for the purposes of such Registration, addressed to the placement agent or sales agent, if any, and the Underwriters, if any, covering such legal matters with respect to the Registration in respect of which such opinion is being given as the placement agent, sales agent, or Underwriter may reasonably request and as are customarily included in such opinions and negative assurance letters, and reasonably satisfactory to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91" w:name="page192"/>
    <w:bookmarkEnd w:id="191"/>
    <w:p>
      <w:pPr>
        <w:ind w:right="720" w:firstLine="961"/>
        <w:spacing w:after="0" w:line="277" w:lineRule="auto"/>
        <w:rPr>
          <w:sz w:val="20"/>
          <w:szCs w:val="20"/>
          <w:color w:val="auto"/>
        </w:rPr>
      </w:pPr>
      <w:r>
        <w:rPr>
          <w:rFonts w:ascii="Times New Roman" w:cs="Times New Roman" w:eastAsia="Times New Roman" w:hAnsi="Times New Roman"/>
          <w:sz w:val="18"/>
          <w:szCs w:val="18"/>
          <w:color w:val="auto"/>
        </w:rPr>
        <w:t>3.1.12 in the event of any Underwritten Offering, enter into and perform its obligations under an underwriting agreement, in usual and customary form, with the managing Underwriter of such offering;</w:t>
      </w:r>
    </w:p>
    <w:p>
      <w:pPr>
        <w:spacing w:after="0" w:line="1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3.1.13 make available to its security holders, as soon as reasonably practicable, an earnings statement covering the period of at least twelve</w:t>
      </w:r>
    </w:p>
    <w:p>
      <w:pPr>
        <w:spacing w:after="0" w:line="25" w:lineRule="exact"/>
        <w:rPr>
          <w:sz w:val="20"/>
          <w:szCs w:val="20"/>
          <w:color w:val="auto"/>
        </w:rPr>
      </w:pPr>
    </w:p>
    <w:p>
      <w:pPr>
        <w:ind w:right="120" w:firstLine="7"/>
        <w:spacing w:after="0" w:line="255" w:lineRule="auto"/>
        <w:tabs>
          <w:tab w:leader="none" w:pos="34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3.1.14 if the Registration involves the Registration of Registrable Securities involving gross proceeds reasonably expected to be in excess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 million, use its reasonable efforts to make available senior executives of the Company to participate in customary “road show” presentations that may be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requested by the Underwriter in any Underwritten Offering; and</w:t>
      </w:r>
    </w:p>
    <w:p>
      <w:pPr>
        <w:spacing w:after="0" w:line="201" w:lineRule="exact"/>
        <w:rPr>
          <w:sz w:val="20"/>
          <w:szCs w:val="20"/>
          <w:color w:val="auto"/>
        </w:rPr>
      </w:pPr>
    </w:p>
    <w:p>
      <w:pPr>
        <w:ind w:right="140" w:firstLine="961"/>
        <w:spacing w:after="0" w:line="277" w:lineRule="auto"/>
        <w:rPr>
          <w:sz w:val="20"/>
          <w:szCs w:val="20"/>
          <w:color w:val="auto"/>
        </w:rPr>
      </w:pPr>
      <w:r>
        <w:rPr>
          <w:rFonts w:ascii="Times New Roman" w:cs="Times New Roman" w:eastAsia="Times New Roman" w:hAnsi="Times New Roman"/>
          <w:sz w:val="18"/>
          <w:szCs w:val="18"/>
          <w:color w:val="auto"/>
        </w:rPr>
        <w:t>3.1.15 otherwise, in good faith, cooperate reasonably with, and take such customary actions as may reasonably be requested by the Holders, in connection with such Registration.</w:t>
      </w:r>
    </w:p>
    <w:p>
      <w:pPr>
        <w:spacing w:after="0" w:line="163" w:lineRule="exact"/>
        <w:rPr>
          <w:sz w:val="20"/>
          <w:szCs w:val="20"/>
          <w:color w:val="auto"/>
        </w:rPr>
      </w:pPr>
    </w:p>
    <w:p>
      <w:pPr>
        <w:ind w:right="40" w:firstLine="320"/>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1" w:lineRule="exact"/>
        <w:rPr>
          <w:sz w:val="20"/>
          <w:szCs w:val="20"/>
          <w:color w:val="auto"/>
        </w:rPr>
      </w:pPr>
    </w:p>
    <w:p>
      <w:pPr>
        <w:ind w:firstLine="320"/>
        <w:spacing w:after="0" w:line="249"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xml:space="preserve">.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in good faith that such information is necessary to effect the Registration and such Holder continues thereafter to withhold such information.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The exclusion of a Holder’s Registrable Securities as a result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not affect the Registration of the other Registrable Securities to be included in such Registration. The representations, warranties and covenants of the Company in any underwriting agreement which are made to or for the benefit of any Underwriters, to the extent applicable, shall also be made to and for the benefit of Holders holding Registrable Securities included in such Registration Statement. No Holder holding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96" w:lineRule="exact"/>
        <w:rPr>
          <w:sz w:val="20"/>
          <w:szCs w:val="20"/>
          <w:color w:val="auto"/>
        </w:rPr>
      </w:pPr>
    </w:p>
    <w:p>
      <w:pPr>
        <w:ind w:right="20" w:firstLine="320"/>
        <w:spacing w:after="0" w:line="250"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Suspension of Sales; Adverse Disclosure</w:t>
      </w:r>
      <w:r>
        <w:rPr>
          <w:rFonts w:ascii="Times New Roman" w:cs="Times New Roman" w:eastAsia="Times New Roman" w:hAnsi="Times New Roman"/>
          <w:sz w:val="18"/>
          <w:szCs w:val="18"/>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consecutive days or ninety (90) days in any rolling 12-month period,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2" w:name="page193"/>
    <w:bookmarkEnd w:id="192"/>
    <w:p>
      <w:pPr>
        <w:ind w:firstLine="320"/>
        <w:spacing w:after="0" w:line="268"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Reporting Obligations</w:t>
      </w:r>
      <w:r>
        <w:rPr>
          <w:rFonts w:ascii="Times New Roman" w:cs="Times New Roman" w:eastAsia="Times New Roman" w:hAnsi="Times New Roman"/>
          <w:sz w:val="17"/>
          <w:szCs w:val="17"/>
          <w:color w:val="auto"/>
        </w:rPr>
        <w:t>. As long as any Holder shall own Registrable Securities, the Company, at all times while it shall be a reporting company under the Exchange Act, covenants to use commercially reasonable efforts to: (i) make and keep public information available, as those terms are understood and defined in Rule 144 and (ii) file timely (or obtain extensions in respect thereof and file within the applicable grace period) all reports required to be filed by the Company after the date hereof pursuant to Sections 13(a) or 15(d) of the Exchange Act.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reasonably requested legal opinions. Upon the request of any Holder, the Company shall deliver to such Holder a written certification of a duly authorized officer as to whether it has complied with such requirements.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80" w:firstLine="961"/>
        <w:spacing w:after="0" w:line="251" w:lineRule="auto"/>
        <w:rPr>
          <w:sz w:val="20"/>
          <w:szCs w:val="20"/>
          <w:color w:val="auto"/>
        </w:rPr>
      </w:pPr>
      <w:r>
        <w:rPr>
          <w:rFonts w:ascii="Times New Roman" w:cs="Times New Roman" w:eastAsia="Times New Roman" w:hAnsi="Times New Roman"/>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or on behalf of such Holder expressly for use therein. The Company shall indemnify the Underwriters, their officers and directors and each person who controls such Underwriters (within the meaning of the Securities Act) to the same extent as provided in the foregoing sentence with respect to the indemnification of the Holder.</w:t>
      </w:r>
    </w:p>
    <w:p>
      <w:pPr>
        <w:spacing w:after="0" w:line="190" w:lineRule="exact"/>
        <w:rPr>
          <w:sz w:val="20"/>
          <w:szCs w:val="20"/>
          <w:color w:val="auto"/>
        </w:rPr>
      </w:pPr>
    </w:p>
    <w:p>
      <w:pPr>
        <w:ind w:right="20" w:firstLine="961"/>
        <w:spacing w:after="0" w:line="250" w:lineRule="auto"/>
        <w:rPr>
          <w:sz w:val="20"/>
          <w:szCs w:val="20"/>
          <w:color w:val="auto"/>
        </w:rPr>
      </w:pPr>
      <w:r>
        <w:rPr>
          <w:rFonts w:ascii="Times New Roman" w:cs="Times New Roman" w:eastAsia="Times New Roman" w:hAnsi="Times New Roman"/>
          <w:sz w:val="18"/>
          <w:szCs w:val="18"/>
          <w:color w:val="auto"/>
        </w:rPr>
        <w:t>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(the “</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and, to the extent permitted by law, shall indemnify the Company, its directors and officers and agents and each person who controls the Company (within the meaning of the Securities Act) against any losses, claims, damages, liabilities and expenses (including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3" w:name="page194"/>
    <w:bookmarkEnd w:id="193"/>
    <w:p>
      <w:pPr>
        <w:ind w:firstLine="961"/>
        <w:spacing w:after="0" w:line="249" w:lineRule="auto"/>
        <w:rPr>
          <w:sz w:val="20"/>
          <w:szCs w:val="20"/>
          <w:color w:val="auto"/>
        </w:rPr>
      </w:pPr>
      <w:r>
        <w:rPr>
          <w:rFonts w:ascii="Times New Roman" w:cs="Times New Roman" w:eastAsia="Times New Roman" w:hAnsi="Times New Roman"/>
          <w:sz w:val="18"/>
          <w:szCs w:val="18"/>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the defense of any such claim or any such litigation)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97" w:lineRule="exact"/>
        <w:rPr>
          <w:sz w:val="20"/>
          <w:szCs w:val="20"/>
          <w:color w:val="auto"/>
        </w:rPr>
      </w:pPr>
    </w:p>
    <w:p>
      <w:pPr>
        <w:ind w:right="20" w:firstLine="961"/>
        <w:spacing w:after="0" w:line="249" w:lineRule="auto"/>
        <w:rPr>
          <w:sz w:val="20"/>
          <w:szCs w:val="20"/>
          <w:color w:val="auto"/>
        </w:rPr>
      </w:pPr>
      <w:r>
        <w:rPr>
          <w:rFonts w:ascii="Times New Roman" w:cs="Times New Roman" w:eastAsia="Times New Roman" w:hAnsi="Times New Roman"/>
          <w:sz w:val="18"/>
          <w:szCs w:val="18"/>
          <w:color w:val="auto"/>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4.1.4</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4.1.4</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4.1.4</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4.1.4</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1" w:lineRule="exact"/>
        <w:rPr>
          <w:sz w:val="20"/>
          <w:szCs w:val="20"/>
          <w:color w:val="auto"/>
        </w:rPr>
      </w:pPr>
    </w:p>
    <w:p>
      <w:pPr>
        <w:jc w:val="both"/>
        <w:ind w:right="140" w:firstLine="320"/>
        <w:spacing w:after="0" w:line="269"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email or facsimile. Each notice or communication that is mailed, delivered, or transmitted in the manner</w:t>
      </w:r>
    </w:p>
    <w:p>
      <w:pPr>
        <w:spacing w:after="0" w:line="2"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8"/>
          <w:szCs w:val="18"/>
          <w:color w:val="auto"/>
        </w:rPr>
        <w:t>described above shall be deemed sufficiently given, served, sent, and received, in the case of mailed notices,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following the date on which it is mailed and, in the case of notices delivered by courier service, hand delivery, email,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TriSalus Life Sciences Inc. c/o Chief Financial Officer, 6272 W 91st Ave, Westminster, Colorado, with a copy to Cooley LLP, c/o Matthew Browne, 10265 Science Center Drive, San Diego, California 92121-1117,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4" w:name="page195"/>
    <w:bookmarkEnd w:id="194"/>
    <w:p>
      <w:pPr>
        <w:ind w:left="32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60" w:firstLine="961"/>
        <w:spacing w:after="0" w:line="277" w:lineRule="auto"/>
        <w:rPr>
          <w:sz w:val="20"/>
          <w:szCs w:val="20"/>
          <w:color w:val="auto"/>
        </w:rPr>
      </w:pPr>
      <w:r>
        <w:rPr>
          <w:rFonts w:ascii="Times New Roman" w:cs="Times New Roman" w:eastAsia="Times New Roman" w:hAnsi="Times New Roman"/>
          <w:sz w:val="18"/>
          <w:szCs w:val="18"/>
          <w:color w:val="auto"/>
        </w:rPr>
        <w:t>5.2.1 This Agreement and the rights, duties and obligations of the Company hereunder may not be assigned or delegated by the Company in whole or in part.</w:t>
      </w:r>
    </w:p>
    <w:p>
      <w:pPr>
        <w:spacing w:after="0" w:line="163" w:lineRule="exact"/>
        <w:rPr>
          <w:sz w:val="20"/>
          <w:szCs w:val="20"/>
          <w:color w:val="auto"/>
        </w:rPr>
      </w:pPr>
    </w:p>
    <w:p>
      <w:pPr>
        <w:ind w:firstLine="961"/>
        <w:spacing w:after="0" w:line="253" w:lineRule="auto"/>
        <w:rPr>
          <w:sz w:val="20"/>
          <w:szCs w:val="20"/>
          <w:color w:val="auto"/>
        </w:rPr>
      </w:pPr>
      <w:r>
        <w:rPr>
          <w:rFonts w:ascii="Times New Roman" w:cs="Times New Roman" w:eastAsia="Times New Roman" w:hAnsi="Times New Roman"/>
          <w:sz w:val="18"/>
          <w:szCs w:val="18"/>
          <w:color w:val="auto"/>
        </w:rPr>
        <w:t xml:space="preserve">5.2.2 No Holder may assign or delegate such Holder’s rights, duties or obligations under this Agreement, in whole or in part, except in connection with a transfer of Registrable Securities by such Holder to a Permitted Transferee upon receipt by the Company of (a) written notice from such Holder stating the name and address of the transferee and identifying the number of Registrable Securities with respect to which rights under this Agreement are being transferred and the nature of the rights so transferred, and (b) a written agreement from such Permitted Transferee agreeing to become bound by the transfer restrictions set forth in this Agreement. A Permitted Transferee of Registrable Securities who satisfies the conditions set forth in this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5.2.2</w:t>
      </w:r>
      <w:r>
        <w:rPr>
          <w:rFonts w:ascii="Times New Roman" w:cs="Times New Roman" w:eastAsia="Times New Roman" w:hAnsi="Times New Roman"/>
          <w:sz w:val="18"/>
          <w:szCs w:val="18"/>
          <w:color w:val="auto"/>
        </w:rPr>
        <w:t>. shall henceforth be a “Holder” for purposes of this Agreement.</w:t>
      </w:r>
    </w:p>
    <w:p>
      <w:pPr>
        <w:spacing w:after="0" w:line="185" w:lineRule="exact"/>
        <w:rPr>
          <w:sz w:val="20"/>
          <w:szCs w:val="20"/>
          <w:color w:val="auto"/>
        </w:rPr>
      </w:pPr>
    </w:p>
    <w:p>
      <w:pPr>
        <w:ind w:right="40" w:firstLine="961"/>
        <w:spacing w:after="0" w:line="277" w:lineRule="auto"/>
        <w:rPr>
          <w:sz w:val="20"/>
          <w:szCs w:val="20"/>
          <w:color w:val="auto"/>
        </w:rPr>
      </w:pPr>
      <w:r>
        <w:rPr>
          <w:rFonts w:ascii="Times New Roman" w:cs="Times New Roman" w:eastAsia="Times New Roman" w:hAnsi="Times New Roman"/>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63" w:lineRule="exact"/>
        <w:rPr>
          <w:sz w:val="20"/>
          <w:szCs w:val="20"/>
          <w:color w:val="auto"/>
        </w:rPr>
      </w:pPr>
    </w:p>
    <w:p>
      <w:pPr>
        <w:ind w:right="180" w:firstLine="961"/>
        <w:spacing w:after="0" w:line="277" w:lineRule="auto"/>
        <w:rPr>
          <w:sz w:val="20"/>
          <w:szCs w:val="20"/>
          <w:color w:val="auto"/>
        </w:rPr>
      </w:pPr>
      <w:r>
        <w:rPr>
          <w:rFonts w:ascii="Times New Roman" w:cs="Times New Roman" w:eastAsia="Times New Roman" w:hAnsi="Times New Roman"/>
          <w:sz w:val="18"/>
          <w:szCs w:val="18"/>
          <w:color w:val="auto"/>
        </w:rPr>
        <w:t xml:space="preserve">5.2.4 This Agreement shall not confer any rights or benefits on any persons that are not parties hereto, other than as expressly 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w:t>
      </w:r>
    </w:p>
    <w:p>
      <w:pPr>
        <w:spacing w:after="0" w:line="163" w:lineRule="exact"/>
        <w:rPr>
          <w:sz w:val="20"/>
          <w:szCs w:val="20"/>
          <w:color w:val="auto"/>
        </w:rPr>
      </w:pPr>
    </w:p>
    <w:p>
      <w:pPr>
        <w:ind w:right="20" w:firstLine="961"/>
        <w:spacing w:after="0" w:line="277" w:lineRule="auto"/>
        <w:rPr>
          <w:sz w:val="20"/>
          <w:szCs w:val="20"/>
          <w:color w:val="auto"/>
        </w:rPr>
      </w:pPr>
      <w:r>
        <w:rPr>
          <w:rFonts w:ascii="Times New Roman" w:cs="Times New Roman" w:eastAsia="Times New Roman" w:hAnsi="Times New Roman"/>
          <w:sz w:val="17"/>
          <w:szCs w:val="17"/>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shall be null and void.</w:t>
      </w:r>
    </w:p>
    <w:p>
      <w:pPr>
        <w:spacing w:after="0" w:line="165" w:lineRule="exact"/>
        <w:rPr>
          <w:sz w:val="20"/>
          <w:szCs w:val="20"/>
          <w:color w:val="auto"/>
        </w:rPr>
      </w:pPr>
    </w:p>
    <w:p>
      <w:pPr>
        <w:ind w:right="220" w:firstLine="320"/>
        <w:spacing w:after="0" w:line="307"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multiple counterparts (including facsimile, PDF, DocuSign or similarly executed counterparts), each of which shall be deemed an original, and all of which together shall constitute the same instrument, but only one of which need be produced.</w:t>
      </w:r>
    </w:p>
    <w:p>
      <w:pPr>
        <w:spacing w:after="0" w:line="140" w:lineRule="exact"/>
        <w:rPr>
          <w:sz w:val="20"/>
          <w:szCs w:val="20"/>
          <w:color w:val="auto"/>
        </w:rPr>
      </w:pPr>
    </w:p>
    <w:p>
      <w:pPr>
        <w:ind w:right="80" w:firstLine="320"/>
        <w:spacing w:after="0" w:line="277"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The law of the State of Delaware shall govern (a) all claims or matters related to or arising from this Agreement (including any tort or non-contractual claims) and (b) any questions concerning the construction, interpretation, validity and enforceability of this Agreement, and the performance of the obligations imposed by this Agreement, in each case without giving effect to any choice of law or conflict of law rules or provisions (whether of the State of Delaware or any other jurisdiction) that would cause the application of the law of any jurisdiction other than the State of Delaware.</w:t>
      </w:r>
    </w:p>
    <w:p>
      <w:pPr>
        <w:spacing w:after="0" w:line="165" w:lineRule="exact"/>
        <w:rPr>
          <w:sz w:val="20"/>
          <w:szCs w:val="20"/>
          <w:color w:val="auto"/>
        </w:rPr>
      </w:pPr>
    </w:p>
    <w:p>
      <w:pPr>
        <w:ind w:firstLine="320"/>
        <w:spacing w:after="0" w:line="266"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Venue</w:t>
      </w:r>
      <w:r>
        <w:rPr>
          <w:rFonts w:ascii="Times New Roman" w:cs="Times New Roman" w:eastAsia="Times New Roman" w:hAnsi="Times New Roman"/>
          <w:sz w:val="17"/>
          <w:szCs w:val="17"/>
          <w:color w:val="auto"/>
        </w:rPr>
        <w:t xml:space="preserve">. Each party hereto submits to the exclusive jurisdiction of first, the Court of Chancery of the State of Delaware or if such court declines jurisdiction, then to any court of the State of Delaware or the Federal District Court for the District of Delaware, in any Action arising out of or relating to this Agreement, agrees that all claims in respect of the Action shall be heard and determined in any such court and agrees not to bring any Action arising out of or relating to this Agreement in any other courts. Nothing in this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however, shall affect the right of any party to serve legal process in any other manner permitted by law or at equity. Each party hereto agrees that a final judgment in any Action so brought shall be conclusive and may be enforced by suit on the judgment or in any other manner provided by law or at equity. EACH PARTY HERETO HEREBY IRREVOCABLY WAIVES ALL RIGHTS TO TRIAL BY JURY IN ANY ACTION BROUGHT TO RESOLVE ANY DISPUTE BETWEEN OR AMONG ANY OF THE PARTIES (WHETHER ARISING IN CONTRACT, TORT OR OTHERWISE) ARISING OUT OF, CONNECTED WITH, RELATED OR INCIDENTAL TO THIS AGREEMENT, THE TRANSACTIONS OR THE RELATIONSHIPS ESTABLISHED AMONG THE PARTIES UNDER THIS AGREEMENT. EACH PARTY FURTHER WARRANTS AND REPRESENTS THAT SUCH PARTY HAS REVIEWED THIS WAIVER WITH ITS LEGAL COUNSEL, AND THAT SUCH PARTY KNOWINGLY AND VOLUNTARILY WAIVES ITS JURY TRIAL RIGHTS FOLLOWING CONSULTATION WITH LEGAL COUNSEL.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95" w:name="page196"/>
    <w:bookmarkEnd w:id="195"/>
    <w:p>
      <w:pPr>
        <w:ind w:firstLine="320"/>
        <w:spacing w:after="0" w:line="250"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any amendment hereto or waiver hereof that adversely affects one Holder, solely in his, her or its capacity as a holder of the Registrable Securities, in a manner that is materially different from the other Holders (in such capacity) shall require the consent of the Holder so affected;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provision that has terminated with respect to a party shall not require any consent of such party (and such party’s Registrable Securities shall not be considered in computing any percentages) with respect to amending or modifying such provision. Each Holder agrees that any waiver, amendment or modification effected in accordance with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be binding on all Holders and their successors and assigns.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90" w:lineRule="exact"/>
        <w:rPr>
          <w:sz w:val="20"/>
          <w:szCs w:val="20"/>
          <w:color w:val="auto"/>
        </w:rPr>
      </w:pPr>
    </w:p>
    <w:p>
      <w:pPr>
        <w:ind w:right="220" w:firstLine="640"/>
        <w:spacing w:after="0" w:line="266"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This Agreement shall terminate upon the earlier of (a) with respect to any Holder on the date that such Holder no longer holds any Registrable Securities; (b) with respect to any Holder (other than any Holder who is a member of the Sponsor and at the Closing was issued Registrable Securities subject to price-based vesting, a “</w:t>
      </w:r>
      <w:r>
        <w:rPr>
          <w:rFonts w:ascii="Times New Roman" w:cs="Times New Roman" w:eastAsia="Times New Roman" w:hAnsi="Times New Roman"/>
          <w:sz w:val="17"/>
          <w:szCs w:val="17"/>
          <w:b w:val="1"/>
          <w:bCs w:val="1"/>
          <w:i w:val="1"/>
          <w:iCs w:val="1"/>
          <w:color w:val="auto"/>
        </w:rPr>
        <w:t>Vesting Sponsor Holder</w:t>
      </w:r>
      <w:r>
        <w:rPr>
          <w:rFonts w:ascii="Times New Roman" w:cs="Times New Roman" w:eastAsia="Times New Roman" w:hAnsi="Times New Roman"/>
          <w:sz w:val="17"/>
          <w:szCs w:val="17"/>
          <w:color w:val="auto"/>
        </w:rPr>
        <w:t>”) on the date that is three (3) years after the Closing; and (c) with respect to a Vesting Sponsor Holder that at the time of vesting continues to hold at least 1% of the aggregate amount of shares of Common Stock that constitute Registrable Securities (including shares underlying equity awards, warrants or other equity instruments convertible or exercisable into shares of Common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immediately following the Closing, the earlier of (A) one (1) year after the price-based vesting condition is met (but in no event less than three</w:t>
      </w:r>
    </w:p>
    <w:p>
      <w:pPr>
        <w:spacing w:after="0" w:line="6" w:lineRule="exact"/>
        <w:rPr>
          <w:sz w:val="20"/>
          <w:szCs w:val="20"/>
          <w:color w:val="auto"/>
        </w:rPr>
      </w:pPr>
    </w:p>
    <w:p>
      <w:pPr>
        <w:ind w:right="300" w:firstLine="7"/>
        <w:spacing w:after="0" w:line="255" w:lineRule="auto"/>
        <w:tabs>
          <w:tab w:leader="none" w:pos="2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after the Closing) and (B) six (6) years after the Closing; provided that, in all respects,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 with respect to any such Holder.</w:t>
      </w:r>
    </w:p>
    <w:p>
      <w:pPr>
        <w:spacing w:after="0" w:line="182" w:lineRule="exact"/>
        <w:rPr>
          <w:sz w:val="20"/>
          <w:szCs w:val="20"/>
          <w:color w:val="auto"/>
        </w:rPr>
      </w:pPr>
    </w:p>
    <w:p>
      <w:pPr>
        <w:ind w:right="360" w:firstLine="320"/>
        <w:spacing w:after="0" w:line="26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76"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Titles and headings of sections of this Agreement are for convenience only and shall not affect the construction of any provision of this Agreement.</w:t>
      </w:r>
    </w:p>
    <w:p>
      <w:pPr>
        <w:spacing w:after="0" w:line="163" w:lineRule="exact"/>
        <w:rPr>
          <w:sz w:val="20"/>
          <w:szCs w:val="20"/>
          <w:color w:val="auto"/>
        </w:rPr>
      </w:pPr>
    </w:p>
    <w:p>
      <w:pPr>
        <w:ind w:right="140" w:firstLine="320"/>
        <w:spacing w:after="0" w:line="257"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Qualified Additional Holders</w:t>
      </w:r>
      <w:r>
        <w:rPr>
          <w:rFonts w:ascii="Times New Roman" w:cs="Times New Roman" w:eastAsia="Times New Roman" w:hAnsi="Times New Roman"/>
          <w:sz w:val="18"/>
          <w:szCs w:val="18"/>
          <w:color w:val="auto"/>
        </w:rPr>
        <w:t>. In the event that after the date of this Agreement, the Company wishes to provide any Qualified Additional Holders registration rights as contemplated by this Agreement, then the Company shall cause such Qualified Additional Holder to become a party to this Agreement by executing a joinder agreement in the form attached hereto as Exhibit A, agreeing to be bound by and subject to the terms of this Agreement as a Holder and thereafter such Qualified Additional Holder shall be deemed a Holder for all purposes under this Agreement.</w:t>
      </w:r>
    </w:p>
    <w:p>
      <w:pPr>
        <w:spacing w:after="0" w:line="181" w:lineRule="exact"/>
        <w:rPr>
          <w:sz w:val="20"/>
          <w:szCs w:val="20"/>
          <w:color w:val="auto"/>
        </w:rPr>
      </w:pPr>
    </w:p>
    <w:p>
      <w:pPr>
        <w:ind w:right="360" w:firstLine="320"/>
        <w:spacing w:after="0" w:line="277"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Each Holder agrees, if requested in writing, to represent to the Company the total number of Registrable Securities held by such Holder in order for the Company to make determinations hereunder.</w:t>
      </w:r>
    </w:p>
    <w:p>
      <w:pPr>
        <w:spacing w:after="0" w:line="163" w:lineRule="exact"/>
        <w:rPr>
          <w:sz w:val="20"/>
          <w:szCs w:val="20"/>
          <w:color w:val="auto"/>
        </w:rPr>
      </w:pPr>
    </w:p>
    <w:p>
      <w:pPr>
        <w:ind w:right="140" w:firstLine="320"/>
        <w:spacing w:after="0" w:line="250"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Opt-Out Requests</w:t>
      </w:r>
      <w:r>
        <w:rPr>
          <w:rFonts w:ascii="Times New Roman" w:cs="Times New Roman" w:eastAsia="Times New Roman" w:hAnsi="Times New Roman"/>
          <w:sz w:val="18"/>
          <w:szCs w:val="18"/>
          <w:color w:val="auto"/>
        </w:rPr>
        <w:t>. Each Holder shall have the right, at any time and from time to time (including after receiving information regarding any potential public offering), to elect to not receive any notice that the Company or any other Holders otherwise are required to deliver pursuant to this Agreement by delivering to the Company a written statement signed by such Holder that it does not want to receive any notices hereunder (an “</w:t>
      </w:r>
      <w:r>
        <w:rPr>
          <w:rFonts w:ascii="Times New Roman" w:cs="Times New Roman" w:eastAsia="Times New Roman" w:hAnsi="Times New Roman"/>
          <w:sz w:val="18"/>
          <w:szCs w:val="18"/>
          <w:b w:val="1"/>
          <w:bCs w:val="1"/>
          <w:i w:val="1"/>
          <w:iCs w:val="1"/>
          <w:color w:val="auto"/>
        </w:rPr>
        <w:t>Opt-Out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Request</w:t>
      </w:r>
      <w:r>
        <w:rPr>
          <w:rFonts w:ascii="Times New Roman" w:cs="Times New Roman" w:eastAsia="Times New Roman" w:hAnsi="Times New Roman"/>
          <w:sz w:val="18"/>
          <w:szCs w:val="18"/>
          <w:color w:val="auto"/>
        </w:rPr>
        <w:t>”); in which case and notwithstanding anything to the contrary in this Agreement the Company and other Holders shall not be required to, and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not, deliver any notice or other information required to be provided to Holders hereunder to the extent that the Company or such other Holders reasonably expect would result in a Holder acquiring material non-public information within the meaning of Regulation FD promulgated under the Exchange Act. An Opt-Out Request may state a date on which it expires or, if no such date is specified, shall remain in effect indefinitely. A Holder who previously has given the Company an Opt-Out Request may revoke such request at any time, and there shall be no limit on the ability of a Holder to issue and revoke subsequent Opt-Out Requests;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Holder shall use commercially reasonable efforts to minimize the administrative burden on the Company arising in connection with any such Opt-Out Requests.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pacing w:after="0" w:line="200" w:lineRule="exact"/>
        <w:rPr>
          <w:sz w:val="20"/>
          <w:szCs w:val="20"/>
          <w:color w:val="auto"/>
        </w:rPr>
      </w:pPr>
    </w:p>
    <w:p>
      <w:pPr>
        <w:spacing w:after="0" w:line="24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TRISALUS LIFE SCIENCES INC.</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15875</wp:posOffset>
            </wp:positionV>
            <wp:extent cx="32029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0" w:lineRule="exact"/>
        <w:rPr>
          <w:sz w:val="20"/>
          <w:szCs w:val="20"/>
          <w:color w:val="auto"/>
        </w:rPr>
      </w:pPr>
    </w:p>
    <w:p>
      <w:pPr>
        <w:jc w:val="center"/>
        <w:ind w:left="3540"/>
        <w:spacing w:after="0"/>
        <w:rPr>
          <w:sz w:val="20"/>
          <w:szCs w:val="20"/>
          <w:color w:val="auto"/>
        </w:rPr>
      </w:pPr>
      <w:r>
        <w:rPr>
          <w:rFonts w:ascii="Times New Roman" w:cs="Times New Roman" w:eastAsia="Times New Roman" w:hAnsi="Times New Roman"/>
          <w:sz w:val="17"/>
          <w:szCs w:val="17"/>
          <w:b w:val="1"/>
          <w:bCs w:val="1"/>
          <w:color w:val="auto"/>
        </w:rPr>
        <w:t>MEDTECH ACQUISITION SPONSOR LLC,</w:t>
      </w:r>
    </w:p>
    <w:p>
      <w:pPr>
        <w:spacing w:after="0" w:line="41" w:lineRule="exact"/>
        <w:rPr>
          <w:sz w:val="20"/>
          <w:szCs w:val="20"/>
          <w:color w:val="auto"/>
        </w:rPr>
      </w:pPr>
    </w:p>
    <w:p>
      <w:pPr>
        <w:jc w:val="center"/>
        <w:ind w:left="3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1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15875</wp:posOffset>
            </wp:positionV>
            <wp:extent cx="32029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423545</wp:posOffset>
            </wp:positionV>
            <wp:extent cx="71342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819"/>
          </w:cols>
          <w:pgMar w:left="640" w:top="891"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pacing w:after="0" w:line="200" w:lineRule="exact"/>
        <w:rPr>
          <w:sz w:val="20"/>
          <w:szCs w:val="20"/>
          <w:color w:val="auto"/>
        </w:rPr>
      </w:pPr>
    </w:p>
    <w:p>
      <w:pPr>
        <w:spacing w:after="0" w:line="24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15875</wp:posOffset>
            </wp:positionV>
            <wp:extent cx="32029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2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423545</wp:posOffset>
            </wp:positionV>
            <wp:extent cx="71342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819"/>
          </w:cols>
          <w:pgMar w:left="640" w:top="891" w:right="1440"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429895</wp:posOffset>
            </wp:positionV>
            <wp:extent cx="71342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9" w:name="page200"/>
    <w:bookmarkEnd w:id="19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OF JOINDER TO AMENDED AND RESTATED</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97" w:lineRule="exact"/>
        <w:rPr>
          <w:sz w:val="20"/>
          <w:szCs w:val="20"/>
          <w:color w:val="auto"/>
        </w:rPr>
      </w:pPr>
    </w:p>
    <w:p>
      <w:pPr>
        <w:ind w:left="5760" w:hanging="819"/>
        <w:spacing w:after="0"/>
        <w:tabs>
          <w:tab w:leader="none" w:pos="57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20</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right="80" w:firstLine="320"/>
        <w:spacing w:after="0" w:line="254" w:lineRule="auto"/>
        <w:rPr>
          <w:sz w:val="20"/>
          <w:szCs w:val="20"/>
          <w:color w:val="auto"/>
        </w:rPr>
      </w:pPr>
      <w:r>
        <w:rPr>
          <w:rFonts w:ascii="Times New Roman" w:cs="Times New Roman" w:eastAsia="Times New Roman" w:hAnsi="Times New Roman"/>
          <w:sz w:val="18"/>
          <w:szCs w:val="18"/>
          <w:color w:val="auto"/>
        </w:rPr>
        <w:t>Reference is made to that certain Amended and Restated Registration Rights Agreement (as may be amended and/or restated from time to time,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dated as of [●], 2023, by and among TriSalus Life 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MedTech Acquisition Sponsor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former stockholders of the entity formerly known as TriSalus Life Sciences, Inc., a Delaware corporation (“</w:t>
      </w:r>
      <w:r>
        <w:rPr>
          <w:rFonts w:ascii="Times New Roman" w:cs="Times New Roman" w:eastAsia="Times New Roman" w:hAnsi="Times New Roman"/>
          <w:sz w:val="18"/>
          <w:szCs w:val="18"/>
          <w:b w:val="1"/>
          <w:bCs w:val="1"/>
          <w:i w:val="1"/>
          <w:iCs w:val="1"/>
          <w:color w:val="auto"/>
        </w:rPr>
        <w:t>Legacy TriSalus</w:t>
      </w:r>
      <w:r>
        <w:rPr>
          <w:rFonts w:ascii="Times New Roman" w:cs="Times New Roman" w:eastAsia="Times New Roman" w:hAnsi="Times New Roman"/>
          <w:sz w:val="18"/>
          <w:szCs w:val="18"/>
          <w:color w:val="auto"/>
        </w:rPr>
        <w:t>”) and the undersigned parties listed under Holder on the signature page thereto. Capitalized terms used but not otherwise defined herein shall have the meanings ascribed to such terms in the Registration Rights Agreement.</w:t>
      </w:r>
    </w:p>
    <w:p>
      <w:pPr>
        <w:spacing w:after="0" w:line="186"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The undersigned hereby agrees to and does become party to the Registration Rights Agreement as a Holder thereunder. This Joinder shall serve as a counterpart signature page to the Registration Rights Agreement and by executing below the undersigned is deemed to have executed the Registration Rights Agreement with the same force and effect as if originally named a party thereto.</w:t>
      </w:r>
    </w:p>
    <w:p>
      <w:pPr>
        <w:spacing w:after="0" w:line="176" w:lineRule="exact"/>
        <w:rPr>
          <w:sz w:val="20"/>
          <w:szCs w:val="20"/>
          <w:color w:val="auto"/>
        </w:rPr>
      </w:pPr>
    </w:p>
    <w:p>
      <w:pPr>
        <w:ind w:right="520" w:firstLine="320"/>
        <w:spacing w:after="0" w:line="277" w:lineRule="auto"/>
        <w:rPr>
          <w:sz w:val="20"/>
          <w:szCs w:val="20"/>
          <w:color w:val="auto"/>
        </w:rPr>
      </w:pPr>
      <w:r>
        <w:rPr>
          <w:rFonts w:ascii="Times New Roman" w:cs="Times New Roman" w:eastAsia="Times New Roman" w:hAnsi="Times New Roman"/>
          <w:sz w:val="18"/>
          <w:szCs w:val="18"/>
          <w:color w:val="auto"/>
        </w:rPr>
        <w:t>This Joinder may be executed in multiple counterparts, including by means of facsimile or electronic signature, each of which shall be deemed an original, but all of which together shall constitute the same instrument.</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423545</wp:posOffset>
            </wp:positionV>
            <wp:extent cx="71342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TriSalus Life Sciences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6272 W 91st Ave.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Westminster, CO 80031</w:t>
      </w:r>
    </w:p>
    <w:p>
      <w:pPr>
        <w:spacing w:after="0" w:line="20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Lock-Up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is being delivered to you in accordance with that certain Agreement and Plan of Merger, dated as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11, 2022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entered into by and among MedTech Acquisition Corporation,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MTAC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Inc., a Delaware corporation and a direct, wholly 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TriSalus Life Sciences, Inc.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pursuant to which, at the Closing, Parent will acquire 100% of the outstanding equity and equity equivalents of the Company. Capitalized terms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but not otherwise defined in this Agreement shall have the meanings ascribed thereto in the Merger Agreement.</w:t>
      </w:r>
    </w:p>
    <w:p>
      <w:pPr>
        <w:spacing w:after="0" w:line="201"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In order to induce Parent to proceed with the Transactions and for other good and valuable consideration, the receipt and sufficiency of which are hereby acknowledged, the undersigned (each, a “</w:t>
      </w:r>
      <w:r>
        <w:rPr>
          <w:rFonts w:ascii="Times New Roman" w:cs="Times New Roman" w:eastAsia="Times New Roman" w:hAnsi="Times New Roman"/>
          <w:sz w:val="18"/>
          <w:szCs w:val="18"/>
          <w:b w:val="1"/>
          <w:bCs w:val="1"/>
          <w:i w:val="1"/>
          <w:iCs w:val="1"/>
          <w:color w:val="auto"/>
        </w:rPr>
        <w:t>Restricted Securityholder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Restricted Securityholders</w:t>
      </w:r>
      <w:r>
        <w:rPr>
          <w:rFonts w:ascii="Times New Roman" w:cs="Times New Roman" w:eastAsia="Times New Roman" w:hAnsi="Times New Roman"/>
          <w:sz w:val="18"/>
          <w:szCs w:val="18"/>
          <w:color w:val="auto"/>
        </w:rPr>
        <w:t>”) hereby agrees with Parent as follows:</w:t>
      </w:r>
    </w:p>
    <w:p>
      <w:pPr>
        <w:spacing w:after="0" w:line="176" w:lineRule="exact"/>
        <w:rPr>
          <w:sz w:val="20"/>
          <w:szCs w:val="20"/>
          <w:color w:val="auto"/>
        </w:rPr>
      </w:pPr>
    </w:p>
    <w:p>
      <w:pPr>
        <w:ind w:right="20" w:firstLine="327"/>
        <w:spacing w:after="0" w:line="264" w:lineRule="auto"/>
        <w:tabs>
          <w:tab w:leader="none" w:pos="498"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exceptions set forth herein, the Restricted Securityholder agrees not to, without the prior written consent of the board of directors of the Parent, on and following the Closing: (i) sell, offer to sell, contract or agree to sell, hypothecate, pledge, grant any option, right or warrant to purchase or otherwise transfer, dispose of or agree to transfer or dispose of, directly or indirectly, or establish or increase a put equivalent position or liquidate or decrease a call equivalent position within the meaning of Section 16 of the Exchange Act and the rules and regulations of the SEC promulgated thereunder, any shares of the Parent’s common stock, par value $0.0001 per share (“</w:t>
      </w:r>
      <w:r>
        <w:rPr>
          <w:rFonts w:ascii="Times New Roman" w:cs="Times New Roman" w:eastAsia="Times New Roman" w:hAnsi="Times New Roman"/>
          <w:sz w:val="17"/>
          <w:szCs w:val="17"/>
          <w:b w:val="1"/>
          <w:bCs w:val="1"/>
          <w:i w:val="1"/>
          <w:iCs w:val="1"/>
          <w:color w:val="auto"/>
        </w:rPr>
        <w:t>Parent Common Stock</w:t>
      </w:r>
      <w:r>
        <w:rPr>
          <w:rFonts w:ascii="Times New Roman" w:cs="Times New Roman" w:eastAsia="Times New Roman" w:hAnsi="Times New Roman"/>
          <w:sz w:val="17"/>
          <w:szCs w:val="17"/>
          <w:color w:val="auto"/>
        </w:rPr>
        <w:t>”), held by it as of the Closing, any shares of Parent Common Stock issuable upon the exercise of options or warrants to purchase shares of Parent Common Stock held by it as of the Closing, or any securities convertible into or exercisable or exchangeable for Parent Common Stock held by it as of the Closing, (ii) enter into any swap or other arrangement that transfers to another, in whole or in part, any of the economic consequences of ownership of any of such shares of Parent Common Stock or securities convertible into or exercisable or exchangeable for Parent Common Stock, whether any such transaction is to be settled by delivery of such securities, in cash or otherwise or</w:t>
      </w:r>
    </w:p>
    <w:p>
      <w:pPr>
        <w:spacing w:after="0" w:line="5" w:lineRule="exact"/>
        <w:rPr>
          <w:rFonts w:ascii="Times New Roman" w:cs="Times New Roman" w:eastAsia="Times New Roman" w:hAnsi="Times New Roman"/>
          <w:sz w:val="17"/>
          <w:szCs w:val="17"/>
          <w:color w:val="auto"/>
        </w:rPr>
      </w:pPr>
    </w:p>
    <w:p>
      <w:pPr>
        <w:ind w:right="20" w:firstLine="7"/>
        <w:spacing w:after="0" w:line="248" w:lineRule="auto"/>
        <w:tabs>
          <w:tab w:leader="none" w:pos="31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effect any transaction specified in clause (i) or (ii) (the actions specified in clauses (i)-(iii), collectively,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until the earliest of 11:59 p.m. (Eastern Time) on (x) the date that is three hundred and sixty five (365) days after the Closing, (y) such date following the Closing that the closing price of Parent Common Stock equals or exceeds $12.00 per share (as adjusted for stock splits, stock dividends, reorganizations, recapitalizations and the like) for any twenty (20) trading days within any period of thirty (30) consecutive trading days commencing at least one hundred and fifty (150) days following the Closing Date and (z) the date following the Closing on which Parent consummates a liquidation, merger, tender offer, capital stock exchange or other similar transaction that results in all of the stockholders of Parent having the right to exchange their shares of Parent Common Stock for cash, securities or other property (the period between the Closing Date and such earliest date,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500" w:hanging="173"/>
        <w:spacing w:after="0"/>
        <w:tabs>
          <w:tab w:leader="none" w:pos="5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set forth in paragraph 1 shall not apply to:</w:t>
      </w:r>
    </w:p>
    <w:p>
      <w:pPr>
        <w:spacing w:after="0" w:line="219" w:lineRule="exact"/>
        <w:rPr>
          <w:rFonts w:ascii="Times New Roman" w:cs="Times New Roman" w:eastAsia="Times New Roman" w:hAnsi="Times New Roman"/>
          <w:sz w:val="18"/>
          <w:szCs w:val="18"/>
          <w:color w:val="auto"/>
        </w:rPr>
      </w:pPr>
    </w:p>
    <w:p>
      <w:pPr>
        <w:ind w:left="1280" w:right="160" w:hanging="633"/>
        <w:spacing w:after="0" w:line="257" w:lineRule="auto"/>
        <w:tabs>
          <w:tab w:leader="none" w:pos="128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(A) to another entity that is an affiliate (as defined in Rule 405 promulgated under the Securities Act) of the undersigned, or to any investment fund or other entity controlling, controlled by, managing or managed by or under common control with the undersigned or affiliates of the undersigned or who shares a common investment advisor with the undersigned or (B) as part of a distribution to members, partners, shareholders or equity holders of the undersigned;</w:t>
      </w:r>
    </w:p>
    <w:p>
      <w:pPr>
        <w:spacing w:after="0" w:line="180" w:lineRule="exact"/>
        <w:rPr>
          <w:rFonts w:ascii="Times New Roman" w:cs="Times New Roman" w:eastAsia="Times New Roman" w:hAnsi="Times New Roman"/>
          <w:sz w:val="18"/>
          <w:szCs w:val="18"/>
          <w:color w:val="auto"/>
        </w:rPr>
      </w:pPr>
    </w:p>
    <w:p>
      <w:pPr>
        <w:ind w:left="1280" w:right="280" w:hanging="633"/>
        <w:spacing w:after="0" w:line="307" w:lineRule="auto"/>
        <w:tabs>
          <w:tab w:leader="none" w:pos="1280" w:val="left"/>
        </w:tabs>
        <w:numPr>
          <w:ilvl w:val="2"/>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372110</wp:posOffset>
            </wp:positionV>
            <wp:extent cx="71342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1" w:name="page202"/>
    <w:bookmarkEnd w:id="201"/>
    <w:p>
      <w:pPr>
        <w:ind w:left="633" w:hanging="633"/>
        <w:spacing w:after="0"/>
        <w:tabs>
          <w:tab w:leader="none" w:pos="63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virtue of laws of descent and distribution upon death of the individual;</w:t>
      </w:r>
    </w:p>
    <w:p>
      <w:pPr>
        <w:spacing w:after="0" w:line="219" w:lineRule="exact"/>
        <w:rPr>
          <w:rFonts w:ascii="Times New Roman" w:cs="Times New Roman" w:eastAsia="Times New Roman" w:hAnsi="Times New Roman"/>
          <w:sz w:val="18"/>
          <w:szCs w:val="18"/>
          <w:color w:val="auto"/>
        </w:rPr>
      </w:pPr>
    </w:p>
    <w:p>
      <w:pPr>
        <w:ind w:left="633" w:right="80" w:hanging="633"/>
        <w:spacing w:after="0" w:line="277" w:lineRule="auto"/>
        <w:tabs>
          <w:tab w:leader="none" w:pos="63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operation of law or pursuant to a court order, such as a qualified domestic relations order, divorce decree or separation agreement;</w:t>
      </w:r>
    </w:p>
    <w:p>
      <w:pPr>
        <w:spacing w:after="0" w:line="162" w:lineRule="exact"/>
        <w:rPr>
          <w:rFonts w:ascii="Times New Roman" w:cs="Times New Roman" w:eastAsia="Times New Roman" w:hAnsi="Times New Roman"/>
          <w:sz w:val="18"/>
          <w:szCs w:val="18"/>
          <w:color w:val="auto"/>
        </w:rPr>
      </w:pPr>
    </w:p>
    <w:p>
      <w:pPr>
        <w:ind w:left="633" w:right="360" w:hanging="633"/>
        <w:spacing w:after="0" w:line="262" w:lineRule="auto"/>
        <w:tabs>
          <w:tab w:leader="none" w:pos="63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to a partnership, limited liability company or other entity of which the undersigned and/or the immediate family (as defined below) of the undersigned are the legal and beneficial owner of all of the outstanding equity securities or similar interests;</w:t>
      </w:r>
    </w:p>
    <w:p>
      <w:pPr>
        <w:spacing w:after="0" w:line="176" w:lineRule="exact"/>
        <w:rPr>
          <w:rFonts w:ascii="Times New Roman" w:cs="Times New Roman" w:eastAsia="Times New Roman" w:hAnsi="Times New Roman"/>
          <w:sz w:val="18"/>
          <w:szCs w:val="18"/>
          <w:color w:val="auto"/>
        </w:rPr>
      </w:pPr>
    </w:p>
    <w:p>
      <w:pPr>
        <w:ind w:left="633" w:hanging="633"/>
        <w:spacing w:after="0"/>
        <w:tabs>
          <w:tab w:leader="none" w:pos="63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that is a trust, Transfers to a trustor or beneficiary of the trust or to the estate of a beneficiary of such trust;</w:t>
      </w:r>
    </w:p>
    <w:p>
      <w:pPr>
        <w:spacing w:after="0" w:line="219" w:lineRule="exact"/>
        <w:rPr>
          <w:rFonts w:ascii="Times New Roman" w:cs="Times New Roman" w:eastAsia="Times New Roman" w:hAnsi="Times New Roman"/>
          <w:sz w:val="18"/>
          <w:szCs w:val="18"/>
          <w:color w:val="auto"/>
        </w:rPr>
      </w:pPr>
    </w:p>
    <w:p>
      <w:pPr>
        <w:ind w:left="633" w:right="320" w:hanging="633"/>
        <w:spacing w:after="0" w:line="277" w:lineRule="auto"/>
        <w:tabs>
          <w:tab w:leader="none" w:pos="63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by virtue of the laws of the state of the entity’s organization and the entity’s organizational documents upon dissolution of the entity;</w:t>
      </w:r>
    </w:p>
    <w:p>
      <w:pPr>
        <w:spacing w:after="0" w:line="162" w:lineRule="exact"/>
        <w:rPr>
          <w:rFonts w:ascii="Times New Roman" w:cs="Times New Roman" w:eastAsia="Times New Roman" w:hAnsi="Times New Roman"/>
          <w:sz w:val="18"/>
          <w:szCs w:val="18"/>
          <w:color w:val="auto"/>
        </w:rPr>
      </w:pPr>
    </w:p>
    <w:p>
      <w:pPr>
        <w:ind w:left="633" w:hanging="633"/>
        <w:spacing w:after="0" w:line="277" w:lineRule="auto"/>
        <w:tabs>
          <w:tab w:leader="none" w:pos="63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any shares of the Parent Common Stock or other securities acquired as part of the PIPE Investment or issued in exchange for, or on conversion of or exercise of, any securities issued as part of the PIPE Investment;</w:t>
      </w:r>
    </w:p>
    <w:p>
      <w:pPr>
        <w:spacing w:after="0" w:line="162" w:lineRule="exact"/>
        <w:rPr>
          <w:rFonts w:ascii="Times New Roman" w:cs="Times New Roman" w:eastAsia="Times New Roman" w:hAnsi="Times New Roman"/>
          <w:sz w:val="18"/>
          <w:szCs w:val="18"/>
          <w:color w:val="auto"/>
        </w:rPr>
      </w:pPr>
    </w:p>
    <w:p>
      <w:pPr>
        <w:ind w:left="633" w:right="40" w:hanging="633"/>
        <w:spacing w:after="0" w:line="284" w:lineRule="auto"/>
        <w:tabs>
          <w:tab w:leader="none" w:pos="633"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transactions relating to Parent Common Stock or other securities convertible into or exercisable or exchangeable for Parent Common Stock acquired in open market transactions after the Closing,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transaction is required to be, or is, publicly announced (whether on Form 4, Form 5 or otherwise, other than a required filing on Schedule 13F, 13G or 13G/A) during the Lock-Up Period;</w:t>
      </w:r>
    </w:p>
    <w:p>
      <w:pPr>
        <w:spacing w:after="0" w:line="159" w:lineRule="exact"/>
        <w:rPr>
          <w:rFonts w:ascii="Times New Roman" w:cs="Times New Roman" w:eastAsia="Times New Roman" w:hAnsi="Times New Roman"/>
          <w:sz w:val="17"/>
          <w:szCs w:val="17"/>
          <w:color w:val="auto"/>
        </w:rPr>
      </w:pPr>
    </w:p>
    <w:p>
      <w:pPr>
        <w:ind w:left="633" w:right="60" w:hanging="633"/>
        <w:spacing w:after="0" w:line="269" w:lineRule="auto"/>
        <w:tabs>
          <w:tab w:leader="none" w:pos="633"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of any options or warrants to purchase Parent Common Stock or the vesting of stock awards of Parent Common Stock and any related transfer of shares of Parent Common Stock in connection therewith (A) deemed to occur upon the “cashless” or “net” exercise of such options or warrants or (B) for the purpose of paying the exercise price of such options or warrants or to satisfy tax withholding obligations pursuant to Parent’s or Parent’s subsidiaries’ equity incentive plans or arrangements due as a result of the exercise of such options or warrants, the vesting of such options, warrants or stock awards, or as a result of the vesting of the shares of Parent Common Stock subject to such options, warrants or stock awards, it being understood that all shares of Parent Common Stock received upon such exercise, vesting or transfer will remain subject to the restrictions of this Letter Agreement during the Lock-Up Period;</w:t>
      </w:r>
    </w:p>
    <w:p>
      <w:pPr>
        <w:spacing w:after="0" w:line="174" w:lineRule="exact"/>
        <w:rPr>
          <w:rFonts w:ascii="Times New Roman" w:cs="Times New Roman" w:eastAsia="Times New Roman" w:hAnsi="Times New Roman"/>
          <w:sz w:val="17"/>
          <w:szCs w:val="17"/>
          <w:color w:val="auto"/>
        </w:rPr>
      </w:pPr>
    </w:p>
    <w:p>
      <w:pPr>
        <w:ind w:left="633" w:right="120" w:hanging="633"/>
        <w:spacing w:after="0" w:line="262" w:lineRule="auto"/>
        <w:tabs>
          <w:tab w:leader="none" w:pos="63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Parent pursuant to any contractual arrangement in effect at the Closing that provides for the repurchase by Parent or forfeiture of the Restricted Securityholder’s Parent Common Stock or other securities convertible into or exercisable or exchangeable for Parent Common Stock in connection with the termination of the Restricted Securityholder’s service to Parent;</w:t>
      </w:r>
    </w:p>
    <w:p>
      <w:pPr>
        <w:spacing w:after="0" w:line="176" w:lineRule="exact"/>
        <w:rPr>
          <w:rFonts w:ascii="Times New Roman" w:cs="Times New Roman" w:eastAsia="Times New Roman" w:hAnsi="Times New Roman"/>
          <w:sz w:val="18"/>
          <w:szCs w:val="18"/>
          <w:color w:val="auto"/>
        </w:rPr>
      </w:pPr>
    </w:p>
    <w:p>
      <w:pPr>
        <w:ind w:left="633" w:right="440" w:hanging="633"/>
        <w:spacing w:after="0" w:line="258" w:lineRule="auto"/>
        <w:tabs>
          <w:tab w:leader="none" w:pos="63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the Restricted Securityholder, at any time after the Closing, of any trading plan providing for the sale of Parent Common Stock by the Restricted Securityholder, which trading plan meets the requirements of Rule 10b5-1(c) under the Exchange</w:t>
      </w:r>
    </w:p>
    <w:p>
      <w:pPr>
        <w:ind w:left="633" w:right="2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such plan does not provide for, or permit, the sale of any Parent Common Stock during the Lock-Up Period and (b)(x) no public announcement or filing is voluntarily made or required regarding such plan during the Lock-Up Period or (y) if any public announcement is required of or voluntarily made by or on behalf of the Restricted Securityholder or the Company regarding such plan, then such announcement or filing shall include a statement to the effect that no Transfer may be made under such plan during the Lock-Up Period; and</w:t>
      </w:r>
    </w:p>
    <w:p>
      <w:pPr>
        <w:spacing w:after="0" w:line="188" w:lineRule="exact"/>
        <w:rPr>
          <w:rFonts w:ascii="Times New Roman" w:cs="Times New Roman" w:eastAsia="Times New Roman" w:hAnsi="Times New Roman"/>
          <w:sz w:val="18"/>
          <w:szCs w:val="18"/>
          <w:color w:val="auto"/>
        </w:rPr>
      </w:pPr>
    </w:p>
    <w:p>
      <w:pPr>
        <w:ind w:left="633" w:right="20" w:hanging="633"/>
        <w:spacing w:after="0" w:line="253" w:lineRule="auto"/>
        <w:tabs>
          <w:tab w:leader="none" w:pos="63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satisfy any U.S. federal, state, or local income tax obligations of the Restricted Securityholder (or its direct or indirect owners) arising from a change in the Code or the U.S. Treasury Regulations promulgated thereunder (the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after the date on which the Merger Agreement was executed by the parties, and such change prevents the Transactions from qualifying as a “reorganization” pursuant to Section 368 of the Code (and the Transactions do not qualify for similar tax-free treatment pursuant to any successor or other provision of the Code or Regulations taking into account such changes), in each case solely and to the extent necessary to cover any tax liability as a direct result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400685</wp:posOffset>
            </wp:positionV>
            <wp:extent cx="71342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93"/>
          </w:cols>
          <w:pgMar w:left="967" w:top="895" w:right="339" w:bottom="1440" w:gutter="0" w:footer="0" w:header="0"/>
        </w:sectPr>
      </w:pPr>
    </w:p>
    <w:bookmarkStart w:id="202" w:name="page203"/>
    <w:bookmarkEnd w:id="202"/>
    <w:p>
      <w:pPr>
        <w:spacing w:after="0" w:line="25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clauses (i) through (vii), these permitted transferees must enter into a written agreement with Parent, in substantially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of this Letter Agreement (it being understood that any references to “immediate family” in the agreement executed by such transferee shall expressly refer only to the immediate family of the Restricted Securityholder and not to the immediate family of the transferee), agreeing to be bound by these Transfer restrictions. For purposes of this paragraph, “immediate family” shall mean a spouse, domestic partner, child, grandchild or other lineal descendant (including by adoption), father, mother, brother or sister of the Restricted Securityholder; and “affiliate” shall have the meaning set forth in Rule 405 under the Securities Act.</w:t>
      </w:r>
    </w:p>
    <w:p>
      <w:pPr>
        <w:spacing w:after="0" w:line="187" w:lineRule="exact"/>
        <w:rPr>
          <w:sz w:val="20"/>
          <w:szCs w:val="20"/>
          <w:color w:val="auto"/>
        </w:rPr>
      </w:pPr>
    </w:p>
    <w:p>
      <w:pPr>
        <w:ind w:right="100" w:firstLine="647"/>
        <w:spacing w:after="0" w:line="253" w:lineRule="auto"/>
        <w:tabs>
          <w:tab w:leader="none" w:pos="8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Securityholder hereby represents and warrants that such Restricted Securityholder has full power and authority to enter into this Letter Agreement and that this Letter Agreement constitutes the legal, valid and binding obligation of the Restricted Securityholder, enforceable in accordance with its terms. Upon request, the Restricted Securityholder will execute any additional documents necessary in connection with enforcement hereof. Any obligations of the Restricted Securityholder shall be binding upon the successors and assigns of the Restricted Securityholder from and after the date hereof. The Restricted Securityholder has independently evaluated the merits of its decision to enter into and deliver this Letter Agreement, and such Restricted Securityholder confirms that it has not relied on the advice of Parent, Parent’s legal counsel, or the Company or its legal counsel.</w:t>
      </w:r>
    </w:p>
    <w:p>
      <w:pPr>
        <w:spacing w:after="0" w:line="185" w:lineRule="exact"/>
        <w:rPr>
          <w:rFonts w:ascii="Times New Roman" w:cs="Times New Roman" w:eastAsia="Times New Roman" w:hAnsi="Times New Roman"/>
          <w:sz w:val="18"/>
          <w:szCs w:val="18"/>
          <w:color w:val="auto"/>
        </w:rPr>
      </w:pPr>
    </w:p>
    <w:p>
      <w:pPr>
        <w:ind w:right="320" w:firstLine="647"/>
        <w:spacing w:after="0" w:line="277" w:lineRule="auto"/>
        <w:tabs>
          <w:tab w:leader="none" w:pos="8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each Restricted Securityholder shall retain all of its rights as a stockholder of the Parent with respect to the Parent Common Stock during the Lock-Up Period, including the right to vote any Parent Common Stock that are entitled to vote.</w:t>
      </w:r>
    </w:p>
    <w:p>
      <w:pPr>
        <w:spacing w:after="0" w:line="162" w:lineRule="exact"/>
        <w:rPr>
          <w:rFonts w:ascii="Times New Roman" w:cs="Times New Roman" w:eastAsia="Times New Roman" w:hAnsi="Times New Roman"/>
          <w:sz w:val="18"/>
          <w:szCs w:val="18"/>
          <w:color w:val="auto"/>
        </w:rPr>
      </w:pPr>
    </w:p>
    <w:p>
      <w:pPr>
        <w:ind w:firstLine="647"/>
        <w:spacing w:after="0" w:line="257" w:lineRule="auto"/>
        <w:tabs>
          <w:tab w:leader="none" w:pos="8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Parent, and any duly appointed transfer agent for the registration or Transfer of the securities described herein, are hereby authorized to decline to make any Transfer if such Transfer would constitute a violation or breach of this Letter Agreement, and such purported Transfer shall be null and void ab initio. In addition, during the Lock-Up Period, each certificate or book-entry position evidencing the Parent Common Stock held by a Restricted Securityholder shall be marked with a legend in substantially the following form, in addition to any other applicable legends:</w:t>
      </w:r>
    </w:p>
    <w:p>
      <w:pPr>
        <w:spacing w:after="0" w:line="181" w:lineRule="exact"/>
        <w:rPr>
          <w:sz w:val="20"/>
          <w:szCs w:val="20"/>
          <w:color w:val="auto"/>
        </w:rPr>
      </w:pPr>
    </w:p>
    <w:p>
      <w:pPr>
        <w:ind w:left="640" w:right="60"/>
        <w:spacing w:after="0" w:line="257" w:lineRule="auto"/>
        <w:rPr>
          <w:sz w:val="20"/>
          <w:szCs w:val="20"/>
          <w:color w:val="auto"/>
        </w:rPr>
      </w:pPr>
      <w:r>
        <w:rPr>
          <w:rFonts w:ascii="Times New Roman" w:cs="Times New Roman" w:eastAsia="Times New Roman" w:hAnsi="Times New Roman"/>
          <w:sz w:val="18"/>
          <w:szCs w:val="18"/>
          <w:color w:val="auto"/>
        </w:rPr>
        <w:t>“THE SECURITIES REPRESENTED HEREBY ARE SUBJECT TO RESTRICTIONS ON TRANSFER SET FORTH IN A LOCK-UP AGREEMENT BY AND AMONG THE COMPANY AND THE REGISTERED HOLDER OF THE SECURITIES (OR THE PREDECESSOR IN INTEREST TO THE SECURITIES). A COPY OF SUCH LOCK-UP AGREEMENT WILL BE FURNISHED WITHOUT CHARGE BY THE COMPANY TO THE HOLDER HEREOF UPON WRITTEN REQUEST.”</w:t>
      </w:r>
    </w:p>
    <w:p>
      <w:pPr>
        <w:spacing w:after="0" w:line="181" w:lineRule="exact"/>
        <w:rPr>
          <w:sz w:val="20"/>
          <w:szCs w:val="20"/>
          <w:color w:val="auto"/>
        </w:rPr>
      </w:pPr>
    </w:p>
    <w:p>
      <w:pPr>
        <w:ind w:right="180" w:firstLine="647"/>
        <w:spacing w:after="0" w:line="257" w:lineRule="auto"/>
        <w:tabs>
          <w:tab w:leader="none" w:pos="8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80" w:lineRule="exact"/>
        <w:rPr>
          <w:rFonts w:ascii="Times New Roman" w:cs="Times New Roman" w:eastAsia="Times New Roman" w:hAnsi="Times New Roman"/>
          <w:sz w:val="18"/>
          <w:szCs w:val="18"/>
          <w:color w:val="auto"/>
        </w:rPr>
      </w:pPr>
    </w:p>
    <w:p>
      <w:pPr>
        <w:jc w:val="both"/>
        <w:ind w:right="40" w:firstLine="647"/>
        <w:spacing w:after="0" w:line="257" w:lineRule="auto"/>
        <w:tabs>
          <w:tab w:leader="none" w:pos="8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Restricted Securityholder and each of its respective successors, heirs and assigns and permitted transferees.</w:t>
      </w:r>
    </w:p>
    <w:p>
      <w:pPr>
        <w:spacing w:after="0" w:line="180" w:lineRule="exact"/>
        <w:rPr>
          <w:rFonts w:ascii="Times New Roman" w:cs="Times New Roman" w:eastAsia="Times New Roman" w:hAnsi="Times New Roman"/>
          <w:sz w:val="18"/>
          <w:szCs w:val="18"/>
          <w:color w:val="auto"/>
        </w:rPr>
      </w:pPr>
    </w:p>
    <w:p>
      <w:pPr>
        <w:ind w:right="120" w:firstLine="647"/>
        <w:spacing w:after="0" w:line="254" w:lineRule="auto"/>
        <w:tabs>
          <w:tab w:leader="none" w:pos="8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of the State of Delaware shall govern (a) all claims or matters related to or arising from this Letter Agreement (including any tort or non-contractual claims) and (b) any questions concerning the construction, interpretation, validity and enforceability of this Letter Agreement, and the performance of the obligations imposed by this Letter Agreement, in each case without giving effect to any choice of law or conflict of law rules or provisions (whether of the State of Delaware or any other jurisdiction) that would cause the application of the Law of any jurisdiction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71342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03" w:name="page204"/>
    <w:bookmarkEnd w:id="203"/>
    <w:p>
      <w:pPr>
        <w:ind w:left="-20" w:right="140" w:firstLine="647"/>
        <w:spacing w:after="0" w:line="250" w:lineRule="auto"/>
        <w:tabs>
          <w:tab w:leader="none" w:pos="79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submits to the exclusive jurisdiction of first, the Court of Chancery of the State of Delaware or if such court declines jurisdiction, then to any court of the State of Delaware or the Federal District Court for the District of Delaware, in any Action arising out of or relating to this Letter Agreement, agrees that all claims in respect of the Action shall be heard and determined in any such court and agrees not to bring any Action arising out of or relating to this Letter Agreement in any other courts. Nothing in this paragraph 9, however, shall affect the right of any party to serve legal process in any other manner permitted by Law or at equity. Each party hereto agrees that a final judgment in any Action so brought shall be conclusive and may be enforced by suit on the judgment or in any other manner provided by Law or at equity. EACH PARTY HERETO HEREBY IRREVOCABLY WAIVES ALL RIGHTS TO TRIAL BY JURY IN ANY ACTION BROUGHT TO RESOLVE ANY DISPUTE BETWEEN OR AMONG ANY OF THE PARTIES (WHETHER ARISING IN CONTRACT, TORT OR OTHERWISE) ARISING OUT OF, CONNECTED WITH, RELATED OR INCIDENTAL TO THIS LETTER AGREEMENT, THE TRANSACTIONS OR THE RELATIONSHIPS ESTABLISHED AMONG THE PARTIES UNDER THIS LETTER AGREEMENT. EACH PARTY FURTHER WARRANTS AND REPRESENTS THAT SUCH PARTY HAS REVIEWED THIS WAIVER WITH ITS LEGAL COUNSEL, AND THAT SUCH PARTY KNOWINGLY AND VOLUNTARILY WAIVES ITS JURY TRIAL RIGHTS FOLLOWING CONSULTATION WITH LEGAL COUNSEL.</w:t>
      </w:r>
    </w:p>
    <w:p>
      <w:pPr>
        <w:spacing w:after="0" w:line="187" w:lineRule="exact"/>
        <w:rPr>
          <w:rFonts w:ascii="Times New Roman" w:cs="Times New Roman" w:eastAsia="Times New Roman" w:hAnsi="Times New Roman"/>
          <w:sz w:val="18"/>
          <w:szCs w:val="18"/>
          <w:color w:val="auto"/>
        </w:rPr>
      </w:pPr>
    </w:p>
    <w:p>
      <w:pPr>
        <w:ind w:left="-20" w:firstLine="647"/>
        <w:spacing w:after="0" w:line="250" w:lineRule="auto"/>
        <w:tabs>
          <w:tab w:leader="none" w:pos="88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any provision of this Letter Agreement was not performed in accordance with the terms hereof and that the parties shall be entitled to specific performance of the terms hereof, in addition to any other remedy at law or in equity without the necessity of proving the inadequacy of money damages as a remedy and without bond or other security being required, this being in addition to any other remedy to which they are entitled at law or in equity. Each of the parties hereto hereby further acknowledges that the existence of any other remedy contemplated by this Letter Agreement does not diminish the availability of specific performance of the obligations hereunder or any other injunctive relief. It is accordingly agreed that the parties hereto shall be entitled to seek an injunction or injunctions to prevent breaches of this Letter Agreement and to enforce specifically the terms and provisions of this Letter Agreement in the Court of Chancery or any other state or federal court within the State of Delaware, this being in addition to any other remedy to which such party is entitled at law or in equity. Each party hereto hereby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90" w:lineRule="exact"/>
        <w:rPr>
          <w:rFonts w:ascii="Times New Roman" w:cs="Times New Roman" w:eastAsia="Times New Roman" w:hAnsi="Times New Roman"/>
          <w:sz w:val="18"/>
          <w:szCs w:val="18"/>
          <w:color w:val="auto"/>
        </w:rPr>
      </w:pPr>
    </w:p>
    <w:p>
      <w:pPr>
        <w:ind w:left="-20" w:right="240" w:firstLine="647"/>
        <w:spacing w:after="0" w:line="277" w:lineRule="auto"/>
        <w:tabs>
          <w:tab w:leader="none" w:pos="88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terminate on the earlier of (i) the termination of the Merger Agreement, (ii) the expiration of the Lock-Up Period and (iii) the liquidation of the Parent.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423545</wp:posOffset>
            </wp:positionV>
            <wp:extent cx="71342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204" w:name="page205"/>
    <w:bookmarkEnd w:id="204"/>
    <w:p>
      <w:pPr>
        <w:jc w:val="center"/>
        <w:ind w:right="-359"/>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of Restricted Securityholder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7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7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(Name of Signatory if Restricted Securityholder is an entity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7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of Signatory if Restricted Securityholder is an entity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7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304165</wp:posOffset>
            </wp:positionV>
            <wp:extent cx="29229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160020</wp:posOffset>
            </wp:positionV>
            <wp:extent cx="29229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15875</wp:posOffset>
            </wp:positionV>
            <wp:extent cx="29229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423545</wp:posOffset>
            </wp:positionV>
            <wp:extent cx="71342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840"/>
          </w:cols>
          <w:pgMar w:left="1440" w:top="895" w:right="6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Acknowledged and Accepted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MEDTECH ACQUISITION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15875</wp:posOffset>
            </wp:positionV>
            <wp:extent cx="32029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15875</wp:posOffset>
            </wp:positionV>
            <wp:extent cx="32029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MTAC MERGER SUB,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15875</wp:posOffset>
            </wp:positionV>
            <wp:extent cx="32029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26"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440690</wp:posOffset>
            </wp:positionV>
            <wp:extent cx="71342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1"/>
          <w:szCs w:val="21"/>
          <w:b w:val="1"/>
          <w:bCs w:val="1"/>
          <w:color w:val="auto"/>
        </w:rPr>
        <w:t>Exhibit G</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MERGER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MTAC MERGER SUB,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[TRISALUS OPERATING LIFE SCIENCES,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2023</w:t>
      </w:r>
    </w:p>
    <w:p>
      <w:pPr>
        <w:spacing w:after="0" w:line="201" w:lineRule="exact"/>
        <w:rPr>
          <w:sz w:val="20"/>
          <w:szCs w:val="20"/>
          <w:color w:val="auto"/>
        </w:rPr>
      </w:pPr>
    </w:p>
    <w:p>
      <w:pPr>
        <w:ind w:right="100" w:firstLine="640"/>
        <w:spacing w:after="0" w:line="262" w:lineRule="auto"/>
        <w:rPr>
          <w:sz w:val="20"/>
          <w:szCs w:val="20"/>
          <w:color w:val="auto"/>
        </w:rPr>
      </w:pPr>
      <w:r>
        <w:rPr>
          <w:rFonts w:ascii="Times New Roman" w:cs="Times New Roman" w:eastAsia="Times New Roman" w:hAnsi="Times New Roman"/>
          <w:sz w:val="18"/>
          <w:szCs w:val="18"/>
          <w:color w:val="auto"/>
        </w:rPr>
        <w:t>Pursuant to Section 251(c)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the undersigned, [TriSalus Operating Life Sciences,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merger of MTAC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hereby certifies as follows: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and state of incorporation of each of the constituent corporations in the Merger (each, a “</w:t>
      </w:r>
      <w:r>
        <w:rPr>
          <w:rFonts w:ascii="Times New Roman" w:cs="Times New Roman" w:eastAsia="Times New Roman" w:hAnsi="Times New Roman"/>
          <w:sz w:val="18"/>
          <w:szCs w:val="18"/>
          <w:u w:val="single" w:color="auto"/>
          <w:color w:val="auto"/>
        </w:rPr>
        <w:t>Constituent Corporation</w:t>
      </w:r>
      <w:r>
        <w:rPr>
          <w:rFonts w:ascii="Times New Roman" w:cs="Times New Roman" w:eastAsia="Times New Roman" w:hAnsi="Times New Roman"/>
          <w:sz w:val="18"/>
          <w:szCs w:val="18"/>
          <w:color w:val="auto"/>
        </w:rPr>
        <w:t>”) are 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93"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3"/>
              </w:rPr>
              <w:t>Name</w:t>
            </w:r>
          </w:p>
        </w:tc>
        <w:tc>
          <w:tcPr>
            <w:tcW w:w="2660" w:type="dxa"/>
            <w:vAlign w:val="bottom"/>
          </w:tcPr>
          <w:p>
            <w:pPr>
              <w:spacing w:after="0"/>
              <w:rPr>
                <w:sz w:val="17"/>
                <w:szCs w:val="17"/>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State of Incorporation</w:t>
            </w:r>
          </w:p>
        </w:tc>
      </w:tr>
      <w:tr>
        <w:trPr>
          <w:trHeight w:val="20"/>
        </w:trPr>
        <w:tc>
          <w:tcPr>
            <w:tcW w:w="4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341"/>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[TriSalus Operating Life Sciences, Inc.]</w:t>
            </w: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Delaware</w:t>
            </w:r>
          </w:p>
        </w:tc>
      </w:tr>
      <w:tr>
        <w:trPr>
          <w:trHeight w:val="32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MTAC Merger Sub, Inc.</w:t>
            </w: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190" w:lineRule="exact"/>
        <w:rPr>
          <w:sz w:val="20"/>
          <w:szCs w:val="20"/>
          <w:color w:val="auto"/>
        </w:rPr>
      </w:pPr>
    </w:p>
    <w:p>
      <w:pPr>
        <w:ind w:right="20"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Agreement and Plan of Merger, dated as of November 11, 2022, by and among, the Company, TriSalus Life Sciences, Inc. (formerly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known as MedTech Acquisition Corporation),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Merger Sub,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been approved, adopted, executed and acknowledged by each of the Constituent Corporations in accordance with the requirements of Section 251 of the DGCL.</w:t>
      </w:r>
    </w:p>
    <w:p>
      <w:pPr>
        <w:spacing w:after="0" w:line="177" w:lineRule="exact"/>
        <w:rPr>
          <w:sz w:val="20"/>
          <w:szCs w:val="20"/>
          <w:color w:val="auto"/>
        </w:rPr>
      </w:pPr>
    </w:p>
    <w:p>
      <w:pPr>
        <w:ind w:right="16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At the effective time of the Merger, the Company shall be the surviving entity of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the name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Surviving Company shall be [“TriSalus Operating Life Sciences, Inc.”]</w:t>
      </w:r>
    </w:p>
    <w:p>
      <w:pPr>
        <w:spacing w:after="0" w:line="369" w:lineRule="exact"/>
        <w:rPr>
          <w:sz w:val="20"/>
          <w:szCs w:val="20"/>
          <w:color w:val="auto"/>
        </w:rPr>
      </w:pPr>
    </w:p>
    <w:p>
      <w:pPr>
        <w:ind w:right="120"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amended and restated certificate of incorporation of the Company shall be amended and restated in its entirety at the effective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Merger to read as set forth in Annex A attached hereto and, as so amended and restated, shall be the certificate of incorporation of the Surviving Company until thereafter amended as provided therein or by applicable law.</w:t>
      </w:r>
    </w:p>
    <w:p>
      <w:pPr>
        <w:spacing w:after="0" w:line="171" w:lineRule="exact"/>
        <w:rPr>
          <w:sz w:val="20"/>
          <w:szCs w:val="20"/>
          <w:color w:val="auto"/>
        </w:rPr>
      </w:pPr>
    </w:p>
    <w:p>
      <w:pPr>
        <w:ind w:right="84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The executed Merger Agreement is on file at an office of the Surviving Company, the address of which is 6272 W. 91st Avenue,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Westminster, CO 80031.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401320</wp:posOffset>
            </wp:positionV>
            <wp:extent cx="71342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07" w:name="page208"/>
    <w:bookmarkEnd w:id="207"/>
    <w:p>
      <w:pPr>
        <w:ind w:right="16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A copy of the Merger Agreement will be furnished by the Surviving Company, on request and without cost, to any stockholder of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Constituent Corporation.</w:t>
      </w:r>
    </w:p>
    <w:p>
      <w:pPr>
        <w:spacing w:after="0" w:line="156"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The Merger shall become effective immediately upon the filing of this Certificate of Merger with the Secretary of State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304165</wp:posOffset>
            </wp:positionV>
            <wp:extent cx="71342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08" w:name="page209"/>
    <w:bookmarkEnd w:id="208"/>
    <w:p>
      <w:pPr>
        <w:ind w:left="6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undersigned has caused this Certificate of Merger to be duly executed by an authorized officer on the date first written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ri</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alus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perating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ife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ciences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Mary Szela</w:t>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1"/>
          <w:szCs w:val="21"/>
          <w:color w:val="auto"/>
        </w:rPr>
        <w:t>Title: Chief Executive Officer and President</w:t>
      </w:r>
    </w:p>
    <w:p>
      <w:pPr>
        <w:spacing w:after="0" w:line="1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[Signature Page to Certificate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40"/>
          </w:cols>
          <w:pgMar w:left="320" w:top="891" w:right="639" w:bottom="1440" w:gutter="0" w:footer="0" w:header="0"/>
        </w:sectPr>
      </w:pPr>
    </w:p>
    <w:bookmarkStart w:id="209" w:name="page210"/>
    <w:bookmarkEnd w:id="20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448945</wp:posOffset>
            </wp:positionV>
            <wp:extent cx="71342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T</w:t>
      </w:r>
      <w:r>
        <w:rPr>
          <w:rFonts w:ascii="Times New Roman" w:cs="Times New Roman" w:eastAsia="Times New Roman" w:hAnsi="Times New Roman"/>
          <w:sz w:val="17"/>
          <w:szCs w:val="17"/>
          <w:b w:val="1"/>
          <w:bCs w:val="1"/>
          <w:color w:val="auto"/>
        </w:rPr>
        <w:t>ri</w:t>
      </w:r>
      <w:r>
        <w:rPr>
          <w:rFonts w:ascii="Times New Roman" w:cs="Times New Roman" w:eastAsia="Times New Roman" w:hAnsi="Times New Roman"/>
          <w:sz w:val="25"/>
          <w:szCs w:val="25"/>
          <w:b w:val="1"/>
          <w:bCs w:val="1"/>
          <w:color w:val="auto"/>
        </w:rPr>
        <w:t>S</w:t>
      </w:r>
      <w:r>
        <w:rPr>
          <w:rFonts w:ascii="Times New Roman" w:cs="Times New Roman" w:eastAsia="Times New Roman" w:hAnsi="Times New Roman"/>
          <w:sz w:val="17"/>
          <w:szCs w:val="17"/>
          <w:b w:val="1"/>
          <w:bCs w:val="1"/>
          <w:color w:val="auto"/>
        </w:rPr>
        <w:t>alus</w:t>
      </w:r>
      <w:r>
        <w:rPr>
          <w:rFonts w:ascii="Times New Roman" w:cs="Times New Roman" w:eastAsia="Times New Roman" w:hAnsi="Times New Roman"/>
          <w:sz w:val="25"/>
          <w:szCs w:val="25"/>
          <w:b w:val="1"/>
          <w:bCs w:val="1"/>
          <w:color w:val="auto"/>
        </w:rPr>
        <w:t xml:space="preserve"> L</w:t>
      </w:r>
      <w:r>
        <w:rPr>
          <w:rFonts w:ascii="Times New Roman" w:cs="Times New Roman" w:eastAsia="Times New Roman" w:hAnsi="Times New Roman"/>
          <w:sz w:val="17"/>
          <w:szCs w:val="17"/>
          <w:b w:val="1"/>
          <w:bCs w:val="1"/>
          <w:color w:val="auto"/>
        </w:rPr>
        <w:t>ife</w:t>
      </w:r>
      <w:r>
        <w:rPr>
          <w:rFonts w:ascii="Times New Roman" w:cs="Times New Roman" w:eastAsia="Times New Roman" w:hAnsi="Times New Roman"/>
          <w:sz w:val="25"/>
          <w:szCs w:val="25"/>
          <w:b w:val="1"/>
          <w:bCs w:val="1"/>
          <w:color w:val="auto"/>
        </w:rPr>
        <w:t xml:space="preserve"> S</w:t>
      </w:r>
      <w:r>
        <w:rPr>
          <w:rFonts w:ascii="Times New Roman" w:cs="Times New Roman" w:eastAsia="Times New Roman" w:hAnsi="Times New Roman"/>
          <w:sz w:val="17"/>
          <w:szCs w:val="17"/>
          <w:b w:val="1"/>
          <w:bCs w:val="1"/>
          <w:color w:val="auto"/>
        </w:rPr>
        <w:t>ciences</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3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2022 E</w:t>
      </w:r>
      <w:r>
        <w:rPr>
          <w:rFonts w:ascii="Times New Roman" w:cs="Times New Roman" w:eastAsia="Times New Roman" w:hAnsi="Times New Roman"/>
          <w:sz w:val="17"/>
          <w:szCs w:val="17"/>
          <w:b w:val="1"/>
          <w:bCs w:val="1"/>
          <w:color w:val="auto"/>
        </w:rPr>
        <w:t>quity</w:t>
      </w:r>
      <w:r>
        <w:rPr>
          <w:rFonts w:ascii="Times New Roman" w:cs="Times New Roman" w:eastAsia="Times New Roman" w:hAnsi="Times New Roman"/>
          <w:sz w:val="25"/>
          <w:szCs w:val="25"/>
          <w:b w:val="1"/>
          <w:bCs w:val="1"/>
          <w:color w:val="auto"/>
        </w:rPr>
        <w:t xml:space="preserve"> I</w:t>
      </w:r>
      <w:r>
        <w:rPr>
          <w:rFonts w:ascii="Times New Roman" w:cs="Times New Roman" w:eastAsia="Times New Roman" w:hAnsi="Times New Roman"/>
          <w:sz w:val="17"/>
          <w:szCs w:val="17"/>
          <w:b w:val="1"/>
          <w:bCs w:val="1"/>
          <w:color w:val="auto"/>
        </w:rPr>
        <w:t>ncentive</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[DATE]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[DATE]</w:t>
      </w:r>
    </w:p>
    <w:p>
      <w:pPr>
        <w:spacing w:after="0" w:line="197" w:lineRule="exact"/>
        <w:rPr>
          <w:sz w:val="20"/>
          <w:szCs w:val="20"/>
          <w:color w:val="auto"/>
        </w:rPr>
      </w:pPr>
    </w:p>
    <w:p>
      <w:pPr>
        <w:ind w:left="680" w:hanging="673"/>
        <w:spacing w:after="0"/>
        <w:tabs>
          <w:tab w:leader="none" w:pos="6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firstLine="7"/>
        <w:spacing w:after="0" w:line="264" w:lineRule="auto"/>
        <w:tabs>
          <w:tab w:leader="none" w:pos="741"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0" w:lineRule="exact"/>
        <w:rPr>
          <w:rFonts w:ascii="Times New Roman" w:cs="Times New Roman" w:eastAsia="Times New Roman" w:hAnsi="Times New Roman"/>
          <w:sz w:val="18"/>
          <w:szCs w:val="18"/>
          <w:b w:val="1"/>
          <w:bCs w:val="1"/>
          <w:color w:val="auto"/>
        </w:rPr>
      </w:pPr>
    </w:p>
    <w:p>
      <w:pPr>
        <w:ind w:left="760" w:hanging="753"/>
        <w:spacing w:after="0"/>
        <w:tabs>
          <w:tab w:leader="none" w:pos="7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SARs; (iv) Restricted Stock Awards; (v) RSU Awards; (vi) Performance Awards; and (vii) Other Awards.</w:t>
      </w:r>
    </w:p>
    <w:p>
      <w:pPr>
        <w:spacing w:after="0" w:line="197" w:lineRule="exact"/>
        <w:rPr>
          <w:sz w:val="20"/>
          <w:szCs w:val="20"/>
          <w:color w:val="auto"/>
        </w:rPr>
      </w:pPr>
    </w:p>
    <w:p>
      <w:pPr>
        <w:ind w:left="740" w:hanging="733"/>
        <w:spacing w:after="0"/>
        <w:tabs>
          <w:tab w:leader="none" w:pos="7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 Effective</w:t>
      </w:r>
    </w:p>
    <w:p>
      <w:pPr>
        <w:spacing w:after="0" w:line="2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197" w:lineRule="exact"/>
        <w:rPr>
          <w:sz w:val="20"/>
          <w:szCs w:val="20"/>
          <w:color w:val="auto"/>
        </w:rPr>
      </w:pPr>
    </w:p>
    <w:p>
      <w:pPr>
        <w:ind w:left="680" w:hanging="673"/>
        <w:spacing w:after="0"/>
        <w:tabs>
          <w:tab w:leader="none" w:pos="68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right="120" w:firstLine="7"/>
        <w:spacing w:after="0" w:line="258" w:lineRule="auto"/>
        <w:tabs>
          <w:tab w:leader="none" w:pos="741"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 shares of Common Stock (equal to twelve percent (12%) of the Fully Diluted Common Stock determined as of immediately after the Effective Time). In addition, subject to any adjustments as necessary to implement any Capitalization Adjustments, such aggregate number of shares of Common Stock will automatically increase on January 1 of each year for a period of ten years commencing on January 1, 2024 and ending on (and including) January 1, 2033, in an amount equal to five percent (5%) of the total number of shares of the Fully Diluted Common Stock determined as of the day prior to such increase; provided, however that the Board may act prior to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w:t>
      </w:r>
    </w:p>
    <w:p>
      <w:pPr>
        <w:spacing w:after="0" w:line="54" w:lineRule="exact"/>
        <w:rPr>
          <w:rFonts w:ascii="Times New Roman" w:cs="Times New Roman" w:eastAsia="Times New Roman" w:hAnsi="Times New Roman"/>
          <w:sz w:val="18"/>
          <w:szCs w:val="18"/>
          <w:b w:val="1"/>
          <w:bCs w:val="1"/>
          <w:color w:val="auto"/>
        </w:rPr>
      </w:pPr>
    </w:p>
    <w:p>
      <w:pPr>
        <w:jc w:val="both"/>
        <w:ind w:right="200" w:firstLine="7"/>
        <w:spacing w:after="0" w:line="258" w:lineRule="auto"/>
        <w:tabs>
          <w:tab w:leader="none" w:pos="751"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Subject to any adjustments as necessary to implement any Capitalization Adjustments,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number of shares of Common Stock that may be issued pursuant to the exercise of Incentive Stock Options is [●] shares (equal to three hundred percent (300%) of the total number of shares of Common Stock initially reserved for issuance under Section 2(a)), or if lesser, the aggregate number of shares of Common Stock reserved under Section 2(a).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1" w:name="page212"/>
    <w:bookmarkEnd w:id="211"/>
    <w:p>
      <w:pPr>
        <w:ind w:left="740" w:hanging="733"/>
        <w:spacing w:after="0"/>
        <w:tabs>
          <w:tab w:leader="none" w:pos="7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220" w:lineRule="exact"/>
        <w:rPr>
          <w:sz w:val="20"/>
          <w:szCs w:val="20"/>
          <w:color w:val="auto"/>
        </w:rPr>
      </w:pPr>
    </w:p>
    <w:p>
      <w:pPr>
        <w:ind w:firstLine="7"/>
        <w:spacing w:after="0" w:line="274" w:lineRule="auto"/>
        <w:tabs>
          <w:tab w:leader="none" w:pos="701"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Limit Applies to Common Stock Issued Pursuant to Awards. </w:t>
      </w:r>
      <w:r>
        <w:rPr>
          <w:rFonts w:ascii="Times New Roman" w:cs="Times New Roman" w:eastAsia="Times New Roman" w:hAnsi="Times New Roman"/>
          <w:sz w:val="17"/>
          <w:szCs w:val="17"/>
          <w:color w:val="auto"/>
        </w:rPr>
        <w:t>For clarity, the Share Reserve is a limit on the number of shares of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65" w:lineRule="exact"/>
        <w:rPr>
          <w:rFonts w:ascii="Times New Roman" w:cs="Times New Roman" w:eastAsia="Times New Roman" w:hAnsi="Times New Roman"/>
          <w:sz w:val="17"/>
          <w:szCs w:val="17"/>
          <w:b w:val="1"/>
          <w:bCs w:val="1"/>
          <w:color w:val="auto"/>
        </w:rPr>
      </w:pPr>
    </w:p>
    <w:p>
      <w:pPr>
        <w:ind w:right="40" w:firstLine="7"/>
        <w:spacing w:after="0" w:line="276" w:lineRule="auto"/>
        <w:tabs>
          <w:tab w:leader="none" w:pos="751"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Actions that Do Not Constitute Issuance of Common Stock and Do Not Reduce Share Reserve. </w:t>
      </w:r>
      <w:r>
        <w:rPr>
          <w:rFonts w:ascii="Times New Roman" w:cs="Times New Roman" w:eastAsia="Times New Roman" w:hAnsi="Times New Roman"/>
          <w:sz w:val="17"/>
          <w:szCs w:val="17"/>
          <w:color w:val="auto"/>
        </w:rPr>
        <w:t>The following actions do not result in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issuance of shares under the Plan and accordingly do not reduce the number of shares subject to the Share Reserve and available for issuance under the Plan:</w:t>
      </w:r>
    </w:p>
    <w:p>
      <w:pPr>
        <w:ind w:right="14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81" w:lineRule="exact"/>
        <w:rPr>
          <w:rFonts w:ascii="Times New Roman" w:cs="Times New Roman" w:eastAsia="Times New Roman" w:hAnsi="Times New Roman"/>
          <w:sz w:val="17"/>
          <w:szCs w:val="17"/>
          <w:b w:val="1"/>
          <w:bCs w:val="1"/>
          <w:color w:val="auto"/>
        </w:rPr>
      </w:pPr>
    </w:p>
    <w:p>
      <w:pPr>
        <w:ind w:right="200" w:firstLine="7"/>
        <w:spacing w:after="0" w:line="269" w:lineRule="auto"/>
        <w:tabs>
          <w:tab w:leader="none" w:pos="80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Reversion of Previously Issued Shares of Common Stock to Share Reserve. </w:t>
      </w:r>
      <w:r>
        <w:rPr>
          <w:rFonts w:ascii="Times New Roman" w:cs="Times New Roman" w:eastAsia="Times New Roman" w:hAnsi="Times New Roman"/>
          <w:sz w:val="17"/>
          <w:szCs w:val="17"/>
          <w:color w:val="auto"/>
        </w:rPr>
        <w:t>The following shares of Common Stock previously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w:t>
      </w: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(3) any shares that are reacquired by the Company to satisfy a tax withholding obligation in connection with an Award.</w:t>
      </w:r>
    </w:p>
    <w:p>
      <w:pPr>
        <w:spacing w:after="0" w:line="197" w:lineRule="exact"/>
        <w:rPr>
          <w:sz w:val="20"/>
          <w:szCs w:val="20"/>
          <w:color w:val="auto"/>
        </w:rPr>
      </w:pPr>
    </w:p>
    <w:p>
      <w:pPr>
        <w:ind w:left="680" w:hanging="673"/>
        <w:spacing w:after="0"/>
        <w:tabs>
          <w:tab w:leader="none" w:pos="68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imitations</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left="740" w:hanging="733"/>
        <w:spacing w:after="0"/>
        <w:tabs>
          <w:tab w:leader="none" w:pos="74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19" w:lineRule="exact"/>
        <w:rPr>
          <w:rFonts w:ascii="Times New Roman" w:cs="Times New Roman" w:eastAsia="Times New Roman" w:hAnsi="Times New Roman"/>
          <w:sz w:val="18"/>
          <w:szCs w:val="18"/>
          <w:b w:val="1"/>
          <w:bCs w:val="1"/>
          <w:color w:val="auto"/>
        </w:rPr>
      </w:pPr>
    </w:p>
    <w:p>
      <w:pPr>
        <w:ind w:left="760" w:hanging="753"/>
        <w:spacing w:after="0"/>
        <w:tabs>
          <w:tab w:leader="none" w:pos="7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20" w:lineRule="exact"/>
        <w:rPr>
          <w:sz w:val="20"/>
          <w:szCs w:val="20"/>
          <w:color w:val="auto"/>
        </w:rPr>
      </w:pPr>
    </w:p>
    <w:p>
      <w:pPr>
        <w:ind w:right="360" w:firstLine="7"/>
        <w:spacing w:after="0" w:line="281" w:lineRule="auto"/>
        <w:tabs>
          <w:tab w:leader="none" w:pos="701"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“subsidiary corporation” thereof (as such terms are defined in Sections 424(e) and (f) of the Code).</w:t>
      </w:r>
    </w:p>
    <w:p>
      <w:pPr>
        <w:spacing w:after="0" w:line="155" w:lineRule="exact"/>
        <w:rPr>
          <w:rFonts w:ascii="Times New Roman" w:cs="Times New Roman" w:eastAsia="Times New Roman" w:hAnsi="Times New Roman"/>
          <w:sz w:val="18"/>
          <w:szCs w:val="18"/>
          <w:b w:val="1"/>
          <w:bCs w:val="1"/>
          <w:color w:val="auto"/>
        </w:rPr>
      </w:pPr>
    </w:p>
    <w:p>
      <w:pPr>
        <w:ind w:firstLine="7"/>
        <w:spacing w:after="0" w:line="256" w:lineRule="auto"/>
        <w:tabs>
          <w:tab w:leader="none" w:pos="751"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12" w:name="page213"/>
    <w:bookmarkEnd w:id="212"/>
    <w:p>
      <w:pPr>
        <w:ind w:right="100" w:firstLine="7"/>
        <w:spacing w:after="0" w:line="264" w:lineRule="auto"/>
        <w:tabs>
          <w:tab w:leader="none" w:pos="80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 granted an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 unless (1) the exercise price of such Option is at least 110% of the Fair Market Value of a share of Common Stock on the date of grant of such Option and (2) the Option is not exercisable after the expiration of five years from the date of grant of such Option.</w:t>
      </w:r>
    </w:p>
    <w:p>
      <w:pPr>
        <w:spacing w:after="0" w:line="170" w:lineRule="exact"/>
        <w:rPr>
          <w:rFonts w:ascii="Times New Roman" w:cs="Times New Roman" w:eastAsia="Times New Roman" w:hAnsi="Times New Roman"/>
          <w:sz w:val="18"/>
          <w:szCs w:val="18"/>
          <w:b w:val="1"/>
          <w:bCs w:val="1"/>
          <w:color w:val="auto"/>
        </w:rPr>
      </w:pPr>
    </w:p>
    <w:p>
      <w:pPr>
        <w:jc w:val="both"/>
        <w:ind w:firstLine="7"/>
        <w:spacing w:after="0" w:line="264" w:lineRule="auto"/>
        <w:tabs>
          <w:tab w:leader="none" w:pos="79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unless the stock underlying such Awards qualifies as “service recipient stock” under Section 409A or unless such Awards otherwise comply with the requirements of Section 409A.</w:t>
      </w:r>
    </w:p>
    <w:p>
      <w:pPr>
        <w:spacing w:after="0" w:line="171" w:lineRule="exact"/>
        <w:rPr>
          <w:sz w:val="20"/>
          <w:szCs w:val="20"/>
          <w:color w:val="auto"/>
        </w:rPr>
      </w:pPr>
    </w:p>
    <w:p>
      <w:pPr>
        <w:ind w:right="480" w:firstLine="7"/>
        <w:spacing w:after="0" w:line="281" w:lineRule="auto"/>
        <w:tabs>
          <w:tab w:leader="none" w:pos="731"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155" w:lineRule="exact"/>
        <w:rPr>
          <w:rFonts w:ascii="Times New Roman" w:cs="Times New Roman" w:eastAsia="Times New Roman" w:hAnsi="Times New Roman"/>
          <w:sz w:val="18"/>
          <w:szCs w:val="18"/>
          <w:b w:val="1"/>
          <w:bCs w:val="1"/>
          <w:color w:val="auto"/>
        </w:rPr>
      </w:pPr>
    </w:p>
    <w:p>
      <w:pPr>
        <w:ind w:right="20" w:firstLine="7"/>
        <w:spacing w:after="0" w:line="270" w:lineRule="auto"/>
        <w:tabs>
          <w:tab w:leader="none" w:pos="751"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Non-Employee Director Compensation Limit. </w:t>
      </w:r>
      <w:r>
        <w:rPr>
          <w:rFonts w:ascii="Times New Roman" w:cs="Times New Roman" w:eastAsia="Times New Roman" w:hAnsi="Times New Roman"/>
          <w:sz w:val="17"/>
          <w:szCs w:val="17"/>
          <w:color w:val="auto"/>
        </w:rPr>
        <w:t>The aggregate value of all compensation granted or paid, as applicable, to any individual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 as a Non-Employee Director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Times New Roman" w:cs="Times New Roman" w:eastAsia="Times New Roman" w:hAnsi="Times New Roman"/>
          <w:sz w:val="17"/>
          <w:szCs w:val="17"/>
          <w:b w:val="1"/>
          <w:bCs w:val="1"/>
          <w:i w:val="1"/>
          <w:iCs w:val="1"/>
          <w:color w:val="auto"/>
        </w:rPr>
        <w:t>Annual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Period</w:t>
      </w:r>
      <w:r>
        <w:rPr>
          <w:rFonts w:ascii="Times New Roman" w:cs="Times New Roman" w:eastAsia="Times New Roman" w:hAnsi="Times New Roman"/>
          <w:sz w:val="17"/>
          <w:szCs w:val="17"/>
          <w:color w:val="auto"/>
        </w:rPr>
        <w:t>”), including Awards granted and cash fees paid by the Company to such Non-Employee Director, will not exceed (1) $[●] in total value or (2)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event such Non-Employee Director is first appointed or elected to the Board during such Annual Period, $[●] in total value, in each case, calculating the value of any equity awards based on the grant date fair value of such equity awards for financial reporting purposes. The limitations in this Section 3(d) shall apply commencing with the Annual Period that begins on the Company’s first Annual Meeting of Stockholders following the Effective Date.</w:t>
      </w:r>
    </w:p>
    <w:p>
      <w:pPr>
        <w:spacing w:after="0" w:line="168" w:lineRule="exact"/>
        <w:rPr>
          <w:sz w:val="20"/>
          <w:szCs w:val="20"/>
          <w:color w:val="auto"/>
        </w:rPr>
      </w:pPr>
    </w:p>
    <w:p>
      <w:pPr>
        <w:ind w:left="680" w:hanging="673"/>
        <w:spacing w:after="0"/>
        <w:tabs>
          <w:tab w:leader="none" w:pos="68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80" w:firstLine="640"/>
        <w:spacing w:after="0" w:line="271" w:lineRule="auto"/>
        <w:rPr>
          <w:sz w:val="20"/>
          <w:szCs w:val="20"/>
          <w:color w:val="auto"/>
        </w:rPr>
      </w:pPr>
      <w:r>
        <w:rPr>
          <w:rFonts w:ascii="Times New Roman" w:cs="Times New Roman" w:eastAsia="Times New Roman" w:hAnsi="Times New Roman"/>
          <w:sz w:val="17"/>
          <w:szCs w:val="17"/>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13" w:name="page214"/>
    <w:bookmarkEnd w:id="213"/>
    <w:p>
      <w:pPr>
        <w:ind w:left="-7" w:right="80" w:firstLine="7"/>
        <w:spacing w:after="0" w:line="281" w:lineRule="auto"/>
        <w:tabs>
          <w:tab w:leader="none" w:pos="73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grant of such Award or such shorter period specified in the Award Agreement.</w:t>
      </w:r>
    </w:p>
    <w:p>
      <w:pPr>
        <w:spacing w:after="0" w:line="155" w:lineRule="exact"/>
        <w:rPr>
          <w:rFonts w:ascii="Times New Roman" w:cs="Times New Roman" w:eastAsia="Times New Roman" w:hAnsi="Times New Roman"/>
          <w:sz w:val="18"/>
          <w:szCs w:val="18"/>
          <w:b w:val="1"/>
          <w:bCs w:val="1"/>
          <w:color w:val="auto"/>
        </w:rPr>
      </w:pPr>
    </w:p>
    <w:p>
      <w:pPr>
        <w:ind w:left="-7" w:right="140" w:firstLine="7"/>
        <w:spacing w:after="0" w:line="256" w:lineRule="auto"/>
        <w:tabs>
          <w:tab w:leader="none" w:pos="74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76" w:lineRule="exact"/>
        <w:rPr>
          <w:rFonts w:ascii="Times New Roman" w:cs="Times New Roman" w:eastAsia="Times New Roman" w:hAnsi="Times New Roman"/>
          <w:sz w:val="18"/>
          <w:szCs w:val="18"/>
          <w:b w:val="1"/>
          <w:bCs w:val="1"/>
          <w:color w:val="auto"/>
        </w:rPr>
      </w:pPr>
    </w:p>
    <w:p>
      <w:pPr>
        <w:ind w:left="-7" w:right="140" w:firstLine="7"/>
        <w:spacing w:after="0" w:line="254" w:lineRule="auto"/>
        <w:tabs>
          <w:tab w:leader="none" w:pos="72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4" w:lineRule="exact"/>
        <w:rPr>
          <w:sz w:val="20"/>
          <w:szCs w:val="20"/>
          <w:color w:val="auto"/>
        </w:rPr>
      </w:pPr>
    </w:p>
    <w:p>
      <w:pPr>
        <w:ind w:left="693" w:hanging="693"/>
        <w:spacing w:after="0"/>
        <w:tabs>
          <w:tab w:leader="none" w:pos="693"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19" w:lineRule="exact"/>
        <w:rPr>
          <w:rFonts w:ascii="Times New Roman" w:cs="Times New Roman" w:eastAsia="Times New Roman" w:hAnsi="Times New Roman"/>
          <w:sz w:val="18"/>
          <w:szCs w:val="18"/>
          <w:b w:val="1"/>
          <w:bCs w:val="1"/>
          <w:color w:val="auto"/>
        </w:rPr>
      </w:pPr>
    </w:p>
    <w:p>
      <w:pPr>
        <w:ind w:left="-7" w:right="180" w:firstLine="7"/>
        <w:spacing w:after="0" w:line="262" w:lineRule="auto"/>
        <w:tabs>
          <w:tab w:leader="none" w:pos="744"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6" w:lineRule="exact"/>
        <w:rPr>
          <w:rFonts w:ascii="Times New Roman" w:cs="Times New Roman" w:eastAsia="Times New Roman" w:hAnsi="Times New Roman"/>
          <w:sz w:val="18"/>
          <w:szCs w:val="18"/>
          <w:b w:val="1"/>
          <w:bCs w:val="1"/>
          <w:color w:val="auto"/>
        </w:rPr>
      </w:pPr>
    </w:p>
    <w:p>
      <w:pPr>
        <w:ind w:left="-7" w:firstLine="7"/>
        <w:spacing w:after="0" w:line="253" w:lineRule="auto"/>
        <w:tabs>
          <w:tab w:leader="none" w:pos="793"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5" w:lineRule="exact"/>
        <w:rPr>
          <w:rFonts w:ascii="Times New Roman" w:cs="Times New Roman" w:eastAsia="Times New Roman" w:hAnsi="Times New Roman"/>
          <w:sz w:val="18"/>
          <w:szCs w:val="18"/>
          <w:b w:val="1"/>
          <w:bCs w:val="1"/>
          <w:color w:val="auto"/>
        </w:rPr>
      </w:pPr>
    </w:p>
    <w:p>
      <w:pPr>
        <w:ind w:left="-7" w:right="40" w:firstLine="7"/>
        <w:spacing w:after="0" w:line="257" w:lineRule="auto"/>
        <w:tabs>
          <w:tab w:leader="none" w:pos="783"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891" w:right="339" w:bottom="1440" w:gutter="0" w:footer="0" w:header="0"/>
        </w:sectPr>
      </w:pPr>
    </w:p>
    <w:bookmarkStart w:id="214" w:name="page215"/>
    <w:bookmarkEnd w:id="214"/>
    <w:p>
      <w:pPr>
        <w:ind w:left="733" w:hanging="733"/>
        <w:spacing w:after="0"/>
        <w:tabs>
          <w:tab w:leader="none" w:pos="733"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16" w:lineRule="exact"/>
        <w:rPr>
          <w:sz w:val="20"/>
          <w:szCs w:val="20"/>
          <w:color w:val="auto"/>
        </w:rPr>
      </w:pPr>
    </w:p>
    <w:p>
      <w:pPr>
        <w:ind w:left="-7" w:right="20" w:firstLine="7"/>
        <w:spacing w:after="0" w:line="254" w:lineRule="auto"/>
        <w:tabs>
          <w:tab w:leader="none" w:pos="744"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0" w:lineRule="exact"/>
        <w:rPr>
          <w:rFonts w:ascii="Times New Roman" w:cs="Times New Roman" w:eastAsia="Times New Roman" w:hAnsi="Times New Roman"/>
          <w:sz w:val="18"/>
          <w:szCs w:val="18"/>
          <w:b w:val="1"/>
          <w:bCs w:val="1"/>
          <w:color w:val="auto"/>
        </w:rPr>
      </w:pPr>
    </w:p>
    <w:p>
      <w:pPr>
        <w:ind w:left="-7" w:firstLine="7"/>
        <w:spacing w:after="0" w:line="256" w:lineRule="auto"/>
        <w:tabs>
          <w:tab w:leader="none" w:pos="724"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177" w:lineRule="exact"/>
        <w:rPr>
          <w:sz w:val="20"/>
          <w:szCs w:val="20"/>
          <w:color w:val="auto"/>
        </w:rPr>
      </w:pPr>
    </w:p>
    <w:p>
      <w:pPr>
        <w:ind w:left="-7" w:right="40" w:firstLine="7"/>
        <w:spacing w:after="0" w:line="256" w:lineRule="auto"/>
        <w:tabs>
          <w:tab w:leader="none" w:pos="694"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76" w:lineRule="exact"/>
        <w:rPr>
          <w:rFonts w:ascii="Times New Roman" w:cs="Times New Roman" w:eastAsia="Times New Roman" w:hAnsi="Times New Roman"/>
          <w:sz w:val="18"/>
          <w:szCs w:val="18"/>
          <w:b w:val="1"/>
          <w:bCs w:val="1"/>
          <w:color w:val="auto"/>
        </w:rPr>
      </w:pPr>
    </w:p>
    <w:p>
      <w:pPr>
        <w:ind w:left="-7" w:right="80" w:firstLine="7"/>
        <w:spacing w:after="0" w:line="312" w:lineRule="auto"/>
        <w:tabs>
          <w:tab w:leader="none" w:pos="744"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Domestic Relations Orders. </w:t>
      </w:r>
      <w:r>
        <w:rPr>
          <w:rFonts w:ascii="Times New Roman" w:cs="Times New Roman" w:eastAsia="Times New Roman" w:hAnsi="Times New Roman"/>
          <w:sz w:val="17"/>
          <w:szCs w:val="17"/>
          <w:color w:val="auto"/>
        </w:rPr>
        <w:t>Notwithstanding the foregoing, subject to the execution of transfer documentation in a format acceptable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and subject to the approval of the Board or a duly authorized Officer, an Option or SAR may be transferred pursuant to a domestic relations order.</w:t>
      </w:r>
    </w:p>
    <w:p>
      <w:pPr>
        <w:spacing w:after="0" w:line="132" w:lineRule="exact"/>
        <w:rPr>
          <w:sz w:val="20"/>
          <w:szCs w:val="20"/>
          <w:color w:val="auto"/>
        </w:rPr>
      </w:pPr>
    </w:p>
    <w:p>
      <w:pPr>
        <w:ind w:left="-7" w:right="120" w:firstLine="7"/>
        <w:spacing w:after="0" w:line="264" w:lineRule="auto"/>
        <w:tabs>
          <w:tab w:leader="none" w:pos="704"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Except as otherwise provided in the Award Agreement or other written agreement between a Participant and the Company or an Affiliate, vesting of Options and SARs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ind w:left="-7" w:firstLine="7"/>
        <w:spacing w:after="0" w:line="274" w:lineRule="auto"/>
        <w:tabs>
          <w:tab w:leader="none" w:pos="734" w:val="left"/>
        </w:tabs>
        <w:numPr>
          <w:ilvl w:val="0"/>
          <w:numId w:val="1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Termination of Continuous Service for Cause. </w:t>
      </w:r>
      <w:r>
        <w:rPr>
          <w:rFonts w:ascii="Times New Roman" w:cs="Times New Roman" w:eastAsia="Times New Roman" w:hAnsi="Times New Roman"/>
          <w:sz w:val="17"/>
          <w:szCs w:val="17"/>
          <w:color w:val="auto"/>
        </w:rPr>
        <w:t>Except as explicitly otherwise provided in the Award Agreement or other written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200" w:lineRule="exact"/>
        <w:rPr>
          <w:sz w:val="20"/>
          <w:szCs w:val="20"/>
          <w:color w:val="auto"/>
        </w:rPr>
      </w:pPr>
    </w:p>
    <w:p>
      <w:pPr>
        <w:spacing w:after="0" w:line="39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93"/>
          </w:cols>
          <w:pgMar w:left="327" w:top="895" w:right="379" w:bottom="1440" w:gutter="0" w:footer="0" w:header="0"/>
        </w:sectPr>
      </w:pPr>
    </w:p>
    <w:bookmarkStart w:id="215" w:name="page216"/>
    <w:bookmarkEnd w:id="215"/>
    <w:p>
      <w:pPr>
        <w:ind w:right="20" w:firstLine="7"/>
        <w:spacing w:after="0" w:line="256" w:lineRule="auto"/>
        <w:tabs>
          <w:tab w:leader="none" w:pos="751"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 if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0" w:lineRule="exact"/>
        <w:rPr>
          <w:rFonts w:ascii="Times New Roman" w:cs="Times New Roman" w:eastAsia="Times New Roman" w:hAnsi="Times New Roman"/>
          <w:sz w:val="18"/>
          <w:szCs w:val="18"/>
          <w:b w:val="1"/>
          <w:bCs w:val="1"/>
          <w:color w:val="auto"/>
        </w:rPr>
      </w:pPr>
    </w:p>
    <w:p>
      <w:pPr>
        <w:ind w:right="500" w:firstLine="7"/>
        <w:spacing w:after="0" w:line="277" w:lineRule="auto"/>
        <w:tabs>
          <w:tab w:leader="none" w:pos="701"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3" w:lineRule="exact"/>
        <w:rPr>
          <w:sz w:val="20"/>
          <w:szCs w:val="20"/>
          <w:color w:val="auto"/>
        </w:rPr>
      </w:pPr>
    </w:p>
    <w:p>
      <w:pPr>
        <w:ind w:left="760" w:hanging="753"/>
        <w:spacing w:after="0"/>
        <w:tabs>
          <w:tab w:leader="none" w:pos="7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19" w:lineRule="exact"/>
        <w:rPr>
          <w:rFonts w:ascii="Times New Roman" w:cs="Times New Roman" w:eastAsia="Times New Roman" w:hAnsi="Times New Roman"/>
          <w:sz w:val="18"/>
          <w:szCs w:val="18"/>
          <w:b w:val="1"/>
          <w:bCs w:val="1"/>
          <w:color w:val="auto"/>
        </w:rPr>
      </w:pPr>
    </w:p>
    <w:p>
      <w:pPr>
        <w:ind w:left="800" w:hanging="793"/>
        <w:spacing w:after="0"/>
        <w:tabs>
          <w:tab w:leader="none" w:pos="80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19" w:lineRule="exact"/>
        <w:rPr>
          <w:rFonts w:ascii="Times New Roman" w:cs="Times New Roman" w:eastAsia="Times New Roman" w:hAnsi="Times New Roman"/>
          <w:sz w:val="18"/>
          <w:szCs w:val="18"/>
          <w:b w:val="1"/>
          <w:bCs w:val="1"/>
          <w:color w:val="auto"/>
        </w:rPr>
      </w:pPr>
    </w:p>
    <w:p>
      <w:pPr>
        <w:ind w:right="400" w:firstLine="7"/>
        <w:spacing w:after="0" w:line="277" w:lineRule="auto"/>
        <w:tabs>
          <w:tab w:leader="none" w:pos="79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77" w:lineRule="exact"/>
        <w:rPr>
          <w:sz w:val="20"/>
          <w:szCs w:val="20"/>
          <w:color w:val="auto"/>
        </w:rPr>
      </w:pPr>
    </w:p>
    <w:p>
      <w:pPr>
        <w:ind w:right="40" w:firstLine="7"/>
        <w:spacing w:after="0" w:line="251" w:lineRule="auto"/>
        <w:tabs>
          <w:tab w:leader="none" w:pos="701"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(30)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6" w:name="page217"/>
    <w:bookmarkEnd w:id="216"/>
    <w:p>
      <w:pPr>
        <w:ind w:left="-7" w:right="60" w:firstLine="7"/>
        <w:spacing w:after="0" w:line="252" w:lineRule="auto"/>
        <w:tabs>
          <w:tab w:leader="none" w:pos="704"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Employees. </w:t>
      </w:r>
      <w:r>
        <w:rPr>
          <w:rFonts w:ascii="Times New Roman" w:cs="Times New Roman" w:eastAsia="Times New Roman" w:hAnsi="Times New Roman"/>
          <w:sz w:val="18"/>
          <w:szCs w:val="18"/>
          <w:color w:val="auto"/>
        </w:rPr>
        <w:t>No Option or SAR, whether or not vested, granted to an Employee who is a non-exempt employee for purposes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2" w:lineRule="exact"/>
        <w:rPr>
          <w:rFonts w:ascii="Times New Roman" w:cs="Times New Roman" w:eastAsia="Times New Roman" w:hAnsi="Times New Roman"/>
          <w:sz w:val="18"/>
          <w:szCs w:val="18"/>
          <w:b w:val="1"/>
          <w:bCs w:val="1"/>
          <w:color w:val="auto"/>
        </w:rPr>
      </w:pPr>
    </w:p>
    <w:p>
      <w:pPr>
        <w:ind w:left="753" w:hanging="753"/>
        <w:spacing w:after="0"/>
        <w:tabs>
          <w:tab w:leader="none" w:pos="753"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220" w:lineRule="exact"/>
        <w:rPr>
          <w:sz w:val="20"/>
          <w:szCs w:val="20"/>
          <w:color w:val="auto"/>
        </w:rPr>
      </w:pPr>
    </w:p>
    <w:p>
      <w:pPr>
        <w:ind w:left="673" w:hanging="673"/>
        <w:spacing w:after="0"/>
        <w:tabs>
          <w:tab w:leader="none" w:pos="673"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left="-7" w:firstLine="7"/>
        <w:spacing w:after="0" w:line="264" w:lineRule="auto"/>
        <w:tabs>
          <w:tab w:leader="none" w:pos="734"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71" w:lineRule="exact"/>
        <w:rPr>
          <w:sz w:val="20"/>
          <w:szCs w:val="20"/>
          <w:color w:val="auto"/>
        </w:rPr>
      </w:pPr>
    </w:p>
    <w:p>
      <w:pPr>
        <w:ind w:left="693" w:hanging="693"/>
        <w:spacing w:after="0"/>
        <w:tabs>
          <w:tab w:leader="none" w:pos="693"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24" w:lineRule="exact"/>
        <w:rPr>
          <w:sz w:val="20"/>
          <w:szCs w:val="20"/>
          <w:color w:val="auto"/>
        </w:rPr>
      </w:pPr>
    </w:p>
    <w:p>
      <w:pPr>
        <w:ind w:left="-7" w:right="80" w:firstLine="7"/>
        <w:spacing w:after="0" w:line="277" w:lineRule="auto"/>
        <w:tabs>
          <w:tab w:leader="none" w:pos="734" w:val="left"/>
        </w:tabs>
        <w:numPr>
          <w:ilvl w:val="0"/>
          <w:numId w:val="1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64" w:lineRule="exact"/>
        <w:rPr>
          <w:rFonts w:ascii="Times New Roman" w:cs="Times New Roman" w:eastAsia="Times New Roman" w:hAnsi="Times New Roman"/>
          <w:sz w:val="17"/>
          <w:szCs w:val="17"/>
          <w:b w:val="1"/>
          <w:bCs w:val="1"/>
          <w:color w:val="auto"/>
        </w:rPr>
      </w:pPr>
    </w:p>
    <w:p>
      <w:pPr>
        <w:ind w:left="-7" w:right="20" w:firstLine="7"/>
        <w:spacing w:after="0" w:line="253" w:lineRule="auto"/>
        <w:tabs>
          <w:tab w:leader="none" w:pos="734"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93"/>
          </w:cols>
          <w:pgMar w:left="327" w:top="891" w:right="379" w:bottom="1440" w:gutter="0" w:footer="0" w:header="0"/>
        </w:sectPr>
      </w:pPr>
    </w:p>
    <w:bookmarkStart w:id="217" w:name="page218"/>
    <w:bookmarkEnd w:id="217"/>
    <w:p>
      <w:pPr>
        <w:ind w:left="753" w:hanging="753"/>
        <w:spacing w:after="0"/>
        <w:tabs>
          <w:tab w:leader="none" w:pos="753"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4" w:lineRule="exact"/>
        <w:rPr>
          <w:sz w:val="20"/>
          <w:szCs w:val="20"/>
          <w:color w:val="auto"/>
        </w:rPr>
      </w:pPr>
    </w:p>
    <w:p>
      <w:pPr>
        <w:ind w:left="-7" w:right="20" w:firstLine="7"/>
        <w:spacing w:after="0" w:line="262" w:lineRule="auto"/>
        <w:tabs>
          <w:tab w:leader="none" w:pos="734"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A Restricted Stock Award may be granted in consideration for (A) cash or check, bank draft or money order payable to the Company, (B) past services to the Company or an Affiliate, or (C) any other form of consideration (including future services) as the Board may determine and as is permissible under Applicable Law.</w:t>
      </w:r>
    </w:p>
    <w:p>
      <w:pPr>
        <w:spacing w:after="0" w:line="176" w:lineRule="exact"/>
        <w:rPr>
          <w:rFonts w:ascii="Times New Roman" w:cs="Times New Roman" w:eastAsia="Times New Roman" w:hAnsi="Times New Roman"/>
          <w:sz w:val="18"/>
          <w:szCs w:val="18"/>
          <w:b w:val="1"/>
          <w:bCs w:val="1"/>
          <w:color w:val="auto"/>
        </w:rPr>
      </w:pPr>
    </w:p>
    <w:p>
      <w:pPr>
        <w:ind w:left="-7" w:right="40" w:firstLine="7"/>
        <w:spacing w:after="0" w:line="253" w:lineRule="auto"/>
        <w:tabs>
          <w:tab w:leader="none" w:pos="734"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1" w:lineRule="exact"/>
        <w:rPr>
          <w:sz w:val="20"/>
          <w:szCs w:val="20"/>
          <w:color w:val="auto"/>
        </w:rPr>
      </w:pPr>
    </w:p>
    <w:p>
      <w:pPr>
        <w:ind w:left="-7" w:right="60" w:firstLine="7"/>
        <w:spacing w:after="0" w:line="264" w:lineRule="auto"/>
        <w:tabs>
          <w:tab w:leader="none" w:pos="793"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0" w:lineRule="exact"/>
        <w:rPr>
          <w:rFonts w:ascii="Times New Roman" w:cs="Times New Roman" w:eastAsia="Times New Roman" w:hAnsi="Times New Roman"/>
          <w:sz w:val="18"/>
          <w:szCs w:val="18"/>
          <w:b w:val="1"/>
          <w:bCs w:val="1"/>
          <w:color w:val="auto"/>
        </w:rPr>
      </w:pPr>
    </w:p>
    <w:p>
      <w:pPr>
        <w:ind w:left="-7" w:firstLine="7"/>
        <w:spacing w:after="0" w:line="253" w:lineRule="auto"/>
        <w:tabs>
          <w:tab w:leader="none" w:pos="783"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0" w:lineRule="exact"/>
        <w:rPr>
          <w:rFonts w:ascii="Times New Roman" w:cs="Times New Roman" w:eastAsia="Times New Roman" w:hAnsi="Times New Roman"/>
          <w:sz w:val="18"/>
          <w:szCs w:val="18"/>
          <w:b w:val="1"/>
          <w:bCs w:val="1"/>
          <w:color w:val="auto"/>
        </w:rPr>
      </w:pPr>
    </w:p>
    <w:p>
      <w:pPr>
        <w:ind w:left="-7" w:right="180" w:firstLine="7"/>
        <w:spacing w:after="0" w:line="258" w:lineRule="auto"/>
        <w:tabs>
          <w:tab w:leader="none" w:pos="734"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a Restricted Stock Award or RSU Award, as determined by the Board and specified in the Award Agreement. Except as provided in an Award Agreement, any dividends or dividend equivalents will only be paid to the Participant at the same time and pursuant to the same conditions as the underlying shares of Restricted Stock or RSUs vest or settle, as applicable.</w:t>
      </w:r>
    </w:p>
    <w:p>
      <w:pPr>
        <w:spacing w:after="0" w:line="177" w:lineRule="exact"/>
        <w:rPr>
          <w:rFonts w:ascii="Times New Roman" w:cs="Times New Roman" w:eastAsia="Times New Roman" w:hAnsi="Times New Roman"/>
          <w:sz w:val="18"/>
          <w:szCs w:val="18"/>
          <w:b w:val="1"/>
          <w:bCs w:val="1"/>
          <w:color w:val="auto"/>
        </w:rPr>
      </w:pPr>
    </w:p>
    <w:p>
      <w:pPr>
        <w:ind w:left="-7" w:right="140" w:firstLine="7"/>
        <w:spacing w:after="0" w:line="264" w:lineRule="auto"/>
        <w:tabs>
          <w:tab w:leader="none" w:pos="783"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An RSU Award may be settled by the issuance of shares of Common Stock or cash (or any combination thereof)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891" w:right="339" w:bottom="1440" w:gutter="0" w:footer="0" w:header="0"/>
        </w:sectPr>
      </w:pPr>
    </w:p>
    <w:bookmarkStart w:id="218" w:name="page219"/>
    <w:bookmarkEnd w:id="218"/>
    <w:p>
      <w:pPr>
        <w:ind w:left="-7" w:right="120" w:firstLine="7"/>
        <w:spacing w:after="0" w:line="264" w:lineRule="auto"/>
        <w:tabs>
          <w:tab w:leader="none" w:pos="744"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amount, timing and form of payment of amounts earned under the Award, the other terms and conditions of such Award, and the measure of whether and to what degree such Performance Goals have been attained will be determined by the Board.</w:t>
      </w:r>
    </w:p>
    <w:p>
      <w:pPr>
        <w:spacing w:after="0" w:line="170" w:lineRule="exact"/>
        <w:rPr>
          <w:rFonts w:ascii="Times New Roman" w:cs="Times New Roman" w:eastAsia="Times New Roman" w:hAnsi="Times New Roman"/>
          <w:sz w:val="18"/>
          <w:szCs w:val="18"/>
          <w:b w:val="1"/>
          <w:bCs w:val="1"/>
          <w:color w:val="auto"/>
        </w:rPr>
      </w:pPr>
    </w:p>
    <w:p>
      <w:pPr>
        <w:ind w:left="-7" w:right="160" w:firstLine="7"/>
        <w:spacing w:after="0" w:line="256" w:lineRule="auto"/>
        <w:tabs>
          <w:tab w:leader="none" w:pos="724"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77" w:lineRule="exact"/>
        <w:rPr>
          <w:sz w:val="20"/>
          <w:szCs w:val="20"/>
          <w:color w:val="auto"/>
        </w:rPr>
      </w:pPr>
    </w:p>
    <w:p>
      <w:pPr>
        <w:ind w:left="673" w:hanging="673"/>
        <w:spacing w:after="0"/>
        <w:tabs>
          <w:tab w:leader="none" w:pos="673"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left="-7" w:firstLine="7"/>
        <w:spacing w:after="0" w:line="252" w:lineRule="auto"/>
        <w:tabs>
          <w:tab w:leader="none" w:pos="734"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 class(es)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(iii) the class(es) and number of securities and exercise price, strike price or purchase price of Common Stock subject to outstanding Awards; and (iv) any Performance Goals affected by the Capitalization Adjustment.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2" w:lineRule="exact"/>
        <w:rPr>
          <w:rFonts w:ascii="Times New Roman" w:cs="Times New Roman" w:eastAsia="Times New Roman" w:hAnsi="Times New Roman"/>
          <w:sz w:val="18"/>
          <w:szCs w:val="18"/>
          <w:b w:val="1"/>
          <w:bCs w:val="1"/>
          <w:color w:val="auto"/>
        </w:rPr>
      </w:pPr>
    </w:p>
    <w:p>
      <w:pPr>
        <w:ind w:left="-7" w:right="60" w:firstLine="7"/>
        <w:spacing w:after="0" w:line="253" w:lineRule="auto"/>
        <w:tabs>
          <w:tab w:leader="none" w:pos="744"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891" w:right="339" w:bottom="1440" w:gutter="0" w:footer="0" w:header="0"/>
        </w:sectPr>
      </w:pPr>
    </w:p>
    <w:bookmarkStart w:id="219" w:name="page220"/>
    <w:bookmarkEnd w:id="219"/>
    <w:p>
      <w:pPr>
        <w:ind w:left="-7" w:right="100" w:firstLine="7"/>
        <w:spacing w:after="0" w:line="312" w:lineRule="auto"/>
        <w:tabs>
          <w:tab w:leader="none" w:pos="724" w:val="left"/>
        </w:tabs>
        <w:numPr>
          <w:ilvl w:val="0"/>
          <w:numId w:val="1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Corporate Transaction. </w:t>
      </w:r>
      <w:r>
        <w:rPr>
          <w:rFonts w:ascii="Times New Roman" w:cs="Times New Roman" w:eastAsia="Times New Roman" w:hAnsi="Times New Roman"/>
          <w:sz w:val="17"/>
          <w:szCs w:val="17"/>
          <w:color w:val="auto"/>
        </w:rPr>
        <w:t>The following provisions will apply to Awards in the event of a Corporate Transaction except as set forth in Section 11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unless otherwise provided in the instrument evidencing the Award or any other written agreement between the Company or any Affiliate and the Participant.</w:t>
      </w:r>
    </w:p>
    <w:p>
      <w:pPr>
        <w:spacing w:after="0" w:line="132" w:lineRule="exact"/>
        <w:rPr>
          <w:sz w:val="20"/>
          <w:szCs w:val="20"/>
          <w:color w:val="auto"/>
        </w:rPr>
      </w:pPr>
    </w:p>
    <w:p>
      <w:pPr>
        <w:ind w:left="-7" w:right="140" w:firstLine="7"/>
        <w:spacing w:after="0" w:line="252" w:lineRule="auto"/>
        <w:tabs>
          <w:tab w:leader="none" w:pos="694"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 surviving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82" w:lineRule="exact"/>
        <w:rPr>
          <w:rFonts w:ascii="Times New Roman" w:cs="Times New Roman" w:eastAsia="Times New Roman" w:hAnsi="Times New Roman"/>
          <w:sz w:val="18"/>
          <w:szCs w:val="18"/>
          <w:b w:val="1"/>
          <w:bCs w:val="1"/>
          <w:color w:val="auto"/>
        </w:rPr>
      </w:pPr>
    </w:p>
    <w:p>
      <w:pPr>
        <w:ind w:left="-7" w:firstLine="7"/>
        <w:spacing w:after="0" w:line="250" w:lineRule="auto"/>
        <w:tabs>
          <w:tab w:leader="none" w:pos="744"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 corporation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83" w:lineRule="exact"/>
        <w:rPr>
          <w:rFonts w:ascii="Times New Roman" w:cs="Times New Roman" w:eastAsia="Times New Roman" w:hAnsi="Times New Roman"/>
          <w:sz w:val="18"/>
          <w:szCs w:val="18"/>
          <w:b w:val="1"/>
          <w:bCs w:val="1"/>
          <w:color w:val="auto"/>
        </w:rPr>
      </w:pPr>
    </w:p>
    <w:p>
      <w:pPr>
        <w:ind w:left="-7" w:right="140" w:firstLine="7"/>
        <w:spacing w:after="0" w:line="254" w:lineRule="auto"/>
        <w:tabs>
          <w:tab w:leader="none" w:pos="793"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891" w:right="339" w:bottom="1440" w:gutter="0" w:footer="0" w:header="0"/>
        </w:sectPr>
      </w:pPr>
    </w:p>
    <w:bookmarkStart w:id="220" w:name="page221"/>
    <w:bookmarkEnd w:id="220"/>
    <w:p>
      <w:pPr>
        <w:ind w:right="40" w:firstLine="7"/>
        <w:spacing w:after="0" w:line="269" w:lineRule="auto"/>
        <w:tabs>
          <w:tab w:leader="none" w:pos="790"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Payment for Awards in Lieu of Exercise. </w:t>
      </w:r>
      <w:r>
        <w:rPr>
          <w:rFonts w:ascii="Times New Roman" w:cs="Times New Roman" w:eastAsia="Times New Roman" w:hAnsi="Times New Roman"/>
          <w:sz w:val="17"/>
          <w:szCs w:val="17"/>
          <w:color w:val="auto"/>
        </w:rPr>
        <w:t>Notwithstanding the foregoing, in the event an Award will terminate if not exercised prior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w:t>
      </w:r>
    </w:p>
    <w:p>
      <w:pPr>
        <w:ind w:right="2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(2) any exercise price payable by such holder in connection with such exercise; provided that the Board may also determine that the payment to be made to the Participant with respect to such Award shall be made in the same form, at the same time and subject to the same conditions as the payments to be made to the Company shareholders in connection with the Corporate Transaction to the exempt permitted by Code Section 409A. If the amount so determined for any Award is $0, then such Award automatically shall be cancelled at the effective time for no consideration.</w:t>
      </w:r>
    </w:p>
    <w:p>
      <w:pPr>
        <w:spacing w:after="0" w:line="182" w:lineRule="exact"/>
        <w:rPr>
          <w:sz w:val="20"/>
          <w:szCs w:val="20"/>
          <w:color w:val="auto"/>
        </w:rPr>
      </w:pPr>
    </w:p>
    <w:p>
      <w:pPr>
        <w:ind w:firstLine="7"/>
        <w:spacing w:after="0" w:line="258" w:lineRule="auto"/>
        <w:tabs>
          <w:tab w:leader="none" w:pos="751"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7" w:lineRule="exact"/>
        <w:rPr>
          <w:rFonts w:ascii="Times New Roman" w:cs="Times New Roman" w:eastAsia="Times New Roman" w:hAnsi="Times New Roman"/>
          <w:sz w:val="18"/>
          <w:szCs w:val="18"/>
          <w:b w:val="1"/>
          <w:bCs w:val="1"/>
          <w:color w:val="auto"/>
        </w:rPr>
      </w:pPr>
    </w:p>
    <w:p>
      <w:pPr>
        <w:ind w:right="140" w:firstLine="7"/>
        <w:spacing w:after="0" w:line="272" w:lineRule="auto"/>
        <w:tabs>
          <w:tab w:leader="none" w:pos="731"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Restriction on Right to Undertake Transactions</w:t>
      </w:r>
      <w:r>
        <w:rPr>
          <w:rFonts w:ascii="Times New Roman" w:cs="Times New Roman" w:eastAsia="Times New Roman" w:hAnsi="Times New Roman"/>
          <w:sz w:val="17"/>
          <w:szCs w:val="17"/>
          <w:color w:val="auto"/>
        </w:rPr>
        <w:t>. The grant of any Award under the Plan and the issuance of shares pursuant to any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65" w:lineRule="exact"/>
        <w:rPr>
          <w:sz w:val="20"/>
          <w:szCs w:val="20"/>
          <w:color w:val="auto"/>
        </w:rPr>
      </w:pPr>
    </w:p>
    <w:p>
      <w:pPr>
        <w:ind w:left="680" w:hanging="673"/>
        <w:spacing w:after="0"/>
        <w:tabs>
          <w:tab w:leader="none" w:pos="68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right="160" w:firstLine="7"/>
        <w:spacing w:after="0" w:line="281" w:lineRule="auto"/>
        <w:tabs>
          <w:tab w:leader="none" w:pos="741"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provided in subsection (c) below.</w:t>
      </w:r>
    </w:p>
    <w:p>
      <w:pPr>
        <w:spacing w:after="0" w:line="155" w:lineRule="exact"/>
        <w:rPr>
          <w:rFonts w:ascii="Times New Roman" w:cs="Times New Roman" w:eastAsia="Times New Roman" w:hAnsi="Times New Roman"/>
          <w:sz w:val="18"/>
          <w:szCs w:val="18"/>
          <w:b w:val="1"/>
          <w:bCs w:val="1"/>
          <w:color w:val="auto"/>
        </w:rPr>
      </w:pPr>
    </w:p>
    <w:p>
      <w:pPr>
        <w:ind w:left="760" w:hanging="753"/>
        <w:spacing w:after="0"/>
        <w:tabs>
          <w:tab w:leader="none" w:pos="7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1" w:name="page222"/>
    <w:bookmarkEnd w:id="221"/>
    <w:p>
      <w:pPr>
        <w:ind w:left="-7" w:right="80" w:firstLine="7"/>
        <w:spacing w:after="0" w:line="253" w:lineRule="auto"/>
        <w:tabs>
          <w:tab w:leader="none" w:pos="694"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85" w:lineRule="exact"/>
        <w:rPr>
          <w:rFonts w:ascii="Times New Roman" w:cs="Times New Roman" w:eastAsia="Times New Roman" w:hAnsi="Times New Roman"/>
          <w:sz w:val="18"/>
          <w:szCs w:val="18"/>
          <w:b w:val="1"/>
          <w:bCs w:val="1"/>
          <w:color w:val="auto"/>
        </w:rPr>
      </w:pPr>
    </w:p>
    <w:p>
      <w:pPr>
        <w:jc w:val="both"/>
        <w:ind w:left="-7" w:firstLine="7"/>
        <w:spacing w:after="0" w:line="262" w:lineRule="auto"/>
        <w:tabs>
          <w:tab w:leader="none" w:pos="744"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6" w:lineRule="exact"/>
        <w:rPr>
          <w:rFonts w:ascii="Times New Roman" w:cs="Times New Roman" w:eastAsia="Times New Roman" w:hAnsi="Times New Roman"/>
          <w:sz w:val="18"/>
          <w:szCs w:val="18"/>
          <w:b w:val="1"/>
          <w:bCs w:val="1"/>
          <w:color w:val="auto"/>
        </w:rPr>
      </w:pPr>
    </w:p>
    <w:p>
      <w:pPr>
        <w:ind w:left="793" w:hanging="793"/>
        <w:spacing w:after="0"/>
        <w:tabs>
          <w:tab w:leader="none" w:pos="793"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19" w:lineRule="exact"/>
        <w:rPr>
          <w:rFonts w:ascii="Times New Roman" w:cs="Times New Roman" w:eastAsia="Times New Roman" w:hAnsi="Times New Roman"/>
          <w:sz w:val="18"/>
          <w:szCs w:val="18"/>
          <w:b w:val="1"/>
          <w:bCs w:val="1"/>
          <w:color w:val="auto"/>
        </w:rPr>
      </w:pPr>
    </w:p>
    <w:p>
      <w:pPr>
        <w:ind w:left="-7" w:right="100" w:firstLine="7"/>
        <w:spacing w:after="0" w:line="277" w:lineRule="auto"/>
        <w:tabs>
          <w:tab w:leader="none" w:pos="783"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62" w:lineRule="exact"/>
        <w:rPr>
          <w:rFonts w:ascii="Times New Roman" w:cs="Times New Roman" w:eastAsia="Times New Roman" w:hAnsi="Times New Roman"/>
          <w:sz w:val="18"/>
          <w:szCs w:val="18"/>
          <w:b w:val="1"/>
          <w:bCs w:val="1"/>
          <w:color w:val="auto"/>
        </w:rPr>
      </w:pPr>
    </w:p>
    <w:p>
      <w:pPr>
        <w:ind w:left="-7" w:right="20" w:firstLine="7"/>
        <w:spacing w:after="0" w:line="257" w:lineRule="auto"/>
        <w:tabs>
          <w:tab w:leader="none" w:pos="734"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thirty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80" w:lineRule="exact"/>
        <w:rPr>
          <w:rFonts w:ascii="Times New Roman" w:cs="Times New Roman" w:eastAsia="Times New Roman" w:hAnsi="Times New Roman"/>
          <w:sz w:val="18"/>
          <w:szCs w:val="18"/>
          <w:b w:val="1"/>
          <w:bCs w:val="1"/>
          <w:color w:val="auto"/>
        </w:rPr>
      </w:pPr>
    </w:p>
    <w:p>
      <w:pPr>
        <w:ind w:left="-7" w:right="260" w:firstLine="7"/>
        <w:spacing w:after="0" w:line="277" w:lineRule="auto"/>
        <w:tabs>
          <w:tab w:leader="none" w:pos="783"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60" w:lineRule="exact"/>
        <w:rPr>
          <w:rFonts w:ascii="Times New Roman" w:cs="Times New Roman" w:eastAsia="Times New Roman" w:hAnsi="Times New Roman"/>
          <w:sz w:val="18"/>
          <w:szCs w:val="18"/>
          <w:b w:val="1"/>
          <w:bCs w:val="1"/>
          <w:color w:val="auto"/>
        </w:rPr>
      </w:pPr>
    </w:p>
    <w:p>
      <w:pPr>
        <w:ind w:left="-7" w:right="40" w:firstLine="7"/>
        <w:spacing w:after="0" w:line="258" w:lineRule="auto"/>
        <w:tabs>
          <w:tab w:leader="none" w:pos="833"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79" w:lineRule="exact"/>
        <w:rPr>
          <w:rFonts w:ascii="Times New Roman" w:cs="Times New Roman" w:eastAsia="Times New Roman" w:hAnsi="Times New Roman"/>
          <w:sz w:val="18"/>
          <w:szCs w:val="18"/>
          <w:b w:val="1"/>
          <w:bCs w:val="1"/>
          <w:color w:val="auto"/>
        </w:rPr>
      </w:pPr>
    </w:p>
    <w:p>
      <w:pPr>
        <w:ind w:left="893" w:hanging="893"/>
        <w:spacing w:after="0"/>
        <w:tabs>
          <w:tab w:leader="none" w:pos="893"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19" w:lineRule="exact"/>
        <w:rPr>
          <w:rFonts w:ascii="Times New Roman" w:cs="Times New Roman" w:eastAsia="Times New Roman" w:hAnsi="Times New Roman"/>
          <w:sz w:val="18"/>
          <w:szCs w:val="18"/>
          <w:b w:val="1"/>
          <w:bCs w:val="1"/>
          <w:color w:val="auto"/>
        </w:rPr>
      </w:pPr>
    </w:p>
    <w:p>
      <w:pPr>
        <w:jc w:val="both"/>
        <w:ind w:left="-7" w:right="80" w:firstLine="7"/>
        <w:spacing w:after="0" w:line="257" w:lineRule="auto"/>
        <w:tabs>
          <w:tab w:leader="none" w:pos="783"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13"/>
          </w:cols>
          <w:pgMar w:left="327" w:top="895" w:right="359" w:bottom="1440" w:gutter="0" w:footer="0" w:header="0"/>
        </w:sectPr>
      </w:pPr>
    </w:p>
    <w:bookmarkStart w:id="222" w:name="page223"/>
    <w:bookmarkEnd w:id="222"/>
    <w:p>
      <w:pPr>
        <w:ind w:right="600" w:firstLine="7"/>
        <w:spacing w:after="0" w:line="277" w:lineRule="auto"/>
        <w:tabs>
          <w:tab w:leader="none" w:pos="741"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2" w:lineRule="exact"/>
        <w:rPr>
          <w:rFonts w:ascii="Times New Roman" w:cs="Times New Roman" w:eastAsia="Times New Roman" w:hAnsi="Times New Roman"/>
          <w:sz w:val="18"/>
          <w:szCs w:val="18"/>
          <w:b w:val="1"/>
          <w:bCs w:val="1"/>
          <w:color w:val="auto"/>
        </w:rPr>
      </w:pPr>
    </w:p>
    <w:p>
      <w:pPr>
        <w:ind w:right="40" w:firstLine="7"/>
        <w:spacing w:after="0" w:line="257" w:lineRule="auto"/>
        <w:tabs>
          <w:tab w:leader="none" w:pos="79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80" w:lineRule="exact"/>
        <w:rPr>
          <w:rFonts w:ascii="Times New Roman" w:cs="Times New Roman" w:eastAsia="Times New Roman" w:hAnsi="Times New Roman"/>
          <w:sz w:val="18"/>
          <w:szCs w:val="18"/>
          <w:b w:val="1"/>
          <w:bCs w:val="1"/>
          <w:color w:val="auto"/>
        </w:rPr>
      </w:pPr>
    </w:p>
    <w:p>
      <w:pPr>
        <w:ind w:right="40" w:firstLine="7"/>
        <w:spacing w:after="0" w:line="267" w:lineRule="auto"/>
        <w:tabs>
          <w:tab w:leader="none" w:pos="839" w:val="left"/>
        </w:tabs>
        <w:numPr>
          <w:ilvl w:val="0"/>
          <w:numId w:val="1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w:t>
      </w:r>
    </w:p>
    <w:p>
      <w:pPr>
        <w:spacing w:after="0" w:line="3"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(3) any other action that is treated as a repricing under generally accepted accounting principles.</w:t>
      </w:r>
    </w:p>
    <w:p>
      <w:pPr>
        <w:spacing w:after="0" w:line="197" w:lineRule="exact"/>
        <w:rPr>
          <w:sz w:val="20"/>
          <w:szCs w:val="20"/>
          <w:color w:val="auto"/>
        </w:rPr>
      </w:pPr>
    </w:p>
    <w:p>
      <w:pPr>
        <w:ind w:left="740" w:hanging="733"/>
        <w:spacing w:after="0"/>
        <w:tabs>
          <w:tab w:leader="none" w:pos="74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0" w:lineRule="exact"/>
        <w:rPr>
          <w:sz w:val="20"/>
          <w:szCs w:val="20"/>
          <w:color w:val="auto"/>
        </w:rPr>
      </w:pPr>
    </w:p>
    <w:p>
      <w:pPr>
        <w:ind w:firstLine="7"/>
        <w:spacing w:after="0" w:line="252" w:lineRule="auto"/>
        <w:tabs>
          <w:tab w:leader="none" w:pos="701"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 Plan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2" w:lineRule="exact"/>
        <w:rPr>
          <w:rFonts w:ascii="Times New Roman" w:cs="Times New Roman" w:eastAsia="Times New Roman" w:hAnsi="Times New Roman"/>
          <w:sz w:val="18"/>
          <w:szCs w:val="18"/>
          <w:b w:val="1"/>
          <w:bCs w:val="1"/>
          <w:color w:val="auto"/>
        </w:rPr>
      </w:pPr>
    </w:p>
    <w:p>
      <w:pPr>
        <w:jc w:val="both"/>
        <w:ind w:right="20" w:firstLine="7"/>
        <w:spacing w:after="0" w:line="258" w:lineRule="auto"/>
        <w:tabs>
          <w:tab w:leader="none" w:pos="751"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 is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23" w:name="page224"/>
    <w:bookmarkEnd w:id="223"/>
    <w:p>
      <w:pPr>
        <w:ind w:left="-7" w:right="200" w:firstLine="7"/>
        <w:spacing w:after="0" w:line="281" w:lineRule="auto"/>
        <w:tabs>
          <w:tab w:leader="none" w:pos="744"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review by any person and will be final, binding and conclusive on all persons.</w:t>
      </w:r>
    </w:p>
    <w:p>
      <w:pPr>
        <w:spacing w:after="0" w:line="155" w:lineRule="exact"/>
        <w:rPr>
          <w:rFonts w:ascii="Times New Roman" w:cs="Times New Roman" w:eastAsia="Times New Roman" w:hAnsi="Times New Roman"/>
          <w:sz w:val="18"/>
          <w:szCs w:val="18"/>
          <w:b w:val="1"/>
          <w:bCs w:val="1"/>
          <w:color w:val="auto"/>
        </w:rPr>
      </w:pPr>
    </w:p>
    <w:p>
      <w:pPr>
        <w:ind w:left="-7" w:right="40" w:firstLine="7"/>
        <w:spacing w:after="0" w:line="253" w:lineRule="auto"/>
        <w:tabs>
          <w:tab w:leader="none" w:pos="724"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take any action hereunder that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taken by the Board or Committee with respect to Employees who are not Officers to the extent permitted by Applicable Law;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80" w:lineRule="exact"/>
        <w:rPr>
          <w:sz w:val="20"/>
          <w:szCs w:val="20"/>
          <w:color w:val="auto"/>
        </w:rPr>
      </w:pPr>
    </w:p>
    <w:p>
      <w:pPr>
        <w:ind w:left="673" w:hanging="673"/>
        <w:spacing w:after="0"/>
        <w:tabs>
          <w:tab w:leader="none" w:pos="673"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ithholding</w:t>
      </w:r>
    </w:p>
    <w:p>
      <w:pPr>
        <w:spacing w:after="0" w:line="220" w:lineRule="exact"/>
        <w:rPr>
          <w:sz w:val="20"/>
          <w:szCs w:val="20"/>
          <w:color w:val="auto"/>
        </w:rPr>
      </w:pPr>
    </w:p>
    <w:p>
      <w:pPr>
        <w:ind w:left="-7" w:right="20" w:firstLine="7"/>
        <w:spacing w:after="0" w:line="254" w:lineRule="auto"/>
        <w:tabs>
          <w:tab w:leader="none" w:pos="734"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0" w:lineRule="exact"/>
        <w:rPr>
          <w:rFonts w:ascii="Times New Roman" w:cs="Times New Roman" w:eastAsia="Times New Roman" w:hAnsi="Times New Roman"/>
          <w:sz w:val="18"/>
          <w:szCs w:val="18"/>
          <w:b w:val="1"/>
          <w:bCs w:val="1"/>
          <w:color w:val="auto"/>
        </w:rPr>
      </w:pPr>
    </w:p>
    <w:p>
      <w:pPr>
        <w:ind w:left="-7" w:firstLine="7"/>
        <w:spacing w:after="0" w:line="254" w:lineRule="auto"/>
        <w:tabs>
          <w:tab w:leader="none" w:pos="744"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allowing a Participant to effectuate a “cashless exercise” pursuant to a program developed under Regulation T as promulgated by the Federal Reserve Board; or (vi) by such other method as may be set forth in the Award Agreement.</w:t>
      </w:r>
    </w:p>
    <w:p>
      <w:pPr>
        <w:spacing w:after="0" w:line="180" w:lineRule="exact"/>
        <w:rPr>
          <w:rFonts w:ascii="Times New Roman" w:cs="Times New Roman" w:eastAsia="Times New Roman" w:hAnsi="Times New Roman"/>
          <w:sz w:val="18"/>
          <w:szCs w:val="18"/>
          <w:b w:val="1"/>
          <w:bCs w:val="1"/>
          <w:color w:val="auto"/>
        </w:rPr>
      </w:pPr>
    </w:p>
    <w:p>
      <w:pPr>
        <w:ind w:left="-7" w:right="20" w:firstLine="7"/>
        <w:spacing w:after="0" w:line="267" w:lineRule="auto"/>
        <w:tabs>
          <w:tab w:leader="none" w:pos="724"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Obligation to Notify or Minimize Taxes; No Liability to Claims. </w:t>
      </w:r>
      <w:r>
        <w:rPr>
          <w:rFonts w:ascii="Times New Roman" w:cs="Times New Roman" w:eastAsia="Times New Roman" w:hAnsi="Times New Roman"/>
          <w:sz w:val="17"/>
          <w:szCs w:val="17"/>
          <w:color w:val="auto"/>
        </w:rPr>
        <w:t>Except as required by Applicable Law the Company has no duty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w:t>
      </w:r>
    </w:p>
    <w:p>
      <w:pPr>
        <w:spacing w:after="0" w:line="3" w:lineRule="exact"/>
        <w:rPr>
          <w:rFonts w:ascii="Times New Roman" w:cs="Times New Roman" w:eastAsia="Times New Roman" w:hAnsi="Times New Roman"/>
          <w:sz w:val="17"/>
          <w:szCs w:val="17"/>
          <w:b w:val="1"/>
          <w:bCs w:val="1"/>
          <w:color w:val="auto"/>
        </w:rPr>
      </w:pPr>
    </w:p>
    <w:p>
      <w:pPr>
        <w:ind w:left="-7" w:right="120" w:firstLine="7"/>
        <w:spacing w:after="0" w:line="248" w:lineRule="auto"/>
        <w:tabs>
          <w:tab w:leader="none" w:pos="20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891" w:right="339" w:bottom="1440" w:gutter="0" w:footer="0" w:header="0"/>
        </w:sectPr>
      </w:pPr>
    </w:p>
    <w:bookmarkStart w:id="224" w:name="page225"/>
    <w:bookmarkEnd w:id="224"/>
    <w:p>
      <w:pPr>
        <w:ind w:left="-7" w:right="100" w:firstLine="7"/>
        <w:spacing w:after="0" w:line="258" w:lineRule="auto"/>
        <w:tabs>
          <w:tab w:leader="none" w:pos="744"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77" w:lineRule="exact"/>
        <w:rPr>
          <w:sz w:val="20"/>
          <w:szCs w:val="20"/>
          <w:color w:val="auto"/>
        </w:rPr>
      </w:pPr>
    </w:p>
    <w:p>
      <w:pPr>
        <w:ind w:left="673" w:hanging="673"/>
        <w:spacing w:after="0"/>
        <w:tabs>
          <w:tab w:leader="none" w:pos="673"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left="-7" w:right="280" w:firstLine="7"/>
        <w:spacing w:after="0" w:line="281" w:lineRule="auto"/>
        <w:tabs>
          <w:tab w:leader="none" w:pos="73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55" w:lineRule="exact"/>
        <w:rPr>
          <w:rFonts w:ascii="Times New Roman" w:cs="Times New Roman" w:eastAsia="Times New Roman" w:hAnsi="Times New Roman"/>
          <w:sz w:val="18"/>
          <w:szCs w:val="18"/>
          <w:b w:val="1"/>
          <w:bCs w:val="1"/>
          <w:color w:val="auto"/>
        </w:rPr>
      </w:pPr>
    </w:p>
    <w:p>
      <w:pPr>
        <w:ind w:left="-7" w:right="140" w:firstLine="7"/>
        <w:spacing w:after="0" w:line="281" w:lineRule="auto"/>
        <w:tabs>
          <w:tab w:leader="none" w:pos="7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of the Company.</w:t>
      </w:r>
    </w:p>
    <w:p>
      <w:pPr>
        <w:spacing w:after="0" w:line="155" w:lineRule="exact"/>
        <w:rPr>
          <w:rFonts w:ascii="Times New Roman" w:cs="Times New Roman" w:eastAsia="Times New Roman" w:hAnsi="Times New Roman"/>
          <w:sz w:val="18"/>
          <w:szCs w:val="18"/>
          <w:b w:val="1"/>
          <w:bCs w:val="1"/>
          <w:color w:val="auto"/>
        </w:rPr>
      </w:pPr>
    </w:p>
    <w:p>
      <w:pPr>
        <w:ind w:left="-7" w:firstLine="7"/>
        <w:spacing w:after="0" w:line="253" w:lineRule="auto"/>
        <w:tabs>
          <w:tab w:leader="none" w:pos="72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0" w:lineRule="exact"/>
        <w:rPr>
          <w:rFonts w:ascii="Times New Roman" w:cs="Times New Roman" w:eastAsia="Times New Roman" w:hAnsi="Times New Roman"/>
          <w:sz w:val="18"/>
          <w:szCs w:val="18"/>
          <w:b w:val="1"/>
          <w:bCs w:val="1"/>
          <w:color w:val="auto"/>
        </w:rPr>
      </w:pPr>
    </w:p>
    <w:p>
      <w:pPr>
        <w:ind w:left="-7" w:right="180" w:firstLine="7"/>
        <w:spacing w:after="0" w:line="264" w:lineRule="auto"/>
        <w:tabs>
          <w:tab w:leader="none" w:pos="744"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13"/>
          </w:cols>
          <w:pgMar w:left="327" w:top="891" w:right="459" w:bottom="1440" w:gutter="0" w:footer="0" w:header="0"/>
        </w:sectPr>
      </w:pPr>
    </w:p>
    <w:bookmarkStart w:id="225" w:name="page226"/>
    <w:bookmarkEnd w:id="225"/>
    <w:p>
      <w:pPr>
        <w:ind w:firstLine="7"/>
        <w:spacing w:after="0" w:line="251" w:lineRule="auto"/>
        <w:tabs>
          <w:tab w:leader="none" w:pos="731"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3" w:lineRule="exact"/>
        <w:rPr>
          <w:rFonts w:ascii="Times New Roman" w:cs="Times New Roman" w:eastAsia="Times New Roman" w:hAnsi="Times New Roman"/>
          <w:sz w:val="18"/>
          <w:szCs w:val="18"/>
          <w:b w:val="1"/>
          <w:bCs w:val="1"/>
          <w:color w:val="auto"/>
        </w:rPr>
      </w:pPr>
    </w:p>
    <w:p>
      <w:pPr>
        <w:ind w:right="20" w:firstLine="7"/>
        <w:spacing w:after="0" w:line="253" w:lineRule="auto"/>
        <w:tabs>
          <w:tab w:leader="none" w:pos="711"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0" w:lineRule="exact"/>
        <w:rPr>
          <w:rFonts w:ascii="Times New Roman" w:cs="Times New Roman" w:eastAsia="Times New Roman" w:hAnsi="Times New Roman"/>
          <w:sz w:val="18"/>
          <w:szCs w:val="18"/>
          <w:b w:val="1"/>
          <w:bCs w:val="1"/>
          <w:color w:val="auto"/>
        </w:rPr>
      </w:pPr>
    </w:p>
    <w:p>
      <w:pPr>
        <w:ind w:right="160" w:firstLine="7"/>
        <w:spacing w:after="0" w:line="264" w:lineRule="auto"/>
        <w:tabs>
          <w:tab w:leader="none" w:pos="741"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0" w:lineRule="exact"/>
        <w:rPr>
          <w:rFonts w:ascii="Times New Roman" w:cs="Times New Roman" w:eastAsia="Times New Roman" w:hAnsi="Times New Roman"/>
          <w:sz w:val="18"/>
          <w:szCs w:val="18"/>
          <w:b w:val="1"/>
          <w:bCs w:val="1"/>
          <w:color w:val="auto"/>
        </w:rPr>
      </w:pPr>
    </w:p>
    <w:p>
      <w:pPr>
        <w:ind w:firstLine="7"/>
        <w:spacing w:after="0" w:line="254" w:lineRule="auto"/>
        <w:tabs>
          <w:tab w:leader="none" w:pos="751"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6" w:name="page227"/>
    <w:bookmarkEnd w:id="226"/>
    <w:p>
      <w:pPr>
        <w:ind w:right="20" w:firstLine="7"/>
        <w:spacing w:after="0" w:line="252" w:lineRule="auto"/>
        <w:tabs>
          <w:tab w:leader="none" w:pos="701"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82" w:lineRule="exact"/>
        <w:rPr>
          <w:rFonts w:ascii="Times New Roman" w:cs="Times New Roman" w:eastAsia="Times New Roman" w:hAnsi="Times New Roman"/>
          <w:sz w:val="18"/>
          <w:szCs w:val="18"/>
          <w:b w:val="1"/>
          <w:bCs w:val="1"/>
          <w:color w:val="auto"/>
        </w:rPr>
      </w:pPr>
    </w:p>
    <w:p>
      <w:pPr>
        <w:jc w:val="both"/>
        <w:ind w:firstLine="7"/>
        <w:spacing w:after="0" w:line="258" w:lineRule="auto"/>
        <w:tabs>
          <w:tab w:leader="none" w:pos="711"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7" w:lineRule="exact"/>
        <w:rPr>
          <w:rFonts w:ascii="Times New Roman" w:cs="Times New Roman" w:eastAsia="Times New Roman" w:hAnsi="Times New Roman"/>
          <w:sz w:val="18"/>
          <w:szCs w:val="18"/>
          <w:b w:val="1"/>
          <w:bCs w:val="1"/>
          <w:color w:val="auto"/>
        </w:rPr>
      </w:pPr>
    </w:p>
    <w:p>
      <w:pPr>
        <w:ind w:firstLine="7"/>
        <w:spacing w:after="0" w:line="256" w:lineRule="auto"/>
        <w:tabs>
          <w:tab w:leader="none" w:pos="751"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6" w:lineRule="exact"/>
        <w:rPr>
          <w:rFonts w:ascii="Times New Roman" w:cs="Times New Roman" w:eastAsia="Times New Roman" w:hAnsi="Times New Roman"/>
          <w:sz w:val="18"/>
          <w:szCs w:val="18"/>
          <w:b w:val="1"/>
          <w:bCs w:val="1"/>
          <w:color w:val="auto"/>
        </w:rPr>
      </w:pPr>
    </w:p>
    <w:p>
      <w:pPr>
        <w:jc w:val="both"/>
        <w:ind w:right="140" w:firstLine="7"/>
        <w:spacing w:after="0" w:line="258" w:lineRule="auto"/>
        <w:tabs>
          <w:tab w:leader="none" w:pos="701"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7" w:lineRule="exact"/>
        <w:rPr>
          <w:rFonts w:ascii="Times New Roman" w:cs="Times New Roman" w:eastAsia="Times New Roman" w:hAnsi="Times New Roman"/>
          <w:sz w:val="18"/>
          <w:szCs w:val="18"/>
          <w:b w:val="1"/>
          <w:bCs w:val="1"/>
          <w:color w:val="auto"/>
        </w:rPr>
      </w:pPr>
    </w:p>
    <w:p>
      <w:pPr>
        <w:jc w:val="both"/>
        <w:ind w:right="140" w:firstLine="7"/>
        <w:spacing w:after="0" w:line="264" w:lineRule="auto"/>
        <w:tabs>
          <w:tab w:leader="none" w:pos="80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7" w:name="page228"/>
    <w:bookmarkEnd w:id="227"/>
    <w:p>
      <w:pPr>
        <w:ind w:left="-7" w:firstLine="7"/>
        <w:spacing w:after="0" w:line="250" w:lineRule="auto"/>
        <w:tabs>
          <w:tab w:leader="none" w:pos="74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 greatest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(6)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7" w:lineRule="exact"/>
        <w:rPr>
          <w:rFonts w:ascii="Times New Roman" w:cs="Times New Roman" w:eastAsia="Times New Roman" w:hAnsi="Times New Roman"/>
          <w:sz w:val="18"/>
          <w:szCs w:val="18"/>
          <w:b w:val="1"/>
          <w:bCs w:val="1"/>
          <w:color w:val="auto"/>
        </w:rPr>
      </w:pPr>
    </w:p>
    <w:p>
      <w:pPr>
        <w:jc w:val="both"/>
        <w:ind w:left="-7" w:right="220" w:firstLine="7"/>
        <w:spacing w:after="0" w:line="264" w:lineRule="auto"/>
        <w:tabs>
          <w:tab w:leader="none" w:pos="734"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laws of the State of Delaware, without regard to conflict of law principles that would result in any application of any law other than the law of the State of Delaware.</w:t>
      </w:r>
    </w:p>
    <w:p>
      <w:pPr>
        <w:spacing w:after="0" w:line="171" w:lineRule="exact"/>
        <w:rPr>
          <w:sz w:val="20"/>
          <w:szCs w:val="20"/>
          <w:color w:val="auto"/>
        </w:rPr>
      </w:pPr>
    </w:p>
    <w:p>
      <w:pPr>
        <w:ind w:left="753" w:hanging="753"/>
        <w:spacing w:after="0"/>
        <w:tabs>
          <w:tab w:leader="none" w:pos="753"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left="-7" w:right="100" w:firstLine="7"/>
        <w:spacing w:after="0" w:line="252" w:lineRule="auto"/>
        <w:tabs>
          <w:tab w:leader="none" w:pos="734"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 agency, as may be deemed to be necessary,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83" w:lineRule="exact"/>
        <w:rPr>
          <w:sz w:val="20"/>
          <w:szCs w:val="20"/>
          <w:color w:val="auto"/>
        </w:rPr>
      </w:pPr>
    </w:p>
    <w:p>
      <w:pPr>
        <w:ind w:left="753" w:hanging="753"/>
        <w:spacing w:after="0"/>
        <w:tabs>
          <w:tab w:leader="none" w:pos="753"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220" w:lineRule="exact"/>
        <w:rPr>
          <w:sz w:val="20"/>
          <w:szCs w:val="20"/>
          <w:color w:val="auto"/>
        </w:rPr>
      </w:pPr>
    </w:p>
    <w:p>
      <w:pPr>
        <w:ind w:left="-7" w:right="320" w:firstLine="7"/>
        <w:spacing w:after="0" w:line="281" w:lineRule="auto"/>
        <w:tabs>
          <w:tab w:leader="none" w:pos="734"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shall apply and shall supersede anything to the contrary set forth in the Award Agreement for a Non-Exempt Award.</w:t>
      </w:r>
    </w:p>
    <w:p>
      <w:pPr>
        <w:spacing w:after="0" w:line="200" w:lineRule="exact"/>
        <w:rPr>
          <w:sz w:val="20"/>
          <w:szCs w:val="20"/>
          <w:color w:val="auto"/>
        </w:rPr>
      </w:pPr>
    </w:p>
    <w:p>
      <w:pPr>
        <w:spacing w:after="0" w:line="38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13"/>
          </w:cols>
          <w:pgMar w:left="327" w:top="891" w:right="359" w:bottom="1440" w:gutter="0" w:footer="0" w:header="0"/>
        </w:sectPr>
      </w:pPr>
    </w:p>
    <w:bookmarkStart w:id="228" w:name="page229"/>
    <w:bookmarkEnd w:id="228"/>
    <w:p>
      <w:pPr>
        <w:ind w:right="120" w:firstLine="7"/>
        <w:spacing w:after="0" w:line="281" w:lineRule="auto"/>
        <w:tabs>
          <w:tab w:leader="none" w:pos="751"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a Non-Exempt Severance Arrangement, the following provisions of this subsection (b) apply.</w:t>
      </w:r>
    </w:p>
    <w:p>
      <w:pPr>
        <w:spacing w:after="0" w:line="160" w:lineRule="exact"/>
        <w:rPr>
          <w:sz w:val="20"/>
          <w:szCs w:val="20"/>
          <w:color w:val="auto"/>
        </w:rPr>
      </w:pPr>
    </w:p>
    <w:p>
      <w:pPr>
        <w:ind w:right="20" w:firstLine="7"/>
        <w:spacing w:after="0" w:line="273" w:lineRule="auto"/>
        <w:tabs>
          <w:tab w:leader="none" w:pos="701" w:val="left"/>
        </w:tabs>
        <w:numPr>
          <w:ilvl w:val="0"/>
          <w:numId w:val="2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w:t>
      </w:r>
    </w:p>
    <w:p>
      <w:pPr>
        <w:spacing w:after="0" w:line="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7"/>
          <w:szCs w:val="17"/>
          <w:color w:val="auto"/>
        </w:rPr>
        <w:t>respect of such Non-Exempt Award any later than the later of: (i)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of the calendar year that includes the applicable vesting date, or (ii)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that follows the applicable vesting date.</w:t>
      </w:r>
    </w:p>
    <w:p>
      <w:pPr>
        <w:spacing w:after="0" w:line="196" w:lineRule="exact"/>
        <w:rPr>
          <w:sz w:val="20"/>
          <w:szCs w:val="20"/>
          <w:color w:val="auto"/>
        </w:rPr>
      </w:pPr>
    </w:p>
    <w:p>
      <w:pPr>
        <w:ind w:right="160" w:firstLine="7"/>
        <w:spacing w:after="0" w:line="269" w:lineRule="auto"/>
        <w:tabs>
          <w:tab w:leader="none" w:pos="751" w:val="left"/>
        </w:tabs>
        <w:numPr>
          <w:ilvl w:val="0"/>
          <w:numId w:val="2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w:t>
      </w:r>
    </w:p>
    <w:p>
      <w:pPr>
        <w:spacing w:after="0" w:line="2"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Participant’s Separation from Service in accordance with the terms of the Non-Exempt Severance Arrangement, but in no event later than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99" w:lineRule="exact"/>
        <w:rPr>
          <w:sz w:val="20"/>
          <w:szCs w:val="20"/>
          <w:color w:val="auto"/>
        </w:rPr>
      </w:pPr>
    </w:p>
    <w:p>
      <w:pPr>
        <w:ind w:firstLine="7"/>
        <w:spacing w:after="0" w:line="253" w:lineRule="auto"/>
        <w:tabs>
          <w:tab w:leader="none" w:pos="80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81" w:lineRule="exact"/>
        <w:rPr>
          <w:sz w:val="20"/>
          <w:szCs w:val="20"/>
          <w:color w:val="auto"/>
        </w:rPr>
      </w:pPr>
    </w:p>
    <w:p>
      <w:pPr>
        <w:ind w:right="20" w:firstLine="7"/>
        <w:spacing w:after="0" w:line="287" w:lineRule="auto"/>
        <w:tabs>
          <w:tab w:leader="none" w:pos="731" w:val="left"/>
        </w:tabs>
        <w:numPr>
          <w:ilvl w:val="0"/>
          <w:numId w:val="2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Treatment of Non-Exempt Awards Upon a Corporate Transaction for Employees and Consultants. </w:t>
      </w:r>
      <w:r>
        <w:rPr>
          <w:rFonts w:ascii="Times New Roman" w:cs="Times New Roman" w:eastAsia="Times New Roman" w:hAnsi="Times New Roman"/>
          <w:sz w:val="17"/>
          <w:szCs w:val="17"/>
          <w:color w:val="auto"/>
        </w:rPr>
        <w:t>The provisions of this subsection (c)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53" w:lineRule="exact"/>
        <w:rPr>
          <w:sz w:val="20"/>
          <w:szCs w:val="20"/>
          <w:color w:val="auto"/>
        </w:rPr>
      </w:pPr>
    </w:p>
    <w:p>
      <w:pPr>
        <w:ind w:left="700" w:hanging="693"/>
        <w:spacing w:after="0"/>
        <w:tabs>
          <w:tab w:leader="none" w:pos="700" w:val="left"/>
        </w:tabs>
        <w:numPr>
          <w:ilvl w:val="0"/>
          <w:numId w:val="2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Vested Non-Exempt Awards. </w:t>
      </w:r>
      <w:r>
        <w:rPr>
          <w:rFonts w:ascii="Times New Roman" w:cs="Times New Roman" w:eastAsia="Times New Roman" w:hAnsi="Times New Roman"/>
          <w:sz w:val="17"/>
          <w:szCs w:val="17"/>
          <w:color w:val="auto"/>
        </w:rPr>
        <w:t>The following provisions shall apply to any Vested Non-Exempt Award in connection with a Corporate Transaction:</w:t>
      </w:r>
    </w:p>
    <w:p>
      <w:pPr>
        <w:spacing w:after="0" w:line="235" w:lineRule="exact"/>
        <w:rPr>
          <w:sz w:val="20"/>
          <w:szCs w:val="20"/>
          <w:color w:val="auto"/>
        </w:rPr>
      </w:pPr>
    </w:p>
    <w:p>
      <w:pPr>
        <w:ind w:right="40" w:firstLine="7"/>
        <w:spacing w:after="0" w:line="254" w:lineRule="auto"/>
        <w:tabs>
          <w:tab w:leader="none" w:pos="741"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9" w:name="page230"/>
    <w:bookmarkEnd w:id="229"/>
    <w:p>
      <w:pPr>
        <w:ind w:left="-7" w:right="20" w:firstLine="7"/>
        <w:spacing w:after="0" w:line="253" w:lineRule="auto"/>
        <w:tabs>
          <w:tab w:leader="none" w:pos="734"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81" w:lineRule="exact"/>
        <w:rPr>
          <w:sz w:val="20"/>
          <w:szCs w:val="20"/>
          <w:color w:val="auto"/>
        </w:rPr>
      </w:pPr>
    </w:p>
    <w:p>
      <w:pPr>
        <w:ind w:left="-7" w:right="200" w:firstLine="7"/>
        <w:spacing w:after="0" w:line="281" w:lineRule="auto"/>
        <w:tabs>
          <w:tab w:leader="none" w:pos="744"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pursuant to subsection (e) of this Section.</w:t>
      </w:r>
    </w:p>
    <w:p>
      <w:pPr>
        <w:spacing w:after="0" w:line="160" w:lineRule="exact"/>
        <w:rPr>
          <w:sz w:val="20"/>
          <w:szCs w:val="20"/>
          <w:color w:val="auto"/>
        </w:rPr>
      </w:pPr>
    </w:p>
    <w:p>
      <w:pPr>
        <w:ind w:left="-7" w:right="40" w:firstLine="7"/>
        <w:spacing w:after="0" w:line="252" w:lineRule="auto"/>
        <w:tabs>
          <w:tab w:leader="none" w:pos="734"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6" w:lineRule="exact"/>
        <w:rPr>
          <w:rFonts w:ascii="Times New Roman" w:cs="Times New Roman" w:eastAsia="Times New Roman" w:hAnsi="Times New Roman"/>
          <w:sz w:val="18"/>
          <w:szCs w:val="18"/>
          <w:b w:val="1"/>
          <w:bCs w:val="1"/>
          <w:color w:val="auto"/>
        </w:rPr>
      </w:pPr>
    </w:p>
    <w:p>
      <w:pPr>
        <w:ind w:left="-7" w:firstLine="7"/>
        <w:spacing w:after="0" w:line="251" w:lineRule="auto"/>
        <w:tabs>
          <w:tab w:leader="none" w:pos="734"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895" w:right="339" w:bottom="1440" w:gutter="0" w:footer="0" w:header="0"/>
        </w:sectPr>
      </w:pPr>
    </w:p>
    <w:bookmarkStart w:id="230" w:name="page231"/>
    <w:bookmarkEnd w:id="230"/>
    <w:p>
      <w:pPr>
        <w:ind w:left="-7" w:right="120" w:firstLine="7"/>
        <w:spacing w:after="0" w:line="277" w:lineRule="auto"/>
        <w:tabs>
          <w:tab w:leader="none" w:pos="734"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59" w:lineRule="exact"/>
        <w:rPr>
          <w:sz w:val="20"/>
          <w:szCs w:val="20"/>
          <w:color w:val="auto"/>
        </w:rPr>
      </w:pPr>
    </w:p>
    <w:p>
      <w:pPr>
        <w:ind w:left="753" w:hanging="753"/>
        <w:spacing w:after="0"/>
        <w:tabs>
          <w:tab w:leader="none" w:pos="753" w:val="left"/>
        </w:tabs>
        <w:numPr>
          <w:ilvl w:val="0"/>
          <w:numId w:val="2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Treatment of Non-Exempt Awards Upon a Corporate Transaction for Non-Employee Directors. </w:t>
      </w:r>
      <w:r>
        <w:rPr>
          <w:rFonts w:ascii="Times New Roman" w:cs="Times New Roman" w:eastAsia="Times New Roman" w:hAnsi="Times New Roman"/>
          <w:sz w:val="17"/>
          <w:szCs w:val="17"/>
          <w:color w:val="auto"/>
        </w:rPr>
        <w:t>The following provisions of this subsection</w:t>
      </w:r>
    </w:p>
    <w:p>
      <w:pPr>
        <w:spacing w:after="0" w:line="40" w:lineRule="exact"/>
        <w:rPr>
          <w:rFonts w:ascii="Times New Roman" w:cs="Times New Roman" w:eastAsia="Times New Roman" w:hAnsi="Times New Roman"/>
          <w:sz w:val="17"/>
          <w:szCs w:val="17"/>
          <w:b w:val="1"/>
          <w:bCs w:val="1"/>
          <w:color w:val="auto"/>
        </w:rPr>
      </w:pPr>
    </w:p>
    <w:p>
      <w:pPr>
        <w:ind w:left="-7" w:firstLine="7"/>
        <w:spacing w:after="0" w:line="255" w:lineRule="auto"/>
        <w:tabs>
          <w:tab w:leader="none" w:pos="24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and shall supersede anything to the contrary that may be set forth in the Plan with respect to the permitted treatment of a Non-Exempt Director Award in connection with a Corporate Transaction.</w:t>
      </w:r>
    </w:p>
    <w:p>
      <w:pPr>
        <w:spacing w:after="0" w:line="182" w:lineRule="exact"/>
        <w:rPr>
          <w:sz w:val="20"/>
          <w:szCs w:val="20"/>
          <w:color w:val="auto"/>
        </w:rPr>
      </w:pPr>
    </w:p>
    <w:p>
      <w:pPr>
        <w:ind w:left="-7" w:right="180" w:firstLine="7"/>
        <w:spacing w:after="0" w:line="254" w:lineRule="auto"/>
        <w:tabs>
          <w:tab w:leader="none" w:pos="694"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85" w:lineRule="exact"/>
        <w:rPr>
          <w:rFonts w:ascii="Times New Roman" w:cs="Times New Roman" w:eastAsia="Times New Roman" w:hAnsi="Times New Roman"/>
          <w:sz w:val="18"/>
          <w:szCs w:val="18"/>
          <w:b w:val="1"/>
          <w:bCs w:val="1"/>
          <w:color w:val="auto"/>
        </w:rPr>
      </w:pPr>
    </w:p>
    <w:p>
      <w:pPr>
        <w:ind w:left="-7" w:right="20" w:firstLine="7"/>
        <w:spacing w:after="0" w:line="252" w:lineRule="auto"/>
        <w:tabs>
          <w:tab w:leader="none" w:pos="744"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87" w:lineRule="exact"/>
        <w:rPr>
          <w:sz w:val="20"/>
          <w:szCs w:val="20"/>
          <w:color w:val="auto"/>
        </w:rPr>
      </w:pPr>
    </w:p>
    <w:p>
      <w:pPr>
        <w:ind w:left="-7" w:right="60" w:firstLine="7"/>
        <w:spacing w:after="0" w:line="277" w:lineRule="auto"/>
        <w:tabs>
          <w:tab w:leader="none" w:pos="724"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63" w:lineRule="exact"/>
        <w:rPr>
          <w:sz w:val="20"/>
          <w:szCs w:val="20"/>
          <w:color w:val="auto"/>
        </w:rPr>
      </w:pPr>
    </w:p>
    <w:p>
      <w:pPr>
        <w:ind w:left="-7" w:right="460" w:firstLine="7"/>
        <w:spacing w:after="0" w:line="262" w:lineRule="auto"/>
        <w:tabs>
          <w:tab w:leader="none" w:pos="694"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6" w:lineRule="exact"/>
        <w:rPr>
          <w:rFonts w:ascii="Times New Roman" w:cs="Times New Roman" w:eastAsia="Times New Roman" w:hAnsi="Times New Roman"/>
          <w:sz w:val="18"/>
          <w:szCs w:val="18"/>
          <w:b w:val="1"/>
          <w:bCs w:val="1"/>
          <w:color w:val="auto"/>
        </w:rPr>
      </w:pPr>
    </w:p>
    <w:p>
      <w:pPr>
        <w:ind w:left="-7" w:right="20" w:firstLine="7"/>
        <w:spacing w:after="0" w:line="277" w:lineRule="auto"/>
        <w:tabs>
          <w:tab w:leader="none" w:pos="744"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62" w:lineRule="exact"/>
        <w:rPr>
          <w:rFonts w:ascii="Times New Roman" w:cs="Times New Roman" w:eastAsia="Times New Roman" w:hAnsi="Times New Roman"/>
          <w:sz w:val="18"/>
          <w:szCs w:val="18"/>
          <w:b w:val="1"/>
          <w:bCs w:val="1"/>
          <w:color w:val="auto"/>
        </w:rPr>
      </w:pPr>
    </w:p>
    <w:p>
      <w:pPr>
        <w:ind w:left="-7" w:right="80" w:firstLine="7"/>
        <w:spacing w:after="0" w:line="251" w:lineRule="auto"/>
        <w:tabs>
          <w:tab w:leader="none" w:pos="793"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895" w:right="339" w:bottom="1440" w:gutter="0" w:footer="0" w:header="0"/>
        </w:sectPr>
      </w:pPr>
    </w:p>
    <w:bookmarkStart w:id="231" w:name="page232"/>
    <w:bookmarkEnd w:id="231"/>
    <w:p>
      <w:pPr>
        <w:ind w:firstLine="7"/>
        <w:spacing w:after="0" w:line="262" w:lineRule="auto"/>
        <w:tabs>
          <w:tab w:leader="none" w:pos="79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72" w:lineRule="exact"/>
        <w:rPr>
          <w:sz w:val="20"/>
          <w:szCs w:val="20"/>
          <w:color w:val="auto"/>
        </w:rPr>
      </w:pPr>
    </w:p>
    <w:p>
      <w:pPr>
        <w:ind w:left="760" w:hanging="753"/>
        <w:spacing w:after="0"/>
        <w:tabs>
          <w:tab w:leader="none" w:pos="76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160" w:firstLine="640"/>
        <w:spacing w:after="0" w:line="257"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7" w:lineRule="exact"/>
        <w:rPr>
          <w:sz w:val="20"/>
          <w:szCs w:val="20"/>
          <w:color w:val="auto"/>
        </w:rPr>
      </w:pPr>
    </w:p>
    <w:p>
      <w:pPr>
        <w:ind w:left="760" w:hanging="753"/>
        <w:spacing w:after="0"/>
        <w:tabs>
          <w:tab w:leader="none" w:pos="76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Board may suspend or terminate the Plan at any time. No Incentive Stock Options may be granted after the tenth anniversary of the earlier of:</w:t>
      </w:r>
    </w:p>
    <w:p>
      <w:pPr>
        <w:spacing w:after="0" w:line="37" w:lineRule="exact"/>
        <w:rPr>
          <w:sz w:val="20"/>
          <w:szCs w:val="20"/>
          <w:color w:val="auto"/>
        </w:rPr>
      </w:pPr>
    </w:p>
    <w:p>
      <w:pPr>
        <w:ind w:right="420" w:firstLine="7"/>
        <w:spacing w:after="0" w:line="255" w:lineRule="auto"/>
        <w:tabs>
          <w:tab w:leader="none" w:pos="21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232" w:name="page233"/>
    <w:bookmarkEnd w:id="232"/>
    <w:p>
      <w:pPr>
        <w:ind w:left="760" w:hanging="753"/>
        <w:spacing w:after="0"/>
        <w:tabs>
          <w:tab w:leader="none" w:pos="76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216" w:lineRule="exact"/>
        <w:rPr>
          <w:sz w:val="20"/>
          <w:szCs w:val="20"/>
          <w:color w:val="auto"/>
        </w:rPr>
      </w:pPr>
    </w:p>
    <w:p>
      <w:pPr>
        <w:ind w:left="740" w:hanging="733"/>
        <w:spacing w:after="0"/>
        <w:tabs>
          <w:tab w:leader="none" w:pos="74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219" w:lineRule="exact"/>
        <w:rPr>
          <w:rFonts w:ascii="Times New Roman" w:cs="Times New Roman" w:eastAsia="Times New Roman" w:hAnsi="Times New Roman"/>
          <w:sz w:val="18"/>
          <w:szCs w:val="18"/>
          <w:b w:val="1"/>
          <w:bCs w:val="1"/>
          <w:color w:val="auto"/>
        </w:rPr>
      </w:pPr>
    </w:p>
    <w:p>
      <w:pPr>
        <w:ind w:left="760" w:hanging="753"/>
        <w:spacing w:after="0"/>
        <w:tabs>
          <w:tab w:leader="none" w:pos="76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219" w:lineRule="exact"/>
        <w:rPr>
          <w:rFonts w:ascii="Times New Roman" w:cs="Times New Roman" w:eastAsia="Times New Roman" w:hAnsi="Times New Roman"/>
          <w:sz w:val="18"/>
          <w:szCs w:val="18"/>
          <w:b w:val="1"/>
          <w:bCs w:val="1"/>
          <w:color w:val="auto"/>
        </w:rPr>
      </w:pPr>
    </w:p>
    <w:p>
      <w:pPr>
        <w:jc w:val="both"/>
        <w:ind w:right="40" w:firstLine="7"/>
        <w:spacing w:after="0" w:line="312" w:lineRule="auto"/>
        <w:tabs>
          <w:tab w:leader="none" w:pos="731" w:val="left"/>
        </w:tabs>
        <w:numPr>
          <w:ilvl w:val="0"/>
          <w:numId w:val="2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32" w:lineRule="exact"/>
        <w:rPr>
          <w:rFonts w:ascii="Times New Roman" w:cs="Times New Roman" w:eastAsia="Times New Roman" w:hAnsi="Times New Roman"/>
          <w:sz w:val="17"/>
          <w:szCs w:val="17"/>
          <w:b w:val="1"/>
          <w:bCs w:val="1"/>
          <w:color w:val="auto"/>
        </w:rPr>
      </w:pPr>
    </w:p>
    <w:p>
      <w:pPr>
        <w:ind w:firstLine="7"/>
        <w:spacing w:after="0" w:line="278" w:lineRule="auto"/>
        <w:tabs>
          <w:tab w:leader="none" w:pos="751" w:val="left"/>
        </w:tabs>
        <w:numPr>
          <w:ilvl w:val="0"/>
          <w:numId w:val="2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Law</w:t>
      </w:r>
      <w:r>
        <w:rPr>
          <w:rFonts w:ascii="Times New Roman" w:cs="Times New Roman" w:eastAsia="Times New Roman" w:hAnsi="Times New Roman"/>
          <w:sz w:val="17"/>
          <w:szCs w:val="17"/>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61" w:lineRule="exact"/>
        <w:rPr>
          <w:rFonts w:ascii="Times New Roman" w:cs="Times New Roman" w:eastAsia="Times New Roman" w:hAnsi="Times New Roman"/>
          <w:sz w:val="17"/>
          <w:szCs w:val="17"/>
          <w:b w:val="1"/>
          <w:bCs w:val="1"/>
          <w:color w:val="auto"/>
        </w:rPr>
      </w:pPr>
    </w:p>
    <w:p>
      <w:pPr>
        <w:ind w:right="520" w:firstLine="7"/>
        <w:spacing w:after="0" w:line="281" w:lineRule="auto"/>
        <w:tabs>
          <w:tab w:leader="none" w:pos="731"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155" w:lineRule="exact"/>
        <w:rPr>
          <w:rFonts w:ascii="Times New Roman" w:cs="Times New Roman" w:eastAsia="Times New Roman" w:hAnsi="Times New Roman"/>
          <w:sz w:val="18"/>
          <w:szCs w:val="18"/>
          <w:b w:val="1"/>
          <w:bCs w:val="1"/>
          <w:color w:val="auto"/>
        </w:rPr>
      </w:pPr>
    </w:p>
    <w:p>
      <w:pPr>
        <w:ind w:firstLine="7"/>
        <w:spacing w:after="0" w:line="264" w:lineRule="auto"/>
        <w:tabs>
          <w:tab w:leader="none" w:pos="711"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70" w:lineRule="exact"/>
        <w:rPr>
          <w:rFonts w:ascii="Times New Roman" w:cs="Times New Roman" w:eastAsia="Times New Roman" w:hAnsi="Times New Roman"/>
          <w:sz w:val="18"/>
          <w:szCs w:val="18"/>
          <w:b w:val="1"/>
          <w:bCs w:val="1"/>
          <w:color w:val="auto"/>
        </w:rPr>
      </w:pPr>
    </w:p>
    <w:p>
      <w:pPr>
        <w:ind w:right="40" w:firstLine="7"/>
        <w:spacing w:after="0" w:line="264" w:lineRule="auto"/>
        <w:tabs>
          <w:tab w:leader="none" w:pos="741"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70" w:lineRule="exact"/>
        <w:rPr>
          <w:rFonts w:ascii="Times New Roman" w:cs="Times New Roman" w:eastAsia="Times New Roman" w:hAnsi="Times New Roman"/>
          <w:sz w:val="18"/>
          <w:szCs w:val="18"/>
          <w:b w:val="1"/>
          <w:bCs w:val="1"/>
          <w:color w:val="auto"/>
        </w:rPr>
      </w:pPr>
    </w:p>
    <w:p>
      <w:pPr>
        <w:jc w:val="both"/>
        <w:ind w:right="40" w:firstLine="7"/>
        <w:spacing w:after="0" w:line="267" w:lineRule="auto"/>
        <w:tabs>
          <w:tab w:leader="none" w:pos="751" w:val="left"/>
        </w:tabs>
        <w:numPr>
          <w:ilvl w:val="0"/>
          <w:numId w:val="2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w:t>
      </w:r>
    </w:p>
    <w:p>
      <w:pPr>
        <w:spacing w:after="0" w:line="3"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Notwithstanding the foregoing, the conversion of any convertible securities of the Company will not be treated as a Capitalization Adjustment.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33" w:name="page234"/>
    <w:bookmarkEnd w:id="233"/>
    <w:p>
      <w:pPr>
        <w:ind w:right="20" w:firstLine="7"/>
        <w:spacing w:after="0" w:line="250" w:lineRule="auto"/>
        <w:tabs>
          <w:tab w:leader="none" w:pos="701"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or material violation of any provision of Company policy.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5" w:lineRule="exact"/>
        <w:rPr>
          <w:rFonts w:ascii="Times New Roman" w:cs="Times New Roman" w:eastAsia="Times New Roman" w:hAnsi="Times New Roman"/>
          <w:sz w:val="18"/>
          <w:szCs w:val="18"/>
          <w:b w:val="1"/>
          <w:bCs w:val="1"/>
          <w:color w:val="auto"/>
        </w:rPr>
      </w:pPr>
    </w:p>
    <w:p>
      <w:pPr>
        <w:ind w:right="360" w:firstLine="7"/>
        <w:spacing w:after="0" w:line="281" w:lineRule="auto"/>
        <w:tabs>
          <w:tab w:leader="none" w:pos="711"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160" w:lineRule="exact"/>
        <w:rPr>
          <w:sz w:val="20"/>
          <w:szCs w:val="20"/>
          <w:color w:val="auto"/>
        </w:rPr>
      </w:pPr>
    </w:p>
    <w:p>
      <w:pPr>
        <w:ind w:right="280" w:firstLine="7"/>
        <w:spacing w:after="0" w:line="269" w:lineRule="auto"/>
        <w:tabs>
          <w:tab w:leader="none" w:pos="701" w:val="left"/>
        </w:tabs>
        <w:numPr>
          <w:ilvl w:val="0"/>
          <w:numId w:val="2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w:t>
      </w:r>
    </w:p>
    <w:p>
      <w:pPr>
        <w:spacing w:after="0" w:line="2" w:lineRule="exact"/>
        <w:rPr>
          <w:rFonts w:ascii="Times New Roman" w:cs="Times New Roman" w:eastAsia="Times New Roman" w:hAnsi="Times New Roman"/>
          <w:sz w:val="17"/>
          <w:szCs w:val="17"/>
          <w:b w:val="1"/>
          <w:bCs w:val="1"/>
          <w:color w:val="auto"/>
        </w:rPr>
      </w:pPr>
    </w:p>
    <w:p>
      <w:pPr>
        <w:spacing w:after="0" w:line="24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34" w:name="page235"/>
    <w:bookmarkEnd w:id="234"/>
    <w:p>
      <w:pPr>
        <w:ind w:right="120" w:firstLine="7"/>
        <w:spacing w:after="0" w:line="253" w:lineRule="auto"/>
        <w:tabs>
          <w:tab w:leader="none" w:pos="751"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185" w:lineRule="exact"/>
        <w:rPr>
          <w:rFonts w:ascii="Times New Roman" w:cs="Times New Roman" w:eastAsia="Times New Roman" w:hAnsi="Times New Roman"/>
          <w:sz w:val="18"/>
          <w:szCs w:val="18"/>
          <w:b w:val="1"/>
          <w:bCs w:val="1"/>
          <w:color w:val="auto"/>
        </w:rPr>
      </w:pPr>
    </w:p>
    <w:p>
      <w:pPr>
        <w:ind w:firstLine="7"/>
        <w:spacing w:after="0" w:line="254" w:lineRule="auto"/>
        <w:tabs>
          <w:tab w:leader="none" w:pos="80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1" w:lineRule="exact"/>
        <w:rPr>
          <w:rFonts w:ascii="Times New Roman" w:cs="Times New Roman" w:eastAsia="Times New Roman" w:hAnsi="Times New Roman"/>
          <w:sz w:val="18"/>
          <w:szCs w:val="18"/>
          <w:b w:val="1"/>
          <w:bCs w:val="1"/>
          <w:color w:val="auto"/>
        </w:rPr>
      </w:pPr>
    </w:p>
    <w:p>
      <w:pPr>
        <w:ind w:right="280" w:firstLine="7"/>
        <w:spacing w:after="0" w:line="258" w:lineRule="auto"/>
        <w:tabs>
          <w:tab w:leader="none" w:pos="79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83" w:lineRule="exact"/>
        <w:rPr>
          <w:sz w:val="20"/>
          <w:szCs w:val="20"/>
          <w:color w:val="auto"/>
        </w:rPr>
      </w:pPr>
    </w:p>
    <w:p>
      <w:pPr>
        <w:ind w:left="760" w:hanging="753"/>
        <w:spacing w:after="0"/>
        <w:tabs>
          <w:tab w:leader="none" w:pos="76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19" w:lineRule="exact"/>
        <w:rPr>
          <w:rFonts w:ascii="Times New Roman" w:cs="Times New Roman" w:eastAsia="Times New Roman" w:hAnsi="Times New Roman"/>
          <w:sz w:val="18"/>
          <w:szCs w:val="18"/>
          <w:b w:val="1"/>
          <w:bCs w:val="1"/>
          <w:color w:val="auto"/>
        </w:rPr>
      </w:pPr>
    </w:p>
    <w:p>
      <w:pPr>
        <w:ind w:right="60" w:firstLine="7"/>
        <w:spacing w:after="0" w:line="281" w:lineRule="auto"/>
        <w:tabs>
          <w:tab w:leader="none" w:pos="701"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155" w:lineRule="exact"/>
        <w:rPr>
          <w:rFonts w:ascii="Times New Roman" w:cs="Times New Roman" w:eastAsia="Times New Roman" w:hAnsi="Times New Roman"/>
          <w:sz w:val="18"/>
          <w:szCs w:val="18"/>
          <w:b w:val="1"/>
          <w:bCs w:val="1"/>
          <w:color w:val="auto"/>
        </w:rPr>
      </w:pPr>
    </w:p>
    <w:p>
      <w:pPr>
        <w:ind w:left="800" w:hanging="793"/>
        <w:spacing w:after="0"/>
        <w:tabs>
          <w:tab w:leader="none" w:pos="80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35" w:name="page236"/>
    <w:bookmarkEnd w:id="235"/>
    <w:p>
      <w:pPr>
        <w:ind w:left="753" w:hanging="753"/>
        <w:spacing w:after="0"/>
        <w:tabs>
          <w:tab w:leader="none" w:pos="753"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TriSalus Life Sciences, Inc., a Delaware corporation.</w:t>
      </w:r>
    </w:p>
    <w:p>
      <w:pPr>
        <w:spacing w:after="0" w:line="219" w:lineRule="exact"/>
        <w:rPr>
          <w:rFonts w:ascii="Times New Roman" w:cs="Times New Roman" w:eastAsia="Times New Roman" w:hAnsi="Times New Roman"/>
          <w:sz w:val="18"/>
          <w:szCs w:val="18"/>
          <w:b w:val="1"/>
          <w:bCs w:val="1"/>
          <w:color w:val="auto"/>
        </w:rPr>
      </w:pPr>
    </w:p>
    <w:p>
      <w:pPr>
        <w:ind w:left="733" w:hanging="733"/>
        <w:spacing w:after="0"/>
        <w:tabs>
          <w:tab w:leader="none" w:pos="733"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19" w:lineRule="exact"/>
        <w:rPr>
          <w:rFonts w:ascii="Times New Roman" w:cs="Times New Roman" w:eastAsia="Times New Roman" w:hAnsi="Times New Roman"/>
          <w:sz w:val="18"/>
          <w:szCs w:val="18"/>
          <w:b w:val="1"/>
          <w:bCs w:val="1"/>
          <w:color w:val="auto"/>
        </w:rPr>
      </w:pPr>
    </w:p>
    <w:p>
      <w:pPr>
        <w:ind w:left="-7" w:right="20" w:firstLine="7"/>
        <w:spacing w:after="0" w:line="256" w:lineRule="auto"/>
        <w:tabs>
          <w:tab w:leader="none" w:pos="744"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6" w:lineRule="exact"/>
        <w:rPr>
          <w:rFonts w:ascii="Times New Roman" w:cs="Times New Roman" w:eastAsia="Times New Roman" w:hAnsi="Times New Roman"/>
          <w:sz w:val="18"/>
          <w:szCs w:val="18"/>
          <w:b w:val="1"/>
          <w:bCs w:val="1"/>
          <w:color w:val="auto"/>
        </w:rPr>
      </w:pPr>
    </w:p>
    <w:p>
      <w:pPr>
        <w:ind w:left="-7" w:firstLine="7"/>
        <w:spacing w:after="0" w:line="265" w:lineRule="auto"/>
        <w:tabs>
          <w:tab w:leader="none" w:pos="744" w:val="left"/>
        </w:tabs>
        <w:numPr>
          <w:ilvl w:val="0"/>
          <w:numId w:val="2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Continuous Service</w:t>
      </w:r>
      <w:r>
        <w:rPr>
          <w:rFonts w:ascii="Times New Roman" w:cs="Times New Roman" w:eastAsia="Times New Roman" w:hAnsi="Times New Roman"/>
          <w:sz w:val="17"/>
          <w:szCs w:val="17"/>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Company,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0" w:lineRule="exact"/>
        <w:rPr>
          <w:rFonts w:ascii="Times New Roman" w:cs="Times New Roman" w:eastAsia="Times New Roman" w:hAnsi="Times New Roman"/>
          <w:sz w:val="17"/>
          <w:szCs w:val="17"/>
          <w:b w:val="1"/>
          <w:bCs w:val="1"/>
          <w:color w:val="auto"/>
        </w:rPr>
      </w:pPr>
    </w:p>
    <w:p>
      <w:pPr>
        <w:ind w:left="-7" w:right="680" w:firstLine="7"/>
        <w:spacing w:after="0" w:line="281" w:lineRule="auto"/>
        <w:tabs>
          <w:tab w:leader="none" w:pos="724"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60" w:lineRule="exact"/>
        <w:rPr>
          <w:sz w:val="20"/>
          <w:szCs w:val="20"/>
          <w:color w:val="auto"/>
        </w:rPr>
      </w:pPr>
    </w:p>
    <w:p>
      <w:pPr>
        <w:ind w:left="693" w:hanging="693"/>
        <w:spacing w:after="0"/>
        <w:tabs>
          <w:tab w:leader="none" w:pos="693"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 Subsidiaries;</w:t>
      </w:r>
    </w:p>
    <w:p>
      <w:pPr>
        <w:spacing w:after="0" w:line="219" w:lineRule="exact"/>
        <w:rPr>
          <w:rFonts w:ascii="Times New Roman" w:cs="Times New Roman" w:eastAsia="Times New Roman" w:hAnsi="Times New Roman"/>
          <w:sz w:val="18"/>
          <w:szCs w:val="18"/>
          <w:b w:val="1"/>
          <w:bCs w:val="1"/>
          <w:color w:val="auto"/>
        </w:rPr>
      </w:pPr>
    </w:p>
    <w:p>
      <w:pPr>
        <w:ind w:left="753" w:hanging="753"/>
        <w:spacing w:after="0"/>
        <w:tabs>
          <w:tab w:leader="none" w:pos="753"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19" w:lineRule="exact"/>
        <w:rPr>
          <w:rFonts w:ascii="Times New Roman" w:cs="Times New Roman" w:eastAsia="Times New Roman" w:hAnsi="Times New Roman"/>
          <w:sz w:val="18"/>
          <w:szCs w:val="18"/>
          <w:b w:val="1"/>
          <w:bCs w:val="1"/>
          <w:color w:val="auto"/>
        </w:rPr>
      </w:pPr>
    </w:p>
    <w:p>
      <w:pPr>
        <w:ind w:left="793" w:hanging="793"/>
        <w:spacing w:after="0"/>
        <w:tabs>
          <w:tab w:leader="none" w:pos="793"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93"/>
          </w:cols>
          <w:pgMar w:left="327" w:top="891" w:right="379" w:bottom="1440" w:gutter="0" w:footer="0" w:header="0"/>
        </w:sectPr>
      </w:pPr>
    </w:p>
    <w:bookmarkStart w:id="236" w:name="page237"/>
    <w:bookmarkEnd w:id="236"/>
    <w:p>
      <w:pPr>
        <w:ind w:right="380" w:firstLine="7"/>
        <w:spacing w:after="0" w:line="262" w:lineRule="auto"/>
        <w:tabs>
          <w:tab w:leader="none" w:pos="79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83" w:lineRule="exact"/>
        <w:rPr>
          <w:sz w:val="20"/>
          <w:szCs w:val="20"/>
          <w:color w:val="auto"/>
        </w:rPr>
      </w:pPr>
    </w:p>
    <w:p>
      <w:pPr>
        <w:ind w:left="720" w:hanging="713"/>
        <w:spacing w:after="0"/>
        <w:tabs>
          <w:tab w:leader="none" w:pos="72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19" w:lineRule="exact"/>
        <w:rPr>
          <w:rFonts w:ascii="Times New Roman" w:cs="Times New Roman" w:eastAsia="Times New Roman" w:hAnsi="Times New Roman"/>
          <w:sz w:val="18"/>
          <w:szCs w:val="18"/>
          <w:b w:val="1"/>
          <w:bCs w:val="1"/>
          <w:color w:val="auto"/>
        </w:rPr>
      </w:pPr>
    </w:p>
    <w:p>
      <w:pPr>
        <w:ind w:left="720" w:hanging="713"/>
        <w:spacing w:after="0"/>
        <w:tabs>
          <w:tab w:leader="none" w:pos="72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19" w:lineRule="exact"/>
        <w:rPr>
          <w:rFonts w:ascii="Times New Roman" w:cs="Times New Roman" w:eastAsia="Times New Roman" w:hAnsi="Times New Roman"/>
          <w:sz w:val="18"/>
          <w:szCs w:val="18"/>
          <w:b w:val="1"/>
          <w:bCs w:val="1"/>
          <w:color w:val="auto"/>
        </w:rPr>
      </w:pPr>
    </w:p>
    <w:p>
      <w:pPr>
        <w:jc w:val="both"/>
        <w:ind w:firstLine="7"/>
        <w:spacing w:after="0" w:line="258" w:lineRule="auto"/>
        <w:tabs>
          <w:tab w:leader="none" w:pos="751"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7" w:lineRule="exact"/>
        <w:rPr>
          <w:rFonts w:ascii="Times New Roman" w:cs="Times New Roman" w:eastAsia="Times New Roman" w:hAnsi="Times New Roman"/>
          <w:sz w:val="18"/>
          <w:szCs w:val="18"/>
          <w:b w:val="1"/>
          <w:bCs w:val="1"/>
          <w:color w:val="auto"/>
        </w:rPr>
      </w:pPr>
    </w:p>
    <w:p>
      <w:pPr>
        <w:ind w:right="80" w:firstLine="7"/>
        <w:spacing w:after="0" w:line="281" w:lineRule="auto"/>
        <w:tabs>
          <w:tab w:leader="none" w:pos="741"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effective date of this Plan, which is the date of the closing of the transactions contemplated by the Merger Agreement, provided that this Plan is approved by the Company’s stockholders prior to such date.</w:t>
      </w:r>
    </w:p>
    <w:p>
      <w:pPr>
        <w:spacing w:after="0" w:line="155" w:lineRule="exact"/>
        <w:rPr>
          <w:rFonts w:ascii="Times New Roman" w:cs="Times New Roman" w:eastAsia="Times New Roman" w:hAnsi="Times New Roman"/>
          <w:sz w:val="18"/>
          <w:szCs w:val="18"/>
          <w:b w:val="1"/>
          <w:bCs w:val="1"/>
          <w:color w:val="auto"/>
        </w:rPr>
      </w:pPr>
    </w:p>
    <w:p>
      <w:pPr>
        <w:ind w:left="780" w:hanging="773"/>
        <w:spacing w:after="0"/>
        <w:tabs>
          <w:tab w:leader="none" w:pos="78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has the meaning set forth in the Merger Agreement.</w:t>
      </w:r>
    </w:p>
    <w:p>
      <w:pPr>
        <w:spacing w:after="0" w:line="219" w:lineRule="exact"/>
        <w:rPr>
          <w:rFonts w:ascii="Times New Roman" w:cs="Times New Roman" w:eastAsia="Times New Roman" w:hAnsi="Times New Roman"/>
          <w:sz w:val="18"/>
          <w:szCs w:val="18"/>
          <w:b w:val="1"/>
          <w:bCs w:val="1"/>
          <w:color w:val="auto"/>
        </w:rPr>
      </w:pPr>
    </w:p>
    <w:p>
      <w:pPr>
        <w:ind w:right="420" w:firstLine="7"/>
        <w:spacing w:after="0" w:line="281" w:lineRule="auto"/>
        <w:tabs>
          <w:tab w:leader="none" w:pos="741"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5" w:lineRule="exact"/>
        <w:rPr>
          <w:rFonts w:ascii="Times New Roman" w:cs="Times New Roman" w:eastAsia="Times New Roman" w:hAnsi="Times New Roman"/>
          <w:sz w:val="18"/>
          <w:szCs w:val="18"/>
          <w:b w:val="1"/>
          <w:bCs w:val="1"/>
          <w:color w:val="auto"/>
        </w:rPr>
      </w:pPr>
    </w:p>
    <w:p>
      <w:pPr>
        <w:ind w:left="740" w:hanging="733"/>
        <w:spacing w:after="0"/>
        <w:tabs>
          <w:tab w:leader="none" w:pos="74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19" w:lineRule="exact"/>
        <w:rPr>
          <w:rFonts w:ascii="Times New Roman" w:cs="Times New Roman" w:eastAsia="Times New Roman" w:hAnsi="Times New Roman"/>
          <w:sz w:val="18"/>
          <w:szCs w:val="18"/>
          <w:b w:val="1"/>
          <w:bCs w:val="1"/>
          <w:color w:val="auto"/>
        </w:rPr>
      </w:pPr>
    </w:p>
    <w:p>
      <w:pPr>
        <w:ind w:left="740" w:hanging="733"/>
        <w:spacing w:after="0"/>
        <w:tabs>
          <w:tab w:leader="none" w:pos="74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0" w:lineRule="exact"/>
        <w:rPr>
          <w:sz w:val="20"/>
          <w:szCs w:val="20"/>
          <w:color w:val="auto"/>
        </w:rPr>
      </w:pPr>
    </w:p>
    <w:p>
      <w:pPr>
        <w:ind w:left="560" w:hanging="553"/>
        <w:spacing w:after="0"/>
        <w:tabs>
          <w:tab w:leader="none" w:pos="56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50"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37" w:name="page238"/>
    <w:bookmarkEnd w:id="237"/>
    <w:p>
      <w:pPr>
        <w:ind w:left="-7" w:right="140" w:firstLine="7"/>
        <w:spacing w:after="0" w:line="253" w:lineRule="auto"/>
        <w:tabs>
          <w:tab w:leader="none" w:pos="576"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0" w:lineRule="exact"/>
        <w:rPr>
          <w:rFonts w:ascii="Times New Roman" w:cs="Times New Roman" w:eastAsia="Times New Roman" w:hAnsi="Times New Roman"/>
          <w:sz w:val="18"/>
          <w:szCs w:val="18"/>
          <w:b w:val="1"/>
          <w:bCs w:val="1"/>
          <w:color w:val="auto"/>
        </w:rPr>
      </w:pPr>
    </w:p>
    <w:p>
      <w:pPr>
        <w:ind w:left="-7" w:right="20" w:firstLine="7"/>
        <w:spacing w:after="0" w:line="281" w:lineRule="auto"/>
        <w:tabs>
          <w:tab w:leader="none" w:pos="536"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160" w:lineRule="exact"/>
        <w:rPr>
          <w:sz w:val="20"/>
          <w:szCs w:val="20"/>
          <w:color w:val="auto"/>
        </w:rPr>
      </w:pPr>
    </w:p>
    <w:p>
      <w:pPr>
        <w:ind w:left="-7" w:right="20" w:firstLine="7"/>
        <w:spacing w:after="0" w:line="262" w:lineRule="auto"/>
        <w:tabs>
          <w:tab w:leader="none" w:pos="694"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76" w:lineRule="exact"/>
        <w:rPr>
          <w:rFonts w:ascii="Times New Roman" w:cs="Times New Roman" w:eastAsia="Times New Roman" w:hAnsi="Times New Roman"/>
          <w:sz w:val="18"/>
          <w:szCs w:val="18"/>
          <w:b w:val="1"/>
          <w:bCs w:val="1"/>
          <w:color w:val="auto"/>
        </w:rPr>
      </w:pPr>
    </w:p>
    <w:p>
      <w:pPr>
        <w:ind w:left="-7" w:firstLine="7"/>
        <w:spacing w:after="0" w:line="277" w:lineRule="auto"/>
        <w:tabs>
          <w:tab w:leader="none" w:pos="744"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62" w:lineRule="exact"/>
        <w:rPr>
          <w:rFonts w:ascii="Times New Roman" w:cs="Times New Roman" w:eastAsia="Times New Roman" w:hAnsi="Times New Roman"/>
          <w:sz w:val="18"/>
          <w:szCs w:val="18"/>
          <w:b w:val="1"/>
          <w:bCs w:val="1"/>
          <w:color w:val="auto"/>
        </w:rPr>
      </w:pPr>
    </w:p>
    <w:p>
      <w:pPr>
        <w:ind w:left="-7" w:right="120" w:firstLine="7"/>
        <w:spacing w:after="0" w:line="277" w:lineRule="auto"/>
        <w:tabs>
          <w:tab w:leader="none" w:pos="793"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9" w:lineRule="exact"/>
        <w:rPr>
          <w:sz w:val="20"/>
          <w:szCs w:val="20"/>
          <w:color w:val="auto"/>
        </w:rPr>
      </w:pPr>
    </w:p>
    <w:p>
      <w:pPr>
        <w:ind w:left="-7" w:right="40" w:firstLine="7"/>
        <w:spacing w:after="0" w:line="264" w:lineRule="auto"/>
        <w:tabs>
          <w:tab w:leader="none" w:pos="576"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Fully Diluted Common Stock</w:t>
      </w:r>
      <w:r>
        <w:rPr>
          <w:rFonts w:ascii="Times New Roman" w:cs="Times New Roman" w:eastAsia="Times New Roman" w:hAnsi="Times New Roman"/>
          <w:sz w:val="18"/>
          <w:szCs w:val="18"/>
          <w:color w:val="auto"/>
        </w:rPr>
        <w:t>” means the number of shares of Common Stock, determined as of the applicable time of measurement, equal to the sum of (i) the total number of shares of Common Stock issued and outstanding and (ii) the total number of shares of Common Stock subject to securities that are convertible into or exercisable for shares of Common Stock (whether vested or unvested).</w:t>
      </w:r>
    </w:p>
    <w:p>
      <w:pPr>
        <w:spacing w:after="0" w:line="170" w:lineRule="exact"/>
        <w:rPr>
          <w:rFonts w:ascii="Times New Roman" w:cs="Times New Roman" w:eastAsia="Times New Roman" w:hAnsi="Times New Roman"/>
          <w:sz w:val="18"/>
          <w:szCs w:val="18"/>
          <w:b w:val="1"/>
          <w:bCs w:val="1"/>
          <w:color w:val="auto"/>
        </w:rPr>
      </w:pPr>
    </w:p>
    <w:p>
      <w:pPr>
        <w:ind w:left="-7" w:firstLine="7"/>
        <w:spacing w:after="0" w:line="254" w:lineRule="auto"/>
        <w:tabs>
          <w:tab w:leader="none" w:pos="536"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13"/>
          </w:cols>
          <w:pgMar w:left="327" w:top="891" w:right="359" w:bottom="1440" w:gutter="0" w:footer="0" w:header="0"/>
        </w:sectPr>
      </w:pPr>
    </w:p>
    <w:bookmarkStart w:id="238" w:name="page239"/>
    <w:bookmarkEnd w:id="238"/>
    <w:p>
      <w:pPr>
        <w:ind w:right="160" w:firstLine="7"/>
        <w:spacing w:after="0" w:line="264" w:lineRule="auto"/>
        <w:tabs>
          <w:tab w:leader="none" w:pos="503"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0" w:lineRule="exact"/>
        <w:rPr>
          <w:rFonts w:ascii="Times New Roman" w:cs="Times New Roman" w:eastAsia="Times New Roman" w:hAnsi="Times New Roman"/>
          <w:sz w:val="18"/>
          <w:szCs w:val="18"/>
          <w:b w:val="1"/>
          <w:bCs w:val="1"/>
          <w:color w:val="auto"/>
        </w:rPr>
      </w:pPr>
    </w:p>
    <w:p>
      <w:pPr>
        <w:ind w:right="500" w:firstLine="7"/>
        <w:spacing w:after="0" w:line="281" w:lineRule="auto"/>
        <w:tabs>
          <w:tab w:leader="none" w:pos="563"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155" w:lineRule="exact"/>
        <w:rPr>
          <w:rFonts w:ascii="Times New Roman" w:cs="Times New Roman" w:eastAsia="Times New Roman" w:hAnsi="Times New Roman"/>
          <w:sz w:val="18"/>
          <w:szCs w:val="18"/>
          <w:b w:val="1"/>
          <w:bCs w:val="1"/>
          <w:color w:val="auto"/>
        </w:rPr>
      </w:pPr>
    </w:p>
    <w:p>
      <w:pPr>
        <w:ind w:right="40" w:firstLine="7"/>
        <w:spacing w:after="0" w:line="252" w:lineRule="auto"/>
        <w:tabs>
          <w:tab w:leader="none" w:pos="583"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409A,or (v) to comply with other Applicable Laws.</w:t>
      </w:r>
    </w:p>
    <w:p>
      <w:pPr>
        <w:spacing w:after="0" w:line="182" w:lineRule="exact"/>
        <w:rPr>
          <w:rFonts w:ascii="Times New Roman" w:cs="Times New Roman" w:eastAsia="Times New Roman" w:hAnsi="Times New Roman"/>
          <w:sz w:val="18"/>
          <w:szCs w:val="18"/>
          <w:b w:val="1"/>
          <w:bCs w:val="1"/>
          <w:color w:val="auto"/>
        </w:rPr>
      </w:pPr>
    </w:p>
    <w:p>
      <w:pPr>
        <w:ind w:right="360" w:firstLine="7"/>
        <w:spacing w:after="0" w:line="264" w:lineRule="auto"/>
        <w:tabs>
          <w:tab w:leader="none" w:pos="751"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means that certain Agreement and Plan of Merger, dated as of November 11, 2022, by and among MedTech Acquisition Corporation, a Delaware corporation (“</w:t>
      </w:r>
      <w:r>
        <w:rPr>
          <w:rFonts w:ascii="Times New Roman" w:cs="Times New Roman" w:eastAsia="Times New Roman" w:hAnsi="Times New Roman"/>
          <w:sz w:val="18"/>
          <w:szCs w:val="18"/>
          <w:b w:val="1"/>
          <w:bCs w:val="1"/>
          <w:i w:val="1"/>
          <w:iCs w:val="1"/>
          <w:color w:val="auto"/>
        </w:rPr>
        <w:t>MTAC</w:t>
      </w:r>
      <w:r>
        <w:rPr>
          <w:rFonts w:ascii="Times New Roman" w:cs="Times New Roman" w:eastAsia="Times New Roman" w:hAnsi="Times New Roman"/>
          <w:sz w:val="18"/>
          <w:szCs w:val="18"/>
          <w:color w:val="auto"/>
        </w:rPr>
        <w:t>”), MTAC Merger Sub, Inc., a Delaware corporation and direct, wholly owned subsidiary of MTAC, and TriSalus Life Sciences, Inc., a Delaware corporation.</w:t>
      </w:r>
    </w:p>
    <w:p>
      <w:pPr>
        <w:spacing w:after="0" w:line="170" w:lineRule="exact"/>
        <w:rPr>
          <w:rFonts w:ascii="Times New Roman" w:cs="Times New Roman" w:eastAsia="Times New Roman" w:hAnsi="Times New Roman"/>
          <w:sz w:val="18"/>
          <w:szCs w:val="18"/>
          <w:b w:val="1"/>
          <w:bCs w:val="1"/>
          <w:color w:val="auto"/>
        </w:rPr>
      </w:pPr>
    </w:p>
    <w:p>
      <w:pPr>
        <w:ind w:right="120" w:firstLine="7"/>
        <w:spacing w:after="0" w:line="254" w:lineRule="auto"/>
        <w:tabs>
          <w:tab w:leader="none" w:pos="503"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0" w:lineRule="exact"/>
        <w:rPr>
          <w:rFonts w:ascii="Times New Roman" w:cs="Times New Roman" w:eastAsia="Times New Roman" w:hAnsi="Times New Roman"/>
          <w:sz w:val="18"/>
          <w:szCs w:val="18"/>
          <w:b w:val="1"/>
          <w:bCs w:val="1"/>
          <w:color w:val="auto"/>
        </w:rPr>
      </w:pPr>
    </w:p>
    <w:p>
      <w:pPr>
        <w:ind w:firstLine="7"/>
        <w:spacing w:after="0" w:line="264" w:lineRule="auto"/>
        <w:tabs>
          <w:tab w:leader="none" w:pos="583"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70" w:lineRule="exact"/>
        <w:rPr>
          <w:rFonts w:ascii="Times New Roman" w:cs="Times New Roman" w:eastAsia="Times New Roman" w:hAnsi="Times New Roman"/>
          <w:sz w:val="18"/>
          <w:szCs w:val="18"/>
          <w:b w:val="1"/>
          <w:bCs w:val="1"/>
          <w:color w:val="auto"/>
        </w:rPr>
      </w:pPr>
    </w:p>
    <w:p>
      <w:pPr>
        <w:ind w:left="500" w:hanging="493"/>
        <w:spacing w:after="0"/>
        <w:tabs>
          <w:tab w:leader="none" w:pos="500"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Non-Exempt Director Award</w:t>
      </w:r>
      <w:r>
        <w:rPr>
          <w:rFonts w:ascii="Times New Roman" w:cs="Times New Roman" w:eastAsia="Times New Roman" w:hAnsi="Times New Roman"/>
          <w:sz w:val="17"/>
          <w:szCs w:val="17"/>
          <w:color w:val="auto"/>
        </w:rPr>
        <w:t>” means a Non-Exempt Award granted to a Participant who was a Director but not an Employee on the applicable grant</w:t>
      </w:r>
    </w:p>
    <w:p>
      <w:pPr>
        <w:spacing w:after="0" w:line="40"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9" w:name="page240"/>
    <w:bookmarkEnd w:id="239"/>
    <w:p>
      <w:pPr>
        <w:ind w:right="20" w:firstLine="7"/>
        <w:spacing w:after="0" w:line="256" w:lineRule="auto"/>
        <w:tabs>
          <w:tab w:leader="none" w:pos="681"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176" w:lineRule="exact"/>
        <w:rPr>
          <w:rFonts w:ascii="Times New Roman" w:cs="Times New Roman" w:eastAsia="Times New Roman" w:hAnsi="Times New Roman"/>
          <w:sz w:val="18"/>
          <w:szCs w:val="18"/>
          <w:b w:val="1"/>
          <w:bCs w:val="1"/>
          <w:color w:val="auto"/>
        </w:rPr>
      </w:pPr>
    </w:p>
    <w:p>
      <w:pPr>
        <w:ind w:left="580" w:hanging="573"/>
        <w:spacing w:after="0"/>
        <w:tabs>
          <w:tab w:leader="none" w:pos="58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219" w:lineRule="exact"/>
        <w:rPr>
          <w:rFonts w:ascii="Times New Roman" w:cs="Times New Roman" w:eastAsia="Times New Roman" w:hAnsi="Times New Roman"/>
          <w:sz w:val="18"/>
          <w:szCs w:val="18"/>
          <w:b w:val="1"/>
          <w:bCs w:val="1"/>
          <w:color w:val="auto"/>
        </w:rPr>
      </w:pPr>
    </w:p>
    <w:p>
      <w:pPr>
        <w:ind w:left="840" w:hanging="833"/>
        <w:spacing w:after="0"/>
        <w:tabs>
          <w:tab w:leader="none" w:pos="84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19" w:lineRule="exact"/>
        <w:rPr>
          <w:rFonts w:ascii="Times New Roman" w:cs="Times New Roman" w:eastAsia="Times New Roman" w:hAnsi="Times New Roman"/>
          <w:sz w:val="18"/>
          <w:szCs w:val="18"/>
          <w:b w:val="1"/>
          <w:bCs w:val="1"/>
          <w:color w:val="auto"/>
        </w:rPr>
      </w:pPr>
    </w:p>
    <w:p>
      <w:pPr>
        <w:ind w:left="580" w:hanging="573"/>
        <w:spacing w:after="0"/>
        <w:tabs>
          <w:tab w:leader="none" w:pos="58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219" w:lineRule="exact"/>
        <w:rPr>
          <w:rFonts w:ascii="Times New Roman" w:cs="Times New Roman" w:eastAsia="Times New Roman" w:hAnsi="Times New Roman"/>
          <w:sz w:val="18"/>
          <w:szCs w:val="18"/>
          <w:b w:val="1"/>
          <w:bCs w:val="1"/>
          <w:color w:val="auto"/>
        </w:rPr>
      </w:pPr>
    </w:p>
    <w:p>
      <w:pPr>
        <w:ind w:firstLine="7"/>
        <w:spacing w:after="0" w:line="258" w:lineRule="auto"/>
        <w:tabs>
          <w:tab w:leader="none" w:pos="583"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77" w:lineRule="exact"/>
        <w:rPr>
          <w:rFonts w:ascii="Times New Roman" w:cs="Times New Roman" w:eastAsia="Times New Roman" w:hAnsi="Times New Roman"/>
          <w:sz w:val="18"/>
          <w:szCs w:val="18"/>
          <w:b w:val="1"/>
          <w:bCs w:val="1"/>
          <w:color w:val="auto"/>
        </w:rPr>
      </w:pPr>
    </w:p>
    <w:p>
      <w:pPr>
        <w:ind w:left="540" w:hanging="533"/>
        <w:spacing w:after="0"/>
        <w:tabs>
          <w:tab w:leader="none" w:pos="54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w:t>
      </w:r>
    </w:p>
    <w:p>
      <w:pPr>
        <w:spacing w:after="0" w:line="2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w:t>
      </w:r>
    </w:p>
    <w:p>
      <w:pPr>
        <w:spacing w:after="0" w:line="196" w:lineRule="exact"/>
        <w:rPr>
          <w:rFonts w:ascii="Times New Roman" w:cs="Times New Roman" w:eastAsia="Times New Roman" w:hAnsi="Times New Roman"/>
          <w:sz w:val="18"/>
          <w:szCs w:val="18"/>
          <w:b w:val="1"/>
          <w:bCs w:val="1"/>
          <w:color w:val="auto"/>
        </w:rPr>
      </w:pPr>
    </w:p>
    <w:p>
      <w:pPr>
        <w:jc w:val="both"/>
        <w:ind w:right="20" w:firstLine="7"/>
        <w:spacing w:after="0" w:line="264" w:lineRule="auto"/>
        <w:tabs>
          <w:tab w:leader="none" w:pos="523"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70" w:lineRule="exact"/>
        <w:rPr>
          <w:rFonts w:ascii="Times New Roman" w:cs="Times New Roman" w:eastAsia="Times New Roman" w:hAnsi="Times New Roman"/>
          <w:sz w:val="18"/>
          <w:szCs w:val="18"/>
          <w:b w:val="1"/>
          <w:bCs w:val="1"/>
          <w:color w:val="auto"/>
        </w:rPr>
      </w:pPr>
    </w:p>
    <w:p>
      <w:pPr>
        <w:ind w:right="140" w:firstLine="7"/>
        <w:spacing w:after="0" w:line="281" w:lineRule="auto"/>
        <w:tabs>
          <w:tab w:leader="none" w:pos="503"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155" w:lineRule="exact"/>
        <w:rPr>
          <w:rFonts w:ascii="Times New Roman" w:cs="Times New Roman" w:eastAsia="Times New Roman" w:hAnsi="Times New Roman"/>
          <w:sz w:val="18"/>
          <w:szCs w:val="18"/>
          <w:b w:val="1"/>
          <w:bCs w:val="1"/>
          <w:color w:val="auto"/>
        </w:rPr>
      </w:pPr>
    </w:p>
    <w:p>
      <w:pPr>
        <w:jc w:val="both"/>
        <w:ind w:right="300" w:firstLine="7"/>
        <w:spacing w:after="0" w:line="264" w:lineRule="auto"/>
        <w:tabs>
          <w:tab w:leader="none" w:pos="583"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right="80" w:firstLine="7"/>
        <w:spacing w:after="0" w:line="281" w:lineRule="auto"/>
        <w:tabs>
          <w:tab w:leader="none" w:pos="563"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0" w:name="page241"/>
    <w:bookmarkEnd w:id="240"/>
    <w:p>
      <w:pPr>
        <w:ind w:right="60" w:firstLine="7"/>
        <w:spacing w:after="0" w:line="256" w:lineRule="auto"/>
        <w:tabs>
          <w:tab w:leader="none" w:pos="642"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76" w:lineRule="exact"/>
        <w:rPr>
          <w:rFonts w:ascii="Times New Roman" w:cs="Times New Roman" w:eastAsia="Times New Roman" w:hAnsi="Times New Roman"/>
          <w:sz w:val="18"/>
          <w:szCs w:val="18"/>
          <w:b w:val="1"/>
          <w:bCs w:val="1"/>
          <w:color w:val="auto"/>
        </w:rPr>
      </w:pPr>
    </w:p>
    <w:p>
      <w:pPr>
        <w:ind w:right="60" w:firstLine="7"/>
        <w:spacing w:after="0" w:line="249" w:lineRule="auto"/>
        <w:tabs>
          <w:tab w:leader="none" w:pos="83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93" w:lineRule="exact"/>
        <w:rPr>
          <w:rFonts w:ascii="Times New Roman" w:cs="Times New Roman" w:eastAsia="Times New Roman" w:hAnsi="Times New Roman"/>
          <w:sz w:val="18"/>
          <w:szCs w:val="18"/>
          <w:b w:val="1"/>
          <w:bCs w:val="1"/>
          <w:color w:val="auto"/>
        </w:rPr>
      </w:pPr>
    </w:p>
    <w:p>
      <w:pPr>
        <w:ind w:firstLine="7"/>
        <w:spacing w:after="0" w:line="264" w:lineRule="auto"/>
        <w:tabs>
          <w:tab w:leader="none" w:pos="563" w:val="left"/>
        </w:tabs>
        <w:numPr>
          <w:ilvl w:val="0"/>
          <w:numId w:val="2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Goals</w:t>
      </w:r>
      <w:r>
        <w:rPr>
          <w:rFonts w:ascii="Times New Roman" w:cs="Times New Roman" w:eastAsia="Times New Roman" w:hAnsi="Times New Roman"/>
          <w:sz w:val="17"/>
          <w:szCs w:val="17"/>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for any reason. Partial achievement of the specified criteria may result in the payment or vesting corresponding to the degree of achievement as specified in the Award Agreement or the written terms of a Performance Cash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1" w:name="page242"/>
    <w:bookmarkEnd w:id="241"/>
    <w:p>
      <w:pPr>
        <w:ind w:left="-7" w:right="200" w:firstLine="7"/>
        <w:spacing w:after="0" w:line="264" w:lineRule="auto"/>
        <w:tabs>
          <w:tab w:leader="none" w:pos="536"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1" w:lineRule="exact"/>
        <w:rPr>
          <w:sz w:val="20"/>
          <w:szCs w:val="20"/>
          <w:color w:val="auto"/>
        </w:rPr>
      </w:pPr>
    </w:p>
    <w:p>
      <w:pPr>
        <w:ind w:left="653" w:hanging="653"/>
        <w:spacing w:after="0"/>
        <w:tabs>
          <w:tab w:leader="none" w:pos="653"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TriSalus Life Sciences, Inc. 2022 Equity Incentive Plan, as amended from time to time.</w:t>
      </w:r>
    </w:p>
    <w:p>
      <w:pPr>
        <w:spacing w:after="0" w:line="219" w:lineRule="exact"/>
        <w:rPr>
          <w:rFonts w:ascii="Times New Roman" w:cs="Times New Roman" w:eastAsia="Times New Roman" w:hAnsi="Times New Roman"/>
          <w:sz w:val="18"/>
          <w:szCs w:val="18"/>
          <w:b w:val="1"/>
          <w:bCs w:val="1"/>
          <w:color w:val="auto"/>
        </w:rPr>
      </w:pPr>
    </w:p>
    <w:p>
      <w:pPr>
        <w:ind w:left="-7" w:right="580" w:firstLine="7"/>
        <w:spacing w:after="0" w:line="281" w:lineRule="auto"/>
        <w:tabs>
          <w:tab w:leader="none" w:pos="675"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55" w:lineRule="exact"/>
        <w:rPr>
          <w:rFonts w:ascii="Times New Roman" w:cs="Times New Roman" w:eastAsia="Times New Roman" w:hAnsi="Times New Roman"/>
          <w:sz w:val="18"/>
          <w:szCs w:val="18"/>
          <w:b w:val="1"/>
          <w:bCs w:val="1"/>
          <w:color w:val="auto"/>
        </w:rPr>
      </w:pPr>
    </w:p>
    <w:p>
      <w:pPr>
        <w:ind w:left="-7" w:firstLine="7"/>
        <w:spacing w:after="0" w:line="281" w:lineRule="auto"/>
        <w:tabs>
          <w:tab w:leader="none" w:pos="615"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5" w:lineRule="exact"/>
        <w:rPr>
          <w:rFonts w:ascii="Times New Roman" w:cs="Times New Roman" w:eastAsia="Times New Roman" w:hAnsi="Times New Roman"/>
          <w:sz w:val="18"/>
          <w:szCs w:val="18"/>
          <w:b w:val="1"/>
          <w:bCs w:val="1"/>
          <w:color w:val="auto"/>
        </w:rPr>
      </w:pPr>
    </w:p>
    <w:p>
      <w:pPr>
        <w:ind w:left="-7" w:right="580" w:firstLine="7"/>
        <w:spacing w:after="0" w:line="281" w:lineRule="auto"/>
        <w:tabs>
          <w:tab w:leader="none" w:pos="675"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155" w:lineRule="exact"/>
        <w:rPr>
          <w:rFonts w:ascii="Times New Roman" w:cs="Times New Roman" w:eastAsia="Times New Roman" w:hAnsi="Times New Roman"/>
          <w:sz w:val="18"/>
          <w:szCs w:val="18"/>
          <w:b w:val="1"/>
          <w:bCs w:val="1"/>
          <w:color w:val="auto"/>
        </w:rPr>
      </w:pPr>
    </w:p>
    <w:p>
      <w:pPr>
        <w:ind w:left="-7" w:right="40" w:firstLine="7"/>
        <w:spacing w:after="0" w:line="256" w:lineRule="auto"/>
        <w:tabs>
          <w:tab w:leader="none" w:pos="615"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33"/>
          </w:cols>
          <w:pgMar w:left="327" w:top="891" w:right="439" w:bottom="1440" w:gutter="0" w:footer="0" w:header="0"/>
        </w:sectPr>
      </w:pPr>
    </w:p>
    <w:bookmarkStart w:id="242" w:name="page243"/>
    <w:bookmarkEnd w:id="242"/>
    <w:p>
      <w:pPr>
        <w:ind w:left="-7" w:right="120" w:firstLine="7"/>
        <w:spacing w:after="0" w:line="281" w:lineRule="auto"/>
        <w:tabs>
          <w:tab w:leader="none" w:pos="556"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5" w:lineRule="exact"/>
        <w:rPr>
          <w:rFonts w:ascii="Times New Roman" w:cs="Times New Roman" w:eastAsia="Times New Roman" w:hAnsi="Times New Roman"/>
          <w:sz w:val="18"/>
          <w:szCs w:val="18"/>
          <w:b w:val="1"/>
          <w:bCs w:val="1"/>
          <w:color w:val="auto"/>
        </w:rPr>
      </w:pPr>
    </w:p>
    <w:p>
      <w:pPr>
        <w:jc w:val="both"/>
        <w:ind w:left="-7" w:right="60" w:firstLine="7"/>
        <w:spacing w:after="0" w:line="258" w:lineRule="auto"/>
        <w:tabs>
          <w:tab w:leader="none" w:pos="645"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or electronic agreement between the Company and a holder of an RSU Award evidencing the terms and conditions of an RSU Award.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77" w:lineRule="exact"/>
        <w:rPr>
          <w:rFonts w:ascii="Times New Roman" w:cs="Times New Roman" w:eastAsia="Times New Roman" w:hAnsi="Times New Roman"/>
          <w:sz w:val="18"/>
          <w:szCs w:val="18"/>
          <w:b w:val="1"/>
          <w:bCs w:val="1"/>
          <w:color w:val="auto"/>
        </w:rPr>
      </w:pPr>
    </w:p>
    <w:p>
      <w:pPr>
        <w:ind w:left="673" w:hanging="673"/>
        <w:spacing w:after="0"/>
        <w:tabs>
          <w:tab w:leader="none" w:pos="673"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19" w:lineRule="exact"/>
        <w:rPr>
          <w:rFonts w:ascii="Times New Roman" w:cs="Times New Roman" w:eastAsia="Times New Roman" w:hAnsi="Times New Roman"/>
          <w:sz w:val="18"/>
          <w:szCs w:val="18"/>
          <w:b w:val="1"/>
          <w:bCs w:val="1"/>
          <w:color w:val="auto"/>
        </w:rPr>
      </w:pPr>
    </w:p>
    <w:p>
      <w:pPr>
        <w:ind w:left="793" w:hanging="793"/>
        <w:spacing w:after="0"/>
        <w:tabs>
          <w:tab w:leader="none" w:pos="793"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19" w:lineRule="exact"/>
        <w:rPr>
          <w:rFonts w:ascii="Times New Roman" w:cs="Times New Roman" w:eastAsia="Times New Roman" w:hAnsi="Times New Roman"/>
          <w:sz w:val="18"/>
          <w:szCs w:val="18"/>
          <w:b w:val="1"/>
          <w:bCs w:val="1"/>
          <w:color w:val="auto"/>
        </w:rPr>
      </w:pPr>
    </w:p>
    <w:p>
      <w:pPr>
        <w:ind w:left="553" w:hanging="553"/>
        <w:spacing w:after="0"/>
        <w:tabs>
          <w:tab w:leader="none" w:pos="553"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19" w:lineRule="exact"/>
        <w:rPr>
          <w:rFonts w:ascii="Times New Roman" w:cs="Times New Roman" w:eastAsia="Times New Roman" w:hAnsi="Times New Roman"/>
          <w:sz w:val="18"/>
          <w:szCs w:val="18"/>
          <w:b w:val="1"/>
          <w:bCs w:val="1"/>
          <w:color w:val="auto"/>
        </w:rPr>
      </w:pPr>
    </w:p>
    <w:p>
      <w:pPr>
        <w:ind w:left="-7" w:right="220" w:firstLine="7"/>
        <w:spacing w:after="0" w:line="264" w:lineRule="auto"/>
        <w:tabs>
          <w:tab w:leader="none" w:pos="675"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0" w:lineRule="exact"/>
        <w:rPr>
          <w:rFonts w:ascii="Times New Roman" w:cs="Times New Roman" w:eastAsia="Times New Roman" w:hAnsi="Times New Roman"/>
          <w:sz w:val="18"/>
          <w:szCs w:val="18"/>
          <w:b w:val="1"/>
          <w:bCs w:val="1"/>
          <w:color w:val="auto"/>
        </w:rPr>
      </w:pPr>
    </w:p>
    <w:p>
      <w:pPr>
        <w:ind w:left="533" w:hanging="533"/>
        <w:spacing w:after="0"/>
        <w:tabs>
          <w:tab w:leader="none" w:pos="533"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19" w:lineRule="exact"/>
        <w:rPr>
          <w:rFonts w:ascii="Times New Roman" w:cs="Times New Roman" w:eastAsia="Times New Roman" w:hAnsi="Times New Roman"/>
          <w:sz w:val="18"/>
          <w:szCs w:val="18"/>
          <w:b w:val="1"/>
          <w:bCs w:val="1"/>
          <w:color w:val="auto"/>
        </w:rPr>
      </w:pPr>
    </w:p>
    <w:p>
      <w:pPr>
        <w:ind w:left="833" w:hanging="833"/>
        <w:spacing w:after="0"/>
        <w:tabs>
          <w:tab w:leader="none" w:pos="833"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19" w:lineRule="exact"/>
        <w:rPr>
          <w:rFonts w:ascii="Times New Roman" w:cs="Times New Roman" w:eastAsia="Times New Roman" w:hAnsi="Times New Roman"/>
          <w:sz w:val="18"/>
          <w:szCs w:val="18"/>
          <w:b w:val="1"/>
          <w:bCs w:val="1"/>
          <w:color w:val="auto"/>
        </w:rPr>
      </w:pPr>
    </w:p>
    <w:p>
      <w:pPr>
        <w:ind w:left="-7" w:right="600" w:firstLine="7"/>
        <w:spacing w:after="0" w:line="281" w:lineRule="auto"/>
        <w:tabs>
          <w:tab w:leader="none" w:pos="675"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5" w:lineRule="exact"/>
        <w:rPr>
          <w:rFonts w:ascii="Times New Roman" w:cs="Times New Roman" w:eastAsia="Times New Roman" w:hAnsi="Times New Roman"/>
          <w:sz w:val="18"/>
          <w:szCs w:val="18"/>
          <w:b w:val="1"/>
          <w:bCs w:val="1"/>
          <w:color w:val="auto"/>
        </w:rPr>
      </w:pPr>
    </w:p>
    <w:p>
      <w:pPr>
        <w:ind w:left="-7" w:firstLine="7"/>
        <w:spacing w:after="0" w:line="258" w:lineRule="auto"/>
        <w:tabs>
          <w:tab w:leader="none" w:pos="912"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177" w:lineRule="exact"/>
        <w:rPr>
          <w:rFonts w:ascii="Times New Roman" w:cs="Times New Roman" w:eastAsia="Times New Roman" w:hAnsi="Times New Roman"/>
          <w:sz w:val="18"/>
          <w:szCs w:val="18"/>
          <w:b w:val="1"/>
          <w:bCs w:val="1"/>
          <w:color w:val="auto"/>
        </w:rPr>
      </w:pPr>
    </w:p>
    <w:p>
      <w:pPr>
        <w:ind w:left="-7" w:right="120" w:firstLine="7"/>
        <w:spacing w:after="0" w:line="256" w:lineRule="auto"/>
        <w:tabs>
          <w:tab w:leader="none" w:pos="675"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13"/>
          </w:cols>
          <w:pgMar w:left="327" w:top="891" w:right="359" w:bottom="1440" w:gutter="0" w:footer="0" w:header="0"/>
        </w:sectPr>
      </w:pPr>
    </w:p>
    <w:bookmarkStart w:id="243" w:name="page244"/>
    <w:bookmarkEnd w:id="243"/>
    <w:p>
      <w:pPr>
        <w:ind w:left="-7" w:right="180" w:firstLine="7"/>
        <w:spacing w:after="0" w:line="281" w:lineRule="auto"/>
        <w:tabs>
          <w:tab w:leader="none" w:pos="675"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5" w:lineRule="exact"/>
        <w:rPr>
          <w:rFonts w:ascii="Times New Roman" w:cs="Times New Roman" w:eastAsia="Times New Roman" w:hAnsi="Times New Roman"/>
          <w:sz w:val="18"/>
          <w:szCs w:val="18"/>
          <w:b w:val="1"/>
          <w:bCs w:val="1"/>
          <w:color w:val="auto"/>
        </w:rPr>
      </w:pPr>
    </w:p>
    <w:p>
      <w:pPr>
        <w:ind w:left="-7" w:right="180" w:firstLine="7"/>
        <w:spacing w:after="0" w:line="281" w:lineRule="auto"/>
        <w:tabs>
          <w:tab w:leader="none" w:pos="615"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5" w:lineRule="exact"/>
        <w:rPr>
          <w:rFonts w:ascii="Times New Roman" w:cs="Times New Roman" w:eastAsia="Times New Roman" w:hAnsi="Times New Roman"/>
          <w:sz w:val="18"/>
          <w:szCs w:val="18"/>
          <w:b w:val="1"/>
          <w:bCs w:val="1"/>
          <w:color w:val="auto"/>
        </w:rPr>
      </w:pPr>
    </w:p>
    <w:p>
      <w:pPr>
        <w:ind w:left="-7" w:right="160" w:firstLine="7"/>
        <w:spacing w:after="0" w:line="281" w:lineRule="auto"/>
        <w:tabs>
          <w:tab w:leader="none" w:pos="586"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155" w:lineRule="exact"/>
        <w:rPr>
          <w:rFonts w:ascii="Times New Roman" w:cs="Times New Roman" w:eastAsia="Times New Roman" w:hAnsi="Times New Roman"/>
          <w:sz w:val="18"/>
          <w:szCs w:val="18"/>
          <w:b w:val="1"/>
          <w:bCs w:val="1"/>
          <w:color w:val="auto"/>
        </w:rPr>
      </w:pPr>
    </w:p>
    <w:p>
      <w:pPr>
        <w:ind w:left="-7" w:firstLine="7"/>
        <w:spacing w:after="0" w:line="281" w:lineRule="auto"/>
        <w:tabs>
          <w:tab w:leader="none" w:pos="556"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200" w:lineRule="exact"/>
        <w:rPr>
          <w:sz w:val="20"/>
          <w:szCs w:val="20"/>
          <w:color w:val="auto"/>
        </w:rPr>
      </w:pPr>
    </w:p>
    <w:p>
      <w:pPr>
        <w:spacing w:after="0" w:line="38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13"/>
          </w:cols>
          <w:pgMar w:left="327" w:top="891" w:right="35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ri</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alus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ife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ciences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E</w:t>
      </w:r>
      <w:r>
        <w:rPr>
          <w:rFonts w:ascii="Times New Roman" w:cs="Times New Roman" w:eastAsia="Times New Roman" w:hAnsi="Times New Roman"/>
          <w:sz w:val="12"/>
          <w:szCs w:val="12"/>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[DATE]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[DATE]</w:t>
      </w:r>
    </w:p>
    <w:p>
      <w:pPr>
        <w:spacing w:after="0" w:line="197" w:lineRule="exact"/>
        <w:rPr>
          <w:sz w:val="20"/>
          <w:szCs w:val="20"/>
          <w:color w:val="auto"/>
        </w:rPr>
      </w:pPr>
    </w:p>
    <w:p>
      <w:pPr>
        <w:ind w:left="680" w:hanging="673"/>
        <w:spacing w:after="0"/>
        <w:tabs>
          <w:tab w:leader="none" w:pos="68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urpose</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right="280" w:firstLine="647"/>
        <w:spacing w:after="0" w:line="257" w:lineRule="auto"/>
        <w:tabs>
          <w:tab w:leader="none" w:pos="1381" w:val="left"/>
        </w:tabs>
        <w:numPr>
          <w:ilvl w:val="1"/>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80" w:lineRule="exact"/>
        <w:rPr>
          <w:rFonts w:ascii="Times New Roman" w:cs="Times New Roman" w:eastAsia="Times New Roman" w:hAnsi="Times New Roman"/>
          <w:sz w:val="18"/>
          <w:szCs w:val="18"/>
          <w:b w:val="1"/>
          <w:bCs w:val="1"/>
          <w:color w:val="auto"/>
        </w:rPr>
      </w:pPr>
    </w:p>
    <w:p>
      <w:pPr>
        <w:ind w:right="100" w:firstLine="647"/>
        <w:spacing w:after="0" w:line="251" w:lineRule="auto"/>
        <w:tabs>
          <w:tab w:leader="none" w:pos="1391" w:val="left"/>
        </w:tabs>
        <w:numPr>
          <w:ilvl w:val="1"/>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includes two components: a 423 Component and a Non-423 Component. The Company intends (but makes no undertaking or representation to maintain) the 423 Component to qualify as a Qualified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 Qualified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 Qualified Employee Stock Purchase Plan to the extent the Offering is made under the 423 Component), and the Company will designate which Designated Company is participating in each separate Offering.</w:t>
      </w:r>
    </w:p>
    <w:p>
      <w:pPr>
        <w:spacing w:after="0" w:line="189" w:lineRule="exact"/>
        <w:rPr>
          <w:rFonts w:ascii="Times New Roman" w:cs="Times New Roman" w:eastAsia="Times New Roman" w:hAnsi="Times New Roman"/>
          <w:sz w:val="18"/>
          <w:szCs w:val="18"/>
          <w:b w:val="1"/>
          <w:bCs w:val="1"/>
          <w:color w:val="auto"/>
        </w:rPr>
      </w:pPr>
    </w:p>
    <w:p>
      <w:pPr>
        <w:ind w:right="780" w:firstLine="647"/>
        <w:spacing w:after="0" w:line="307" w:lineRule="auto"/>
        <w:tabs>
          <w:tab w:leader="none" w:pos="1371" w:val="left"/>
        </w:tabs>
        <w:numPr>
          <w:ilvl w:val="1"/>
          <w:numId w:val="2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136" w:lineRule="exact"/>
        <w:rPr>
          <w:rFonts w:ascii="Times New Roman" w:cs="Times New Roman" w:eastAsia="Times New Roman" w:hAnsi="Times New Roman"/>
          <w:sz w:val="17"/>
          <w:szCs w:val="17"/>
          <w:b w:val="1"/>
          <w:bCs w:val="1"/>
          <w:color w:val="auto"/>
        </w:rPr>
      </w:pPr>
    </w:p>
    <w:p>
      <w:pPr>
        <w:ind w:left="660" w:hanging="653"/>
        <w:spacing w:after="0"/>
        <w:tabs>
          <w:tab w:leader="none" w:pos="66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right="380" w:firstLine="647"/>
        <w:spacing w:after="0" w:line="277" w:lineRule="auto"/>
        <w:tabs>
          <w:tab w:leader="none" w:pos="1381" w:val="left"/>
        </w:tabs>
        <w:numPr>
          <w:ilvl w:val="1"/>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administer the Plan unless and until the Board delegates administration of the Plan to a Committee or Committees, as provided in Section 2(c).</w:t>
      </w:r>
    </w:p>
    <w:p>
      <w:pPr>
        <w:spacing w:after="0" w:line="162" w:lineRule="exact"/>
        <w:rPr>
          <w:rFonts w:ascii="Times New Roman" w:cs="Times New Roman" w:eastAsia="Times New Roman" w:hAnsi="Times New Roman"/>
          <w:sz w:val="18"/>
          <w:szCs w:val="18"/>
          <w:b w:val="1"/>
          <w:bCs w:val="1"/>
          <w:color w:val="auto"/>
        </w:rPr>
      </w:pPr>
    </w:p>
    <w:p>
      <w:pPr>
        <w:ind w:left="1400" w:hanging="753"/>
        <w:spacing w:after="0"/>
        <w:tabs>
          <w:tab w:leader="none" w:pos="1400" w:val="left"/>
        </w:tabs>
        <w:numPr>
          <w:ilvl w:val="1"/>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19" w:lineRule="exact"/>
        <w:rPr>
          <w:rFonts w:ascii="Times New Roman" w:cs="Times New Roman" w:eastAsia="Times New Roman" w:hAnsi="Times New Roman"/>
          <w:sz w:val="18"/>
          <w:szCs w:val="18"/>
          <w:b w:val="1"/>
          <w:bCs w:val="1"/>
          <w:color w:val="auto"/>
        </w:rPr>
      </w:pPr>
    </w:p>
    <w:p>
      <w:pPr>
        <w:ind w:left="1980" w:hanging="692"/>
        <w:spacing w:after="0"/>
        <w:tabs>
          <w:tab w:leader="none" w:pos="1980" w:val="left"/>
        </w:tabs>
        <w:numPr>
          <w:ilvl w:val="2"/>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how and when Purchase Rights will be granted and the provisions of each Offering (which need not be identical).</w:t>
      </w:r>
    </w:p>
    <w:p>
      <w:pPr>
        <w:spacing w:after="0" w:line="219" w:lineRule="exact"/>
        <w:rPr>
          <w:rFonts w:ascii="Times New Roman" w:cs="Times New Roman" w:eastAsia="Times New Roman" w:hAnsi="Times New Roman"/>
          <w:sz w:val="18"/>
          <w:szCs w:val="18"/>
          <w:b w:val="1"/>
          <w:bCs w:val="1"/>
          <w:color w:val="auto"/>
        </w:rPr>
      </w:pPr>
    </w:p>
    <w:p>
      <w:pPr>
        <w:ind w:right="400" w:firstLine="1288"/>
        <w:spacing w:after="0" w:line="273" w:lineRule="auto"/>
        <w:tabs>
          <w:tab w:leader="none" w:pos="2032" w:val="left"/>
        </w:tabs>
        <w:numPr>
          <w:ilvl w:val="2"/>
          <w:numId w:val="2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designate from time to time (A) which Related Corporations of the Company will be eligible to participate in the Plan as Designated 423 Companies, (B) which Related Corporations or Affiliates will be eligible to participate in the Plan as Designated Non-423 Companies,</w:t>
      </w:r>
    </w:p>
    <w:p>
      <w:pPr>
        <w:spacing w:after="0" w:line="1" w:lineRule="exact"/>
        <w:rPr>
          <w:rFonts w:ascii="Times New Roman" w:cs="Times New Roman" w:eastAsia="Times New Roman" w:hAnsi="Times New Roman"/>
          <w:sz w:val="17"/>
          <w:szCs w:val="17"/>
          <w:b w:val="1"/>
          <w:bCs w:val="1"/>
          <w:color w:val="auto"/>
        </w:rPr>
      </w:pPr>
    </w:p>
    <w:p>
      <w:pPr>
        <w:ind w:right="18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 which Affiliates or Related Corporations may be excluded from participation in the Plan, and (D) which Designated Companies will participate in each separate Offering (to the extent that the Company makes separate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398145</wp:posOffset>
            </wp:positionV>
            <wp:extent cx="71342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45" w:name="page246"/>
    <w:bookmarkEnd w:id="245"/>
    <w:p>
      <w:pPr>
        <w:ind w:left="-20" w:right="20" w:firstLine="1288"/>
        <w:spacing w:after="0" w:line="262" w:lineRule="auto"/>
        <w:tabs>
          <w:tab w:leader="none" w:pos="2061"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76" w:lineRule="exact"/>
        <w:rPr>
          <w:rFonts w:ascii="Times New Roman" w:cs="Times New Roman" w:eastAsia="Times New Roman" w:hAnsi="Times New Roman"/>
          <w:sz w:val="18"/>
          <w:szCs w:val="18"/>
          <w:b w:val="1"/>
          <w:bCs w:val="1"/>
          <w:color w:val="auto"/>
        </w:rPr>
      </w:pPr>
    </w:p>
    <w:p>
      <w:pPr>
        <w:ind w:left="2060" w:hanging="792"/>
        <w:spacing w:after="0"/>
        <w:tabs>
          <w:tab w:leader="none" w:pos="2060"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Purchase Rights granted under the Plan.</w:t>
      </w:r>
    </w:p>
    <w:p>
      <w:pPr>
        <w:spacing w:after="0" w:line="219" w:lineRule="exact"/>
        <w:rPr>
          <w:rFonts w:ascii="Times New Roman" w:cs="Times New Roman" w:eastAsia="Times New Roman" w:hAnsi="Times New Roman"/>
          <w:sz w:val="18"/>
          <w:szCs w:val="18"/>
          <w:b w:val="1"/>
          <w:bCs w:val="1"/>
          <w:color w:val="auto"/>
        </w:rPr>
      </w:pPr>
    </w:p>
    <w:p>
      <w:pPr>
        <w:ind w:left="2000" w:hanging="732"/>
        <w:spacing w:after="0"/>
        <w:tabs>
          <w:tab w:leader="none" w:pos="2000"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as provided in Section 11.</w:t>
      </w:r>
    </w:p>
    <w:p>
      <w:pPr>
        <w:spacing w:after="0" w:line="219" w:lineRule="exact"/>
        <w:rPr>
          <w:rFonts w:ascii="Times New Roman" w:cs="Times New Roman" w:eastAsia="Times New Roman" w:hAnsi="Times New Roman"/>
          <w:sz w:val="18"/>
          <w:szCs w:val="18"/>
          <w:b w:val="1"/>
          <w:bCs w:val="1"/>
          <w:color w:val="auto"/>
        </w:rPr>
      </w:pPr>
    </w:p>
    <w:p>
      <w:pPr>
        <w:ind w:left="2060" w:hanging="792"/>
        <w:spacing w:after="0"/>
        <w:tabs>
          <w:tab w:leader="none" w:pos="2060"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at any time as provided in Section 11.</w:t>
      </w:r>
    </w:p>
    <w:p>
      <w:pPr>
        <w:spacing w:after="0" w:line="219" w:lineRule="exact"/>
        <w:rPr>
          <w:rFonts w:ascii="Times New Roman" w:cs="Times New Roman" w:eastAsia="Times New Roman" w:hAnsi="Times New Roman"/>
          <w:sz w:val="18"/>
          <w:szCs w:val="18"/>
          <w:b w:val="1"/>
          <w:bCs w:val="1"/>
          <w:color w:val="auto"/>
        </w:rPr>
      </w:pPr>
    </w:p>
    <w:p>
      <w:pPr>
        <w:ind w:left="-20" w:firstLine="1288"/>
        <w:spacing w:after="0" w:line="262" w:lineRule="auto"/>
        <w:tabs>
          <w:tab w:leader="none" w:pos="2100"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and its Related Corporations and to carry out the intent that the Plan be treated as a Qualified Employee Stock Purchase Plan with respect to the 423 Component.</w:t>
      </w:r>
    </w:p>
    <w:p>
      <w:pPr>
        <w:spacing w:after="0" w:line="176" w:lineRule="exact"/>
        <w:rPr>
          <w:rFonts w:ascii="Times New Roman" w:cs="Times New Roman" w:eastAsia="Times New Roman" w:hAnsi="Times New Roman"/>
          <w:sz w:val="18"/>
          <w:szCs w:val="18"/>
          <w:b w:val="1"/>
          <w:bCs w:val="1"/>
          <w:color w:val="auto"/>
        </w:rPr>
      </w:pPr>
    </w:p>
    <w:p>
      <w:pPr>
        <w:ind w:left="-20" w:right="20" w:firstLine="1288"/>
        <w:spacing w:after="0" w:line="252" w:lineRule="auto"/>
        <w:tabs>
          <w:tab w:leader="none" w:pos="2150" w:val="left"/>
        </w:tabs>
        <w:numPr>
          <w:ilvl w:val="1"/>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spacing w:after="0" w:line="186" w:lineRule="exact"/>
        <w:rPr>
          <w:rFonts w:ascii="Times New Roman" w:cs="Times New Roman" w:eastAsia="Times New Roman" w:hAnsi="Times New Roman"/>
          <w:sz w:val="18"/>
          <w:szCs w:val="18"/>
          <w:b w:val="1"/>
          <w:bCs w:val="1"/>
          <w:color w:val="auto"/>
        </w:rPr>
      </w:pPr>
    </w:p>
    <w:p>
      <w:pPr>
        <w:ind w:left="-20" w:right="20" w:firstLine="647"/>
        <w:spacing w:after="0" w:line="250" w:lineRule="auto"/>
        <w:tabs>
          <w:tab w:leader="none" w:pos="1351"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92" w:lineRule="exact"/>
        <w:rPr>
          <w:rFonts w:ascii="Times New Roman" w:cs="Times New Roman" w:eastAsia="Times New Roman" w:hAnsi="Times New Roman"/>
          <w:sz w:val="18"/>
          <w:szCs w:val="18"/>
          <w:b w:val="1"/>
          <w:bCs w:val="1"/>
          <w:color w:val="auto"/>
        </w:rPr>
      </w:pPr>
    </w:p>
    <w:p>
      <w:pPr>
        <w:ind w:left="-20" w:right="20" w:firstLine="647"/>
        <w:spacing w:after="0" w:line="277" w:lineRule="auto"/>
        <w:tabs>
          <w:tab w:leader="none" w:pos="1371"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in good faith will not be subject to review by any person and will be final, binding and conclusive on all persons.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71342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40" w:top="895" w:right="339" w:bottom="1440" w:gutter="0" w:footer="0" w:header="0"/>
        </w:sectPr>
      </w:pPr>
    </w:p>
    <w:bookmarkStart w:id="246" w:name="page247"/>
    <w:bookmarkEnd w:id="246"/>
    <w:p>
      <w:pPr>
        <w:ind w:left="680" w:hanging="673"/>
        <w:spacing w:after="0"/>
        <w:tabs>
          <w:tab w:leader="none" w:pos="68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right="140" w:firstLine="647"/>
        <w:spacing w:after="0" w:line="265" w:lineRule="auto"/>
        <w:tabs>
          <w:tab w:leader="none" w:pos="1381" w:val="left"/>
        </w:tabs>
        <w:numPr>
          <w:ilvl w:val="1"/>
          <w:numId w:val="2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the provisions of Section 10(a) relating to Capitalization Adjustments, the maximum number of shares of Common Stock that may be issued under the Plan will not exceed [________] shares of Common Stock (equal to three percent (3%) of the Fully Diluted Common Stock determined as of immediately after the Effective Time) (the “</w:t>
      </w:r>
      <w:r>
        <w:rPr>
          <w:rFonts w:ascii="Times New Roman" w:cs="Times New Roman" w:eastAsia="Times New Roman" w:hAnsi="Times New Roman"/>
          <w:sz w:val="17"/>
          <w:szCs w:val="17"/>
          <w:b w:val="1"/>
          <w:bCs w:val="1"/>
          <w:i w:val="1"/>
          <w:iCs w:val="1"/>
          <w:color w:val="auto"/>
        </w:rPr>
        <w:t>Initial Share Reserve</w:t>
      </w:r>
      <w:r>
        <w:rPr>
          <w:rFonts w:ascii="Times New Roman" w:cs="Times New Roman" w:eastAsia="Times New Roman" w:hAnsi="Times New Roman"/>
          <w:sz w:val="17"/>
          <w:szCs w:val="17"/>
          <w:color w:val="auto"/>
        </w:rPr>
        <w:t>”), plus the number of shares of Common Stock that are automatically added on January 1st of each year for a period of up to ten years, commencing on January 1, 2024 and ending on (and including) January 1, 2033, in an amount equal to the lesser of (x) two percent (2%) of the total number of shares of the Fully Diluted Common Stock determined as of the day prior to such increase, and (y) [______] shares of Common Stock (equal to two hundred percent (200%) of the Initial Share Reserve). Notwithstanding the foregoing, the</w:t>
      </w:r>
    </w:p>
    <w:p>
      <w:pPr>
        <w:spacing w:after="0" w:line="5"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Board may act prior to the first day of any calendar year to provide that there will be no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99" w:lineRule="exact"/>
        <w:rPr>
          <w:sz w:val="20"/>
          <w:szCs w:val="20"/>
          <w:color w:val="auto"/>
        </w:rPr>
      </w:pPr>
    </w:p>
    <w:p>
      <w:pPr>
        <w:ind w:right="760" w:firstLine="647"/>
        <w:spacing w:after="0" w:line="277" w:lineRule="auto"/>
        <w:tabs>
          <w:tab w:leader="none" w:pos="1391" w:val="left"/>
        </w:tabs>
        <w:numPr>
          <w:ilvl w:val="1"/>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62" w:lineRule="exact"/>
        <w:rPr>
          <w:rFonts w:ascii="Times New Roman" w:cs="Times New Roman" w:eastAsia="Times New Roman" w:hAnsi="Times New Roman"/>
          <w:sz w:val="18"/>
          <w:szCs w:val="18"/>
          <w:b w:val="1"/>
          <w:bCs w:val="1"/>
          <w:color w:val="auto"/>
        </w:rPr>
      </w:pPr>
    </w:p>
    <w:p>
      <w:pPr>
        <w:ind w:right="860" w:firstLine="647"/>
        <w:spacing w:after="0" w:line="277" w:lineRule="auto"/>
        <w:tabs>
          <w:tab w:leader="none" w:pos="1371" w:val="left"/>
        </w:tabs>
        <w:numPr>
          <w:ilvl w:val="1"/>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 purchasable under the Plan will be shares of authorized but unissued or reacquired Common Stock, including shares repurchased by the Company on the open market.</w:t>
      </w:r>
    </w:p>
    <w:p>
      <w:pPr>
        <w:spacing w:after="0" w:line="158" w:lineRule="exact"/>
        <w:rPr>
          <w:rFonts w:ascii="Times New Roman" w:cs="Times New Roman" w:eastAsia="Times New Roman" w:hAnsi="Times New Roman"/>
          <w:sz w:val="18"/>
          <w:szCs w:val="18"/>
          <w:b w:val="1"/>
          <w:bCs w:val="1"/>
          <w:color w:val="auto"/>
        </w:rPr>
      </w:pPr>
    </w:p>
    <w:p>
      <w:pPr>
        <w:ind w:left="680" w:hanging="673"/>
        <w:spacing w:after="0"/>
        <w:tabs>
          <w:tab w:leader="none" w:pos="68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rant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ffering</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right="20" w:firstLine="647"/>
        <w:spacing w:after="0" w:line="251" w:lineRule="auto"/>
        <w:tabs>
          <w:tab w:leader="none" w:pos="1381" w:val="left"/>
        </w:tabs>
        <w:numPr>
          <w:ilvl w:val="1"/>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(except as permitted by any regulations issued thereunder).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89" w:lineRule="exact"/>
        <w:rPr>
          <w:rFonts w:ascii="Times New Roman" w:cs="Times New Roman" w:eastAsia="Times New Roman" w:hAnsi="Times New Roman"/>
          <w:sz w:val="18"/>
          <w:szCs w:val="18"/>
          <w:b w:val="1"/>
          <w:bCs w:val="1"/>
          <w:color w:val="auto"/>
        </w:rPr>
      </w:pPr>
    </w:p>
    <w:p>
      <w:pPr>
        <w:ind w:right="140" w:firstLine="647"/>
        <w:spacing w:after="0" w:line="254" w:lineRule="auto"/>
        <w:tabs>
          <w:tab w:leader="none" w:pos="1391" w:val="left"/>
        </w:tabs>
        <w:numPr>
          <w:ilvl w:val="1"/>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has more than one Purchase Right outstanding under the Plan, unless he or she otherwise indicates in forms delivered to the Company or a third party designated by the Company (each, a “</w:t>
      </w:r>
      <w:r>
        <w:rPr>
          <w:rFonts w:ascii="Times New Roman" w:cs="Times New Roman" w:eastAsia="Times New Roman" w:hAnsi="Times New Roman"/>
          <w:sz w:val="18"/>
          <w:szCs w:val="18"/>
          <w:b w:val="1"/>
          <w:bCs w:val="1"/>
          <w:i w:val="1"/>
          <w:iCs w:val="1"/>
          <w:color w:val="auto"/>
        </w:rPr>
        <w:t>Company Designee</w:t>
      </w:r>
      <w:r>
        <w:rPr>
          <w:rFonts w:ascii="Times New Roman" w:cs="Times New Roman" w:eastAsia="Times New Roman" w:hAnsi="Times New Roman"/>
          <w:sz w:val="18"/>
          <w:szCs w:val="18"/>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5" w:lineRule="exact"/>
        <w:rPr>
          <w:rFonts w:ascii="Times New Roman" w:cs="Times New Roman" w:eastAsia="Times New Roman" w:hAnsi="Times New Roman"/>
          <w:sz w:val="18"/>
          <w:szCs w:val="18"/>
          <w:b w:val="1"/>
          <w:bCs w:val="1"/>
          <w:color w:val="auto"/>
        </w:rPr>
      </w:pPr>
    </w:p>
    <w:p>
      <w:pPr>
        <w:ind w:right="180" w:firstLine="647"/>
        <w:spacing w:after="0" w:line="257" w:lineRule="auto"/>
        <w:tabs>
          <w:tab w:leader="none" w:pos="1371" w:val="left"/>
        </w:tabs>
        <w:numPr>
          <w:ilvl w:val="1"/>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7" w:name="page248"/>
    <w:bookmarkEnd w:id="247"/>
    <w:p>
      <w:pPr>
        <w:ind w:left="680" w:hanging="673"/>
        <w:spacing w:after="0"/>
        <w:tabs>
          <w:tab w:leader="none" w:pos="68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firstLine="647"/>
        <w:spacing w:after="0" w:line="250" w:lineRule="auto"/>
        <w:tabs>
          <w:tab w:leader="none" w:pos="1381" w:val="left"/>
        </w:tabs>
        <w:numPr>
          <w:ilvl w:val="1"/>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spacing w:after="0" w:line="192" w:lineRule="exact"/>
        <w:rPr>
          <w:rFonts w:ascii="Times New Roman" w:cs="Times New Roman" w:eastAsia="Times New Roman" w:hAnsi="Times New Roman"/>
          <w:sz w:val="18"/>
          <w:szCs w:val="18"/>
          <w:b w:val="1"/>
          <w:bCs w:val="1"/>
          <w:color w:val="auto"/>
        </w:rPr>
      </w:pPr>
    </w:p>
    <w:p>
      <w:pPr>
        <w:ind w:right="280" w:firstLine="647"/>
        <w:spacing w:after="0" w:line="257" w:lineRule="auto"/>
        <w:tabs>
          <w:tab w:leader="none" w:pos="1391" w:val="left"/>
        </w:tabs>
        <w:numPr>
          <w:ilvl w:val="1"/>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80" w:lineRule="exact"/>
        <w:rPr>
          <w:rFonts w:ascii="Times New Roman" w:cs="Times New Roman" w:eastAsia="Times New Roman" w:hAnsi="Times New Roman"/>
          <w:sz w:val="18"/>
          <w:szCs w:val="18"/>
          <w:b w:val="1"/>
          <w:bCs w:val="1"/>
          <w:color w:val="auto"/>
        </w:rPr>
      </w:pPr>
    </w:p>
    <w:p>
      <w:pPr>
        <w:ind w:right="140" w:firstLine="1288"/>
        <w:spacing w:after="0" w:line="277" w:lineRule="auto"/>
        <w:tabs>
          <w:tab w:leader="none" w:pos="1982" w:val="left"/>
        </w:tabs>
        <w:numPr>
          <w:ilvl w:val="2"/>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such Purchase Right is granted will be the “Offering Date” of such Purchase Right for all purposes, including determination of the exercise price of such Purchase Right;</w:t>
      </w:r>
    </w:p>
    <w:p>
      <w:pPr>
        <w:spacing w:after="0" w:line="162" w:lineRule="exact"/>
        <w:rPr>
          <w:rFonts w:ascii="Times New Roman" w:cs="Times New Roman" w:eastAsia="Times New Roman" w:hAnsi="Times New Roman"/>
          <w:sz w:val="18"/>
          <w:szCs w:val="18"/>
          <w:b w:val="1"/>
          <w:bCs w:val="1"/>
          <w:color w:val="auto"/>
        </w:rPr>
      </w:pPr>
    </w:p>
    <w:p>
      <w:pPr>
        <w:ind w:left="2040" w:hanging="752"/>
        <w:spacing w:after="0"/>
        <w:tabs>
          <w:tab w:leader="none" w:pos="2040" w:val="left"/>
        </w:tabs>
        <w:numPr>
          <w:ilvl w:val="2"/>
          <w:numId w:val="2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period of the Offering with respect to such Purchase Right will begin on its Offering Date and end coincident with the end of</w:t>
      </w:r>
    </w:p>
    <w:p>
      <w:pPr>
        <w:spacing w:after="0" w:line="36"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such Offering; and</w:t>
      </w:r>
    </w:p>
    <w:p>
      <w:pPr>
        <w:spacing w:after="0" w:line="200" w:lineRule="exact"/>
        <w:rPr>
          <w:rFonts w:ascii="Times New Roman" w:cs="Times New Roman" w:eastAsia="Times New Roman" w:hAnsi="Times New Roman"/>
          <w:sz w:val="17"/>
          <w:szCs w:val="17"/>
          <w:b w:val="1"/>
          <w:bCs w:val="1"/>
          <w:color w:val="auto"/>
        </w:rPr>
      </w:pPr>
    </w:p>
    <w:p>
      <w:pPr>
        <w:ind w:right="140" w:firstLine="1288"/>
        <w:spacing w:after="0" w:line="277" w:lineRule="auto"/>
        <w:tabs>
          <w:tab w:leader="none" w:pos="2081" w:val="left"/>
        </w:tabs>
        <w:numPr>
          <w:ilvl w:val="2"/>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62" w:lineRule="exact"/>
        <w:rPr>
          <w:rFonts w:ascii="Times New Roman" w:cs="Times New Roman" w:eastAsia="Times New Roman" w:hAnsi="Times New Roman"/>
          <w:sz w:val="18"/>
          <w:szCs w:val="18"/>
          <w:b w:val="1"/>
          <w:bCs w:val="1"/>
          <w:color w:val="auto"/>
        </w:rPr>
      </w:pPr>
    </w:p>
    <w:p>
      <w:pPr>
        <w:ind w:firstLine="647"/>
        <w:spacing w:after="0" w:line="254" w:lineRule="auto"/>
        <w:tabs>
          <w:tab w:leader="none" w:pos="1371" w:val="left"/>
        </w:tabs>
        <w:numPr>
          <w:ilvl w:val="1"/>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Employee will be eligible for the grant of any Purchase Rights under the 423 Component if, immediately after any such Purchase Rights are granted, such Employee owns stock possessing five percent (5%)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5" w:lineRule="exact"/>
        <w:rPr>
          <w:rFonts w:ascii="Times New Roman" w:cs="Times New Roman" w:eastAsia="Times New Roman" w:hAnsi="Times New Roman"/>
          <w:sz w:val="18"/>
          <w:szCs w:val="18"/>
          <w:b w:val="1"/>
          <w:bCs w:val="1"/>
          <w:color w:val="auto"/>
        </w:rPr>
      </w:pPr>
    </w:p>
    <w:p>
      <w:pPr>
        <w:ind w:right="120" w:firstLine="647"/>
        <w:spacing w:after="0" w:line="254" w:lineRule="auto"/>
        <w:tabs>
          <w:tab w:leader="none" w:pos="1391" w:val="left"/>
        </w:tabs>
        <w:numPr>
          <w:ilvl w:val="1"/>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specified by Section 423(b)(8) of the Code, an Eligible Employee may be granted Purchase Rights under the 423 Component only if such Purchase Rights, together with any other rights granted under all Qualified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48" w:name="page249"/>
    <w:bookmarkEnd w:id="248"/>
    <w:p>
      <w:pPr>
        <w:ind w:left="-7" w:right="140" w:firstLine="647"/>
        <w:spacing w:after="0" w:line="262" w:lineRule="auto"/>
        <w:tabs>
          <w:tab w:leader="none" w:pos="1364" w:val="left"/>
        </w:tabs>
        <w:numPr>
          <w:ilvl w:val="1"/>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(or a subset thereof) within the meaning of Section 423(b)(4)(D) of the Code will not be eligible to participate.</w:t>
      </w:r>
    </w:p>
    <w:p>
      <w:pPr>
        <w:spacing w:after="0" w:line="176" w:lineRule="exact"/>
        <w:rPr>
          <w:rFonts w:ascii="Times New Roman" w:cs="Times New Roman" w:eastAsia="Times New Roman" w:hAnsi="Times New Roman"/>
          <w:sz w:val="18"/>
          <w:szCs w:val="18"/>
          <w:b w:val="1"/>
          <w:bCs w:val="1"/>
          <w:color w:val="auto"/>
        </w:rPr>
      </w:pPr>
    </w:p>
    <w:p>
      <w:pPr>
        <w:ind w:left="-7" w:right="60" w:firstLine="647"/>
        <w:spacing w:after="0" w:line="262" w:lineRule="auto"/>
        <w:tabs>
          <w:tab w:leader="none" w:pos="1345" w:val="left"/>
        </w:tabs>
        <w:numPr>
          <w:ilvl w:val="1"/>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such individuals shall be excluded.</w:t>
      </w:r>
    </w:p>
    <w:p>
      <w:pPr>
        <w:spacing w:after="0" w:line="172" w:lineRule="exact"/>
        <w:rPr>
          <w:rFonts w:ascii="Times New Roman" w:cs="Times New Roman" w:eastAsia="Times New Roman" w:hAnsi="Times New Roman"/>
          <w:sz w:val="18"/>
          <w:szCs w:val="18"/>
          <w:b w:val="1"/>
          <w:bCs w:val="1"/>
          <w:color w:val="auto"/>
        </w:rPr>
      </w:pPr>
    </w:p>
    <w:p>
      <w:pPr>
        <w:ind w:left="673" w:hanging="673"/>
        <w:spacing w:after="0"/>
        <w:tabs>
          <w:tab w:leader="none" w:pos="673"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rice</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left="-7" w:right="120" w:firstLine="647"/>
        <w:spacing w:after="0" w:line="257" w:lineRule="auto"/>
        <w:tabs>
          <w:tab w:leader="none" w:pos="1374" w:val="left"/>
        </w:tabs>
        <w:numPr>
          <w:ilvl w:val="1"/>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Offering Date, each Eligible Employee, pursuant to an Offering made under the Plan, will be granted a Purchase Right to purchase up to that number of shares of Common Stock purchasable either with a maximum percentage of eligible compensation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80" w:lineRule="exact"/>
        <w:rPr>
          <w:rFonts w:ascii="Times New Roman" w:cs="Times New Roman" w:eastAsia="Times New Roman" w:hAnsi="Times New Roman"/>
          <w:sz w:val="18"/>
          <w:szCs w:val="18"/>
          <w:b w:val="1"/>
          <w:bCs w:val="1"/>
          <w:color w:val="auto"/>
        </w:rPr>
      </w:pPr>
    </w:p>
    <w:p>
      <w:pPr>
        <w:ind w:left="-7" w:right="440" w:firstLine="647"/>
        <w:spacing w:after="0" w:line="277" w:lineRule="auto"/>
        <w:tabs>
          <w:tab w:leader="none" w:pos="1384" w:val="left"/>
        </w:tabs>
        <w:numPr>
          <w:ilvl w:val="1"/>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62" w:lineRule="exact"/>
        <w:rPr>
          <w:rFonts w:ascii="Times New Roman" w:cs="Times New Roman" w:eastAsia="Times New Roman" w:hAnsi="Times New Roman"/>
          <w:sz w:val="18"/>
          <w:szCs w:val="18"/>
          <w:b w:val="1"/>
          <w:bCs w:val="1"/>
          <w:color w:val="auto"/>
        </w:rPr>
      </w:pPr>
    </w:p>
    <w:p>
      <w:pPr>
        <w:ind w:left="-7" w:firstLine="647"/>
        <w:spacing w:after="0" w:line="252" w:lineRule="auto"/>
        <w:tabs>
          <w:tab w:leader="none" w:pos="1364" w:val="left"/>
        </w:tabs>
        <w:numPr>
          <w:ilvl w:val="1"/>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86" w:lineRule="exact"/>
        <w:rPr>
          <w:rFonts w:ascii="Times New Roman" w:cs="Times New Roman" w:eastAsia="Times New Roman" w:hAnsi="Times New Roman"/>
          <w:sz w:val="18"/>
          <w:szCs w:val="18"/>
          <w:b w:val="1"/>
          <w:bCs w:val="1"/>
          <w:color w:val="auto"/>
        </w:rPr>
      </w:pPr>
    </w:p>
    <w:p>
      <w:pPr>
        <w:ind w:left="-7" w:right="1000" w:firstLine="647"/>
        <w:spacing w:after="0" w:line="277" w:lineRule="auto"/>
        <w:tabs>
          <w:tab w:leader="none" w:pos="1384" w:val="left"/>
        </w:tabs>
        <w:numPr>
          <w:ilvl w:val="1"/>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shares of Common Stock acquired pursuant to Purchase Rights will be specified by the Board prior to commencement of an Offering and will not be less than the lesser of:</w:t>
      </w:r>
    </w:p>
    <w:p>
      <w:pPr>
        <w:spacing w:after="0" w:line="162" w:lineRule="exact"/>
        <w:rPr>
          <w:rFonts w:ascii="Times New Roman" w:cs="Times New Roman" w:eastAsia="Times New Roman" w:hAnsi="Times New Roman"/>
          <w:sz w:val="18"/>
          <w:szCs w:val="18"/>
          <w:b w:val="1"/>
          <w:bCs w:val="1"/>
          <w:color w:val="auto"/>
        </w:rPr>
      </w:pPr>
    </w:p>
    <w:p>
      <w:pPr>
        <w:ind w:left="1973" w:hanging="692"/>
        <w:spacing w:after="0"/>
        <w:tabs>
          <w:tab w:leader="none" w:pos="1973" w:val="left"/>
        </w:tabs>
        <w:numPr>
          <w:ilvl w:val="2"/>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Offering Date; or</w:t>
      </w:r>
    </w:p>
    <w:p>
      <w:pPr>
        <w:spacing w:after="0" w:line="219" w:lineRule="exact"/>
        <w:rPr>
          <w:rFonts w:ascii="Times New Roman" w:cs="Times New Roman" w:eastAsia="Times New Roman" w:hAnsi="Times New Roman"/>
          <w:sz w:val="18"/>
          <w:szCs w:val="18"/>
          <w:b w:val="1"/>
          <w:bCs w:val="1"/>
          <w:color w:val="auto"/>
        </w:rPr>
      </w:pPr>
    </w:p>
    <w:p>
      <w:pPr>
        <w:ind w:left="2033" w:hanging="752"/>
        <w:spacing w:after="0"/>
        <w:tabs>
          <w:tab w:leader="none" w:pos="2033" w:val="left"/>
        </w:tabs>
        <w:numPr>
          <w:ilvl w:val="2"/>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85% of the Fair Market Value of the shares of Common Stock on the applicable Purchase Date.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13"/>
          </w:cols>
          <w:pgMar w:left="327" w:top="895" w:right="359" w:bottom="1440" w:gutter="0" w:footer="0" w:header="0"/>
        </w:sectPr>
      </w:pPr>
    </w:p>
    <w:bookmarkStart w:id="249" w:name="page250"/>
    <w:bookmarkEnd w:id="249"/>
    <w:p>
      <w:pPr>
        <w:ind w:left="673" w:hanging="673"/>
        <w:spacing w:after="0"/>
        <w:tabs>
          <w:tab w:leader="none" w:pos="673"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articipation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ithdrawal</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ermination</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left="-7" w:firstLine="647"/>
        <w:spacing w:after="0" w:line="267" w:lineRule="auto"/>
        <w:tabs>
          <w:tab w:leader="none" w:pos="1374" w:val="left"/>
        </w:tabs>
        <w:numPr>
          <w:ilvl w:val="1"/>
          <w:numId w:val="2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w:t>
      </w:r>
    </w:p>
    <w:p>
      <w:pPr>
        <w:spacing w:after="0" w:line="173" w:lineRule="exact"/>
        <w:rPr>
          <w:rFonts w:ascii="Times New Roman" w:cs="Times New Roman" w:eastAsia="Times New Roman" w:hAnsi="Times New Roman"/>
          <w:sz w:val="17"/>
          <w:szCs w:val="17"/>
          <w:b w:val="1"/>
          <w:bCs w:val="1"/>
          <w:color w:val="auto"/>
        </w:rPr>
      </w:pPr>
    </w:p>
    <w:p>
      <w:pPr>
        <w:ind w:left="-7" w:right="40" w:firstLine="647"/>
        <w:spacing w:after="0" w:line="253" w:lineRule="auto"/>
        <w:tabs>
          <w:tab w:leader="none" w:pos="1384" w:val="left"/>
        </w:tabs>
        <w:numPr>
          <w:ilvl w:val="1"/>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85" w:lineRule="exact"/>
        <w:rPr>
          <w:rFonts w:ascii="Times New Roman" w:cs="Times New Roman" w:eastAsia="Times New Roman" w:hAnsi="Times New Roman"/>
          <w:sz w:val="18"/>
          <w:szCs w:val="18"/>
          <w:b w:val="1"/>
          <w:bCs w:val="1"/>
          <w:color w:val="auto"/>
        </w:rPr>
      </w:pPr>
    </w:p>
    <w:p>
      <w:pPr>
        <w:ind w:left="-7" w:right="40" w:firstLine="647"/>
        <w:spacing w:after="0" w:line="257" w:lineRule="auto"/>
        <w:tabs>
          <w:tab w:leader="none" w:pos="1364" w:val="left"/>
        </w:tabs>
        <w:numPr>
          <w:ilvl w:val="1"/>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 (and if applicable, accumulated interest).</w:t>
      </w:r>
    </w:p>
    <w:p>
      <w:pPr>
        <w:spacing w:after="0" w:line="180" w:lineRule="exact"/>
        <w:rPr>
          <w:rFonts w:ascii="Times New Roman" w:cs="Times New Roman" w:eastAsia="Times New Roman" w:hAnsi="Times New Roman"/>
          <w:sz w:val="18"/>
          <w:szCs w:val="18"/>
          <w:b w:val="1"/>
          <w:bCs w:val="1"/>
          <w:color w:val="auto"/>
        </w:rPr>
      </w:pPr>
    </w:p>
    <w:p>
      <w:pPr>
        <w:ind w:left="-7" w:right="20" w:firstLine="647"/>
        <w:spacing w:after="0" w:line="251" w:lineRule="auto"/>
        <w:tabs>
          <w:tab w:leader="none" w:pos="1384" w:val="left"/>
        </w:tabs>
        <w:numPr>
          <w:ilvl w:val="1"/>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89" w:lineRule="exact"/>
        <w:rPr>
          <w:rFonts w:ascii="Times New Roman" w:cs="Times New Roman" w:eastAsia="Times New Roman" w:hAnsi="Times New Roman"/>
          <w:sz w:val="18"/>
          <w:szCs w:val="18"/>
          <w:b w:val="1"/>
          <w:bCs w:val="1"/>
          <w:color w:val="auto"/>
        </w:rPr>
      </w:pPr>
    </w:p>
    <w:p>
      <w:pPr>
        <w:ind w:left="-7" w:right="180" w:firstLine="647"/>
        <w:spacing w:after="0" w:line="307" w:lineRule="auto"/>
        <w:tabs>
          <w:tab w:leader="none" w:pos="1364" w:val="left"/>
        </w:tabs>
        <w:numPr>
          <w:ilvl w:val="1"/>
          <w:numId w:val="2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9.</w:t>
      </w:r>
    </w:p>
    <w:p>
      <w:pPr>
        <w:spacing w:after="0" w:line="200" w:lineRule="exact"/>
        <w:rPr>
          <w:sz w:val="20"/>
          <w:szCs w:val="20"/>
          <w:color w:val="auto"/>
        </w:rPr>
      </w:pPr>
    </w:p>
    <w:p>
      <w:pPr>
        <w:spacing w:after="0" w:line="36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93"/>
          </w:cols>
          <w:pgMar w:left="327" w:top="891" w:right="379" w:bottom="1440" w:gutter="0" w:footer="0" w:header="0"/>
        </w:sectPr>
      </w:pPr>
    </w:p>
    <w:bookmarkStart w:id="250" w:name="page251"/>
    <w:bookmarkEnd w:id="250"/>
    <w:p>
      <w:pPr>
        <w:ind w:left="1360" w:hanging="713"/>
        <w:spacing w:after="0"/>
        <w:tabs>
          <w:tab w:leader="none" w:pos="1360" w:val="left"/>
        </w:tabs>
        <w:numPr>
          <w:ilvl w:val="1"/>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in the Offering or as required by Applicable Law, the Company will have no obligation to pay interest on</w:t>
      </w:r>
    </w:p>
    <w:p>
      <w:pPr>
        <w:spacing w:after="0" w:line="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Contributions.</w:t>
      </w:r>
    </w:p>
    <w:p>
      <w:pPr>
        <w:spacing w:after="0" w:line="196" w:lineRule="exact"/>
        <w:rPr>
          <w:rFonts w:ascii="Times New Roman" w:cs="Times New Roman" w:eastAsia="Times New Roman" w:hAnsi="Times New Roman"/>
          <w:sz w:val="18"/>
          <w:szCs w:val="18"/>
          <w:b w:val="1"/>
          <w:bCs w:val="1"/>
          <w:color w:val="auto"/>
        </w:rPr>
      </w:pPr>
    </w:p>
    <w:p>
      <w:pPr>
        <w:ind w:left="680" w:hanging="673"/>
        <w:spacing w:after="0"/>
        <w:tabs>
          <w:tab w:leader="none" w:pos="68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xercise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right="180" w:firstLine="647"/>
        <w:spacing w:after="0" w:line="262" w:lineRule="auto"/>
        <w:tabs>
          <w:tab w:leader="none" w:pos="1381" w:val="left"/>
        </w:tabs>
        <w:numPr>
          <w:ilvl w:val="1"/>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76" w:lineRule="exact"/>
        <w:rPr>
          <w:rFonts w:ascii="Times New Roman" w:cs="Times New Roman" w:eastAsia="Times New Roman" w:hAnsi="Times New Roman"/>
          <w:sz w:val="18"/>
          <w:szCs w:val="18"/>
          <w:b w:val="1"/>
          <w:bCs w:val="1"/>
          <w:color w:val="auto"/>
        </w:rPr>
      </w:pPr>
    </w:p>
    <w:p>
      <w:pPr>
        <w:ind w:right="20" w:firstLine="647"/>
        <w:spacing w:after="0" w:line="251" w:lineRule="auto"/>
        <w:tabs>
          <w:tab w:leader="none" w:pos="1391" w:val="left"/>
        </w:tabs>
        <w:numPr>
          <w:ilvl w:val="1"/>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spacing w:after="0" w:line="189" w:lineRule="exact"/>
        <w:rPr>
          <w:rFonts w:ascii="Times New Roman" w:cs="Times New Roman" w:eastAsia="Times New Roman" w:hAnsi="Times New Roman"/>
          <w:sz w:val="18"/>
          <w:szCs w:val="18"/>
          <w:b w:val="1"/>
          <w:bCs w:val="1"/>
          <w:color w:val="auto"/>
        </w:rPr>
      </w:pPr>
    </w:p>
    <w:p>
      <w:pPr>
        <w:ind w:firstLine="647"/>
        <w:spacing w:after="0" w:line="267" w:lineRule="auto"/>
        <w:tabs>
          <w:tab w:leader="none" w:pos="1371" w:val="left"/>
        </w:tabs>
        <w:numPr>
          <w:ilvl w:val="1"/>
          <w:numId w:val="2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w:t>
      </w:r>
    </w:p>
    <w:p>
      <w:pPr>
        <w:spacing w:after="0" w:line="3" w:lineRule="exact"/>
        <w:rPr>
          <w:rFonts w:ascii="Times New Roman" w:cs="Times New Roman" w:eastAsia="Times New Roman" w:hAnsi="Times New Roman"/>
          <w:sz w:val="17"/>
          <w:szCs w:val="17"/>
          <w:b w:val="1"/>
          <w:bCs w:val="1"/>
          <w:color w:val="auto"/>
        </w:rPr>
      </w:pPr>
    </w:p>
    <w:p>
      <w:pPr>
        <w:ind w:right="40" w:firstLine="7"/>
        <w:spacing w:after="0" w:line="249" w:lineRule="auto"/>
        <w:tabs>
          <w:tab w:leader="none" w:pos="311"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184" w:lineRule="exact"/>
        <w:rPr>
          <w:rFonts w:ascii="Times New Roman" w:cs="Times New Roman" w:eastAsia="Times New Roman" w:hAnsi="Times New Roman"/>
          <w:sz w:val="18"/>
          <w:szCs w:val="18"/>
          <w:color w:val="auto"/>
        </w:rPr>
      </w:pPr>
    </w:p>
    <w:p>
      <w:pPr>
        <w:ind w:left="680" w:hanging="673"/>
        <w:spacing w:after="0"/>
        <w:tabs>
          <w:tab w:leader="none" w:pos="68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esignation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eneficiary</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right="100" w:firstLine="647"/>
        <w:spacing w:after="0" w:line="257" w:lineRule="auto"/>
        <w:tabs>
          <w:tab w:leader="none" w:pos="1381" w:val="left"/>
        </w:tabs>
        <w:numPr>
          <w:ilvl w:val="1"/>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80" w:lineRule="exact"/>
        <w:rPr>
          <w:rFonts w:ascii="Times New Roman" w:cs="Times New Roman" w:eastAsia="Times New Roman" w:hAnsi="Times New Roman"/>
          <w:sz w:val="18"/>
          <w:szCs w:val="18"/>
          <w:b w:val="1"/>
          <w:bCs w:val="1"/>
          <w:color w:val="auto"/>
        </w:rPr>
      </w:pPr>
    </w:p>
    <w:p>
      <w:pPr>
        <w:ind w:right="100" w:firstLine="647"/>
        <w:spacing w:after="0" w:line="254" w:lineRule="auto"/>
        <w:tabs>
          <w:tab w:leader="none" w:pos="1391" w:val="left"/>
        </w:tabs>
        <w:numPr>
          <w:ilvl w:val="1"/>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1" w:name="page252"/>
    <w:bookmarkEnd w:id="251"/>
    <w:p>
      <w:pPr>
        <w:ind w:left="753" w:hanging="753"/>
        <w:spacing w:after="0"/>
        <w:tabs>
          <w:tab w:leader="none" w:pos="753"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left="-7" w:right="400" w:firstLine="647"/>
        <w:spacing w:after="0" w:line="254" w:lineRule="auto"/>
        <w:tabs>
          <w:tab w:leader="none" w:pos="1374" w:val="left"/>
        </w:tabs>
        <w:numPr>
          <w:ilvl w:val="1"/>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85" w:lineRule="exact"/>
        <w:rPr>
          <w:rFonts w:ascii="Times New Roman" w:cs="Times New Roman" w:eastAsia="Times New Roman" w:hAnsi="Times New Roman"/>
          <w:sz w:val="18"/>
          <w:szCs w:val="18"/>
          <w:b w:val="1"/>
          <w:bCs w:val="1"/>
          <w:color w:val="auto"/>
        </w:rPr>
      </w:pPr>
    </w:p>
    <w:p>
      <w:pPr>
        <w:ind w:left="-7" w:right="160" w:firstLine="647"/>
        <w:spacing w:after="0" w:line="252" w:lineRule="auto"/>
        <w:tabs>
          <w:tab w:leader="none" w:pos="1384" w:val="left"/>
        </w:tabs>
        <w:numPr>
          <w:ilvl w:val="1"/>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182" w:lineRule="exact"/>
        <w:rPr>
          <w:rFonts w:ascii="Times New Roman" w:cs="Times New Roman" w:eastAsia="Times New Roman" w:hAnsi="Times New Roman"/>
          <w:sz w:val="18"/>
          <w:szCs w:val="18"/>
          <w:b w:val="1"/>
          <w:bCs w:val="1"/>
          <w:color w:val="auto"/>
        </w:rPr>
      </w:pPr>
    </w:p>
    <w:p>
      <w:pPr>
        <w:ind w:left="753" w:hanging="753"/>
        <w:spacing w:after="0"/>
        <w:tabs>
          <w:tab w:leader="none" w:pos="753"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left="-7" w:right="80" w:firstLine="647"/>
        <w:spacing w:after="0" w:line="262" w:lineRule="auto"/>
        <w:tabs>
          <w:tab w:leader="none" w:pos="1374" w:val="left"/>
        </w:tabs>
        <w:numPr>
          <w:ilvl w:val="1"/>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the Plan at any time in any respect the Board deems necessary or advisable. However, except as provided in Section 10(a) relating to Capitalization Adjustments, stockholder approval will be required for any amendment of the Plan for which stockholder approval is required by Applicable Law.</w:t>
      </w:r>
    </w:p>
    <w:p>
      <w:pPr>
        <w:spacing w:after="0" w:line="176" w:lineRule="exact"/>
        <w:rPr>
          <w:rFonts w:ascii="Times New Roman" w:cs="Times New Roman" w:eastAsia="Times New Roman" w:hAnsi="Times New Roman"/>
          <w:sz w:val="18"/>
          <w:szCs w:val="18"/>
          <w:b w:val="1"/>
          <w:bCs w:val="1"/>
          <w:color w:val="auto"/>
        </w:rPr>
      </w:pPr>
    </w:p>
    <w:p>
      <w:pPr>
        <w:ind w:left="-7" w:firstLine="647"/>
        <w:spacing w:after="0" w:line="277" w:lineRule="auto"/>
        <w:tabs>
          <w:tab w:leader="none" w:pos="1384" w:val="left"/>
        </w:tabs>
        <w:numPr>
          <w:ilvl w:val="1"/>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suspend or terminate the Plan at any time. No Purchase Rights may be granted under the Plan while the Plan is suspended or after it is terminated.</w:t>
      </w:r>
    </w:p>
    <w:p>
      <w:pPr>
        <w:spacing w:after="0" w:line="162" w:lineRule="exact"/>
        <w:rPr>
          <w:rFonts w:ascii="Times New Roman" w:cs="Times New Roman" w:eastAsia="Times New Roman" w:hAnsi="Times New Roman"/>
          <w:sz w:val="18"/>
          <w:szCs w:val="18"/>
          <w:b w:val="1"/>
          <w:bCs w:val="1"/>
          <w:color w:val="auto"/>
        </w:rPr>
      </w:pPr>
    </w:p>
    <w:p>
      <w:pPr>
        <w:ind w:left="-7" w:firstLine="647"/>
        <w:spacing w:after="0" w:line="249" w:lineRule="auto"/>
        <w:tabs>
          <w:tab w:leader="none" w:pos="1364" w:val="left"/>
        </w:tabs>
        <w:numPr>
          <w:ilvl w:val="1"/>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Qualified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13"/>
          </w:cols>
          <w:pgMar w:left="327" w:top="891" w:right="359" w:bottom="1440" w:gutter="0" w:footer="0" w:header="0"/>
        </w:sectPr>
      </w:pPr>
    </w:p>
    <w:bookmarkStart w:id="252" w:name="page253"/>
    <w:bookmarkEnd w:id="252"/>
    <w:p>
      <w:pPr>
        <w:ind w:left="753" w:hanging="753"/>
        <w:spacing w:after="0"/>
        <w:tabs>
          <w:tab w:leader="none" w:pos="753"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ualification</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ithholding</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left="-7" w:right="80" w:firstLine="647"/>
        <w:spacing w:after="0" w:line="257" w:lineRule="auto"/>
        <w:tabs>
          <w:tab w:leader="none" w:pos="1355"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80" w:lineRule="exact"/>
        <w:rPr>
          <w:rFonts w:ascii="Times New Roman" w:cs="Times New Roman" w:eastAsia="Times New Roman" w:hAnsi="Times New Roman"/>
          <w:sz w:val="18"/>
          <w:szCs w:val="18"/>
          <w:color w:val="auto"/>
        </w:rPr>
      </w:pPr>
    </w:p>
    <w:p>
      <w:pPr>
        <w:ind w:left="-7" w:firstLine="647"/>
        <w:spacing w:after="0" w:line="253" w:lineRule="auto"/>
        <w:tabs>
          <w:tab w:leader="none" w:pos="1374"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185" w:lineRule="exact"/>
        <w:rPr>
          <w:rFonts w:ascii="Times New Roman" w:cs="Times New Roman" w:eastAsia="Times New Roman" w:hAnsi="Times New Roman"/>
          <w:sz w:val="18"/>
          <w:szCs w:val="18"/>
          <w:color w:val="auto"/>
        </w:rPr>
      </w:pPr>
    </w:p>
    <w:p>
      <w:pPr>
        <w:ind w:left="-7" w:firstLine="647"/>
        <w:spacing w:after="0" w:line="267" w:lineRule="auto"/>
        <w:tabs>
          <w:tab w:leader="none" w:pos="1364" w:val="left"/>
        </w:tabs>
        <w:numPr>
          <w:ilvl w:val="1"/>
          <w:numId w:val="2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13"/>
          </w:cols>
          <w:pgMar w:left="327" w:top="891" w:right="359" w:bottom="1440" w:gutter="0" w:footer="0" w:header="0"/>
        </w:sectPr>
      </w:pPr>
    </w:p>
    <w:bookmarkStart w:id="253" w:name="page254"/>
    <w:bookmarkEnd w:id="253"/>
    <w:p>
      <w:pPr>
        <w:ind w:left="760" w:hanging="753"/>
        <w:spacing w:after="0"/>
        <w:tabs>
          <w:tab w:leader="none" w:pos="76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jc w:val="both"/>
        <w:ind w:right="100" w:firstLine="640"/>
        <w:spacing w:after="0" w:line="262" w:lineRule="auto"/>
        <w:rPr>
          <w:sz w:val="20"/>
          <w:szCs w:val="20"/>
          <w:color w:val="auto"/>
        </w:rPr>
      </w:pPr>
      <w:r>
        <w:rPr>
          <w:rFonts w:ascii="Times New Roman" w:cs="Times New Roman" w:eastAsia="Times New Roman" w:hAnsi="Times New Roman"/>
          <w:sz w:val="18"/>
          <w:szCs w:val="18"/>
          <w:color w:val="auto"/>
        </w:rPr>
        <w:t>The Plan will become effective immediately prior to and contingent upon the Effective Date. No Purchase Rights will be exercised unless and until the Plan has been approved by the stockholders of the Company, which approval must be within 12 months before or after the date the Plan is adopted (or if required under Section 11(a) above, materially amended) by the Board.</w:t>
      </w:r>
    </w:p>
    <w:p>
      <w:pPr>
        <w:spacing w:after="0" w:line="172" w:lineRule="exact"/>
        <w:rPr>
          <w:sz w:val="20"/>
          <w:szCs w:val="20"/>
          <w:color w:val="auto"/>
        </w:rPr>
      </w:pPr>
    </w:p>
    <w:p>
      <w:pPr>
        <w:ind w:left="760" w:hanging="753"/>
        <w:spacing w:after="0"/>
        <w:tabs>
          <w:tab w:leader="none" w:pos="76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b w:val="1"/>
          <w:bCs w:val="1"/>
          <w:color w:val="auto"/>
        </w:rPr>
      </w:pPr>
    </w:p>
    <w:p>
      <w:pPr>
        <w:ind w:left="1380" w:hanging="733"/>
        <w:spacing w:after="0"/>
        <w:tabs>
          <w:tab w:leader="none" w:pos="1380" w:val="left"/>
        </w:tabs>
        <w:numPr>
          <w:ilvl w:val="1"/>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Proceeds from the sale of shares of Common Stock pursuant to Purchase Rights will constitute general funds of the Company.</w:t>
      </w:r>
    </w:p>
    <w:p>
      <w:pPr>
        <w:spacing w:after="0" w:line="219" w:lineRule="exact"/>
        <w:rPr>
          <w:rFonts w:ascii="Times New Roman" w:cs="Times New Roman" w:eastAsia="Times New Roman" w:hAnsi="Times New Roman"/>
          <w:sz w:val="18"/>
          <w:szCs w:val="18"/>
          <w:b w:val="1"/>
          <w:bCs w:val="1"/>
          <w:color w:val="auto"/>
        </w:rPr>
      </w:pPr>
    </w:p>
    <w:p>
      <w:pPr>
        <w:ind w:right="40" w:firstLine="647"/>
        <w:spacing w:after="0" w:line="262" w:lineRule="auto"/>
        <w:tabs>
          <w:tab w:leader="none" w:pos="1391" w:val="left"/>
        </w:tabs>
        <w:numPr>
          <w:ilvl w:val="1"/>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76" w:lineRule="exact"/>
        <w:rPr>
          <w:rFonts w:ascii="Times New Roman" w:cs="Times New Roman" w:eastAsia="Times New Roman" w:hAnsi="Times New Roman"/>
          <w:sz w:val="18"/>
          <w:szCs w:val="18"/>
          <w:b w:val="1"/>
          <w:bCs w:val="1"/>
          <w:color w:val="auto"/>
        </w:rPr>
      </w:pPr>
    </w:p>
    <w:p>
      <w:pPr>
        <w:ind w:right="80" w:firstLine="647"/>
        <w:spacing w:after="0" w:line="257" w:lineRule="auto"/>
        <w:tabs>
          <w:tab w:leader="none" w:pos="1371" w:val="left"/>
        </w:tabs>
        <w:numPr>
          <w:ilvl w:val="1"/>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spacing w:after="0" w:line="180" w:lineRule="exact"/>
        <w:rPr>
          <w:rFonts w:ascii="Times New Roman" w:cs="Times New Roman" w:eastAsia="Times New Roman" w:hAnsi="Times New Roman"/>
          <w:sz w:val="18"/>
          <w:szCs w:val="18"/>
          <w:b w:val="1"/>
          <w:bCs w:val="1"/>
          <w:color w:val="auto"/>
        </w:rPr>
      </w:pPr>
    </w:p>
    <w:p>
      <w:pPr>
        <w:ind w:left="1400" w:hanging="753"/>
        <w:spacing w:after="0"/>
        <w:tabs>
          <w:tab w:leader="none" w:pos="1400" w:val="left"/>
        </w:tabs>
        <w:numPr>
          <w:ilvl w:val="1"/>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Plan will be governed by the laws of the State of Delaware without resort to that state’s conflicts of laws rules.</w:t>
      </w:r>
    </w:p>
    <w:p>
      <w:pPr>
        <w:spacing w:after="0" w:line="219" w:lineRule="exact"/>
        <w:rPr>
          <w:rFonts w:ascii="Times New Roman" w:cs="Times New Roman" w:eastAsia="Times New Roman" w:hAnsi="Times New Roman"/>
          <w:sz w:val="18"/>
          <w:szCs w:val="18"/>
          <w:b w:val="1"/>
          <w:bCs w:val="1"/>
          <w:color w:val="auto"/>
        </w:rPr>
      </w:pPr>
    </w:p>
    <w:p>
      <w:pPr>
        <w:ind w:firstLine="647"/>
        <w:spacing w:after="0" w:line="277" w:lineRule="auto"/>
        <w:tabs>
          <w:tab w:leader="none" w:pos="1371" w:val="left"/>
        </w:tabs>
        <w:numPr>
          <w:ilvl w:val="1"/>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62" w:lineRule="exact"/>
        <w:rPr>
          <w:rFonts w:ascii="Times New Roman" w:cs="Times New Roman" w:eastAsia="Times New Roman" w:hAnsi="Times New Roman"/>
          <w:sz w:val="18"/>
          <w:szCs w:val="18"/>
          <w:b w:val="1"/>
          <w:bCs w:val="1"/>
          <w:color w:val="auto"/>
        </w:rPr>
      </w:pPr>
    </w:p>
    <w:p>
      <w:pPr>
        <w:ind w:left="1360" w:hanging="713"/>
        <w:spacing w:after="0"/>
        <w:tabs>
          <w:tab w:leader="none" w:pos="1360" w:val="left"/>
        </w:tabs>
        <w:numPr>
          <w:ilvl w:val="1"/>
          <w:numId w:val="2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any provision of the Plan does not comply with Applicable Law, such provision shall be construed in such a manner as to comply with</w:t>
      </w:r>
    </w:p>
    <w:p>
      <w:pPr>
        <w:spacing w:after="0" w:line="36"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Applicable Law.</w:t>
      </w:r>
    </w:p>
    <w:p>
      <w:pPr>
        <w:spacing w:after="0" w:line="196" w:lineRule="exact"/>
        <w:rPr>
          <w:rFonts w:ascii="Times New Roman" w:cs="Times New Roman" w:eastAsia="Times New Roman" w:hAnsi="Times New Roman"/>
          <w:sz w:val="17"/>
          <w:szCs w:val="17"/>
          <w:b w:val="1"/>
          <w:bCs w:val="1"/>
          <w:color w:val="auto"/>
        </w:rPr>
      </w:pPr>
    </w:p>
    <w:p>
      <w:pPr>
        <w:ind w:left="760" w:hanging="753"/>
        <w:spacing w:after="0"/>
        <w:tabs>
          <w:tab w:leader="none" w:pos="76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16" w:lineRule="exact"/>
        <w:rPr>
          <w:sz w:val="20"/>
          <w:szCs w:val="20"/>
          <w:color w:val="auto"/>
        </w:rPr>
      </w:pPr>
    </w:p>
    <w:p>
      <w:pPr>
        <w:ind w:right="240" w:firstLine="647"/>
        <w:spacing w:after="0" w:line="281" w:lineRule="auto"/>
        <w:tabs>
          <w:tab w:leader="none" w:pos="1381"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423 Component</w:t>
      </w:r>
      <w:r>
        <w:rPr>
          <w:rFonts w:ascii="Times New Roman" w:cs="Times New Roman" w:eastAsia="Times New Roman" w:hAnsi="Times New Roman"/>
          <w:sz w:val="18"/>
          <w:szCs w:val="18"/>
          <w:color w:val="auto"/>
        </w:rPr>
        <w:t>” means the part of the Plan, which excludes the Non-423 Component, pursuant to which Purchase Rights that satisfy the requirements for a Qualified Employee Stock Purchase Plan may be granted to Eligible Employees.</w:t>
      </w:r>
    </w:p>
    <w:p>
      <w:pPr>
        <w:spacing w:after="0" w:line="155" w:lineRule="exact"/>
        <w:rPr>
          <w:rFonts w:ascii="Times New Roman" w:cs="Times New Roman" w:eastAsia="Times New Roman" w:hAnsi="Times New Roman"/>
          <w:sz w:val="18"/>
          <w:szCs w:val="18"/>
          <w:b w:val="1"/>
          <w:bCs w:val="1"/>
          <w:color w:val="auto"/>
        </w:rPr>
      </w:pPr>
    </w:p>
    <w:p>
      <w:pPr>
        <w:ind w:right="500" w:firstLine="647"/>
        <w:spacing w:after="0" w:line="264" w:lineRule="auto"/>
        <w:tabs>
          <w:tab w:leader="none" w:pos="1391"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right="120" w:firstLine="647"/>
        <w:spacing w:after="0" w:line="258" w:lineRule="auto"/>
        <w:tabs>
          <w:tab w:leader="none" w:pos="1371"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shall mean the Code and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4" w:name="page255"/>
    <w:bookmarkEnd w:id="254"/>
    <w:p>
      <w:pPr>
        <w:ind w:left="1400" w:hanging="753"/>
        <w:spacing w:after="0"/>
        <w:tabs>
          <w:tab w:leader="none" w:pos="140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19" w:lineRule="exact"/>
        <w:rPr>
          <w:rFonts w:ascii="Times New Roman" w:cs="Times New Roman" w:eastAsia="Times New Roman" w:hAnsi="Times New Roman"/>
          <w:sz w:val="18"/>
          <w:szCs w:val="18"/>
          <w:b w:val="1"/>
          <w:bCs w:val="1"/>
          <w:color w:val="auto"/>
        </w:rPr>
      </w:pPr>
    </w:p>
    <w:p>
      <w:pPr>
        <w:ind w:firstLine="647"/>
        <w:spacing w:after="0" w:line="254" w:lineRule="auto"/>
        <w:tabs>
          <w:tab w:leader="none" w:pos="1371"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0" w:lineRule="exact"/>
        <w:rPr>
          <w:rFonts w:ascii="Times New Roman" w:cs="Times New Roman" w:eastAsia="Times New Roman" w:hAnsi="Times New Roman"/>
          <w:sz w:val="18"/>
          <w:szCs w:val="18"/>
          <w:b w:val="1"/>
          <w:bCs w:val="1"/>
          <w:color w:val="auto"/>
        </w:rPr>
      </w:pPr>
    </w:p>
    <w:p>
      <w:pPr>
        <w:ind w:left="1360" w:hanging="713"/>
        <w:spacing w:after="0"/>
        <w:tabs>
          <w:tab w:leader="none" w:pos="136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219" w:lineRule="exact"/>
        <w:rPr>
          <w:rFonts w:ascii="Times New Roman" w:cs="Times New Roman" w:eastAsia="Times New Roman" w:hAnsi="Times New Roman"/>
          <w:sz w:val="18"/>
          <w:szCs w:val="18"/>
          <w:b w:val="1"/>
          <w:bCs w:val="1"/>
          <w:color w:val="auto"/>
        </w:rPr>
      </w:pPr>
    </w:p>
    <w:p>
      <w:pPr>
        <w:ind w:left="1380" w:hanging="733"/>
        <w:spacing w:after="0"/>
        <w:tabs>
          <w:tab w:leader="none" w:pos="1380" w:val="left"/>
        </w:tabs>
        <w:numPr>
          <w:ilvl w:val="0"/>
          <w:numId w:val="2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means a committee of one or more members of the Board to whom authority has been delegated by the Board in accordance</w:t>
      </w:r>
    </w:p>
    <w:p>
      <w:pPr>
        <w:spacing w:after="0" w:line="40"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with Section 2(c).</w:t>
      </w:r>
    </w:p>
    <w:p>
      <w:pPr>
        <w:spacing w:after="0" w:line="196" w:lineRule="exact"/>
        <w:rPr>
          <w:rFonts w:ascii="Times New Roman" w:cs="Times New Roman" w:eastAsia="Times New Roman" w:hAnsi="Times New Roman"/>
          <w:sz w:val="17"/>
          <w:szCs w:val="17"/>
          <w:b w:val="1"/>
          <w:bCs w:val="1"/>
          <w:color w:val="auto"/>
        </w:rPr>
      </w:pPr>
    </w:p>
    <w:p>
      <w:pPr>
        <w:ind w:left="1400" w:hanging="753"/>
        <w:spacing w:after="0"/>
        <w:tabs>
          <w:tab w:leader="none" w:pos="140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219" w:lineRule="exact"/>
        <w:rPr>
          <w:rFonts w:ascii="Times New Roman" w:cs="Times New Roman" w:eastAsia="Times New Roman" w:hAnsi="Times New Roman"/>
          <w:sz w:val="18"/>
          <w:szCs w:val="18"/>
          <w:b w:val="1"/>
          <w:bCs w:val="1"/>
          <w:color w:val="auto"/>
        </w:rPr>
      </w:pPr>
    </w:p>
    <w:p>
      <w:pPr>
        <w:ind w:left="1340" w:hanging="693"/>
        <w:spacing w:after="0"/>
        <w:tabs>
          <w:tab w:leader="none" w:pos="134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TriSalus Life Sciences, Inc., a Delaware corporation.</w:t>
      </w:r>
    </w:p>
    <w:p>
      <w:pPr>
        <w:spacing w:after="0" w:line="219" w:lineRule="exact"/>
        <w:rPr>
          <w:rFonts w:ascii="Times New Roman" w:cs="Times New Roman" w:eastAsia="Times New Roman" w:hAnsi="Times New Roman"/>
          <w:sz w:val="18"/>
          <w:szCs w:val="18"/>
          <w:b w:val="1"/>
          <w:bCs w:val="1"/>
          <w:color w:val="auto"/>
        </w:rPr>
      </w:pPr>
    </w:p>
    <w:p>
      <w:pPr>
        <w:jc w:val="both"/>
        <w:ind w:right="180" w:firstLine="647"/>
        <w:spacing w:after="0" w:line="258" w:lineRule="auto"/>
        <w:tabs>
          <w:tab w:leader="none" w:pos="1352"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“Contributions</w:t>
      </w:r>
      <w:r>
        <w:rPr>
          <w:rFonts w:ascii="Times New Roman" w:cs="Times New Roman" w:eastAsia="Times New Roman" w:hAnsi="Times New Roman"/>
          <w:sz w:val="18"/>
          <w:szCs w:val="18"/>
          <w:color w:val="auto"/>
        </w:rPr>
        <w:t>” means the payroll deductions and other additional payments specifically provided for in the Offering that a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w:t>
      </w:r>
    </w:p>
    <w:p>
      <w:pPr>
        <w:spacing w:after="0" w:line="177" w:lineRule="exact"/>
        <w:rPr>
          <w:rFonts w:ascii="Times New Roman" w:cs="Times New Roman" w:eastAsia="Times New Roman" w:hAnsi="Times New Roman"/>
          <w:sz w:val="18"/>
          <w:szCs w:val="18"/>
          <w:b w:val="1"/>
          <w:bCs w:val="1"/>
          <w:color w:val="auto"/>
        </w:rPr>
      </w:pPr>
    </w:p>
    <w:p>
      <w:pPr>
        <w:ind w:left="1400" w:hanging="753"/>
        <w:spacing w:after="0"/>
        <w:tabs>
          <w:tab w:leader="none" w:pos="1400" w:val="left"/>
        </w:tabs>
        <w:numPr>
          <w:ilvl w:val="0"/>
          <w:numId w:val="2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means the consummation, in a single transaction or in a series of related transactions, of any one or more of the</w:t>
      </w:r>
    </w:p>
    <w:p>
      <w:pPr>
        <w:spacing w:after="0" w:line="40"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following events:</w:t>
      </w:r>
    </w:p>
    <w:p>
      <w:pPr>
        <w:spacing w:after="0" w:line="200" w:lineRule="exact"/>
        <w:rPr>
          <w:rFonts w:ascii="Times New Roman" w:cs="Times New Roman" w:eastAsia="Times New Roman" w:hAnsi="Times New Roman"/>
          <w:sz w:val="17"/>
          <w:szCs w:val="17"/>
          <w:b w:val="1"/>
          <w:bCs w:val="1"/>
          <w:color w:val="auto"/>
        </w:rPr>
      </w:pPr>
    </w:p>
    <w:p>
      <w:pPr>
        <w:ind w:right="40" w:firstLine="1288"/>
        <w:spacing w:after="0" w:line="277" w:lineRule="auto"/>
        <w:tabs>
          <w:tab w:leader="none" w:pos="1982" w:val="left"/>
        </w:tabs>
        <w:numPr>
          <w:ilvl w:val="1"/>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2" w:lineRule="exact"/>
        <w:rPr>
          <w:rFonts w:ascii="Times New Roman" w:cs="Times New Roman" w:eastAsia="Times New Roman" w:hAnsi="Times New Roman"/>
          <w:sz w:val="18"/>
          <w:szCs w:val="18"/>
          <w:b w:val="1"/>
          <w:bCs w:val="1"/>
          <w:color w:val="auto"/>
        </w:rPr>
      </w:pPr>
    </w:p>
    <w:p>
      <w:pPr>
        <w:ind w:left="2040" w:hanging="752"/>
        <w:spacing w:after="0"/>
        <w:tabs>
          <w:tab w:leader="none" w:pos="2040" w:val="left"/>
        </w:tabs>
        <w:numPr>
          <w:ilvl w:val="1"/>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19" w:lineRule="exact"/>
        <w:rPr>
          <w:rFonts w:ascii="Times New Roman" w:cs="Times New Roman" w:eastAsia="Times New Roman" w:hAnsi="Times New Roman"/>
          <w:sz w:val="18"/>
          <w:szCs w:val="18"/>
          <w:b w:val="1"/>
          <w:bCs w:val="1"/>
          <w:color w:val="auto"/>
        </w:rPr>
      </w:pPr>
    </w:p>
    <w:p>
      <w:pPr>
        <w:ind w:left="2080" w:hanging="792"/>
        <w:spacing w:after="0"/>
        <w:tabs>
          <w:tab w:leader="none" w:pos="2080" w:val="left"/>
        </w:tabs>
        <w:numPr>
          <w:ilvl w:val="1"/>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19" w:lineRule="exact"/>
        <w:rPr>
          <w:rFonts w:ascii="Times New Roman" w:cs="Times New Roman" w:eastAsia="Times New Roman" w:hAnsi="Times New Roman"/>
          <w:sz w:val="18"/>
          <w:szCs w:val="18"/>
          <w:b w:val="1"/>
          <w:bCs w:val="1"/>
          <w:color w:val="auto"/>
        </w:rPr>
      </w:pPr>
    </w:p>
    <w:p>
      <w:pPr>
        <w:ind w:right="440" w:firstLine="1288"/>
        <w:spacing w:after="0" w:line="262" w:lineRule="auto"/>
        <w:tabs>
          <w:tab w:leader="none" w:pos="2071" w:val="left"/>
        </w:tabs>
        <w:numPr>
          <w:ilvl w:val="1"/>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2" w:lineRule="exact"/>
        <w:rPr>
          <w:rFonts w:ascii="Times New Roman" w:cs="Times New Roman" w:eastAsia="Times New Roman" w:hAnsi="Times New Roman"/>
          <w:sz w:val="18"/>
          <w:szCs w:val="18"/>
          <w:b w:val="1"/>
          <w:bCs w:val="1"/>
          <w:color w:val="auto"/>
        </w:rPr>
      </w:pPr>
    </w:p>
    <w:p>
      <w:pPr>
        <w:ind w:left="1340" w:hanging="693"/>
        <w:spacing w:after="0"/>
        <w:tabs>
          <w:tab w:leader="none" w:pos="134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423 Company</w:t>
      </w:r>
      <w:r>
        <w:rPr>
          <w:rFonts w:ascii="Times New Roman" w:cs="Times New Roman" w:eastAsia="Times New Roman" w:hAnsi="Times New Roman"/>
          <w:sz w:val="18"/>
          <w:szCs w:val="18"/>
          <w:color w:val="auto"/>
        </w:rPr>
        <w:t>” means any Related Corporation selected by the Board as participating in the 423 Component.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5" w:name="page256"/>
    <w:bookmarkEnd w:id="255"/>
    <w:p>
      <w:pPr>
        <w:ind w:right="20" w:firstLine="647"/>
        <w:spacing w:after="0" w:line="281" w:lineRule="auto"/>
        <w:tabs>
          <w:tab w:leader="none" w:pos="144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Company</w:t>
      </w:r>
      <w:r>
        <w:rPr>
          <w:rFonts w:ascii="Times New Roman" w:cs="Times New Roman" w:eastAsia="Times New Roman" w:hAnsi="Times New Roman"/>
          <w:sz w:val="18"/>
          <w:szCs w:val="18"/>
          <w:color w:val="auto"/>
        </w:rPr>
        <w:t>” means any Designated Non-423 Corporation or Designated 423 Company, provided, however, that at any given time, a Related Corporation participating in the 423 Component shall not be a Related Corporation participating in the Non-423 Component.</w:t>
      </w:r>
    </w:p>
    <w:p>
      <w:pPr>
        <w:spacing w:after="0" w:line="155" w:lineRule="exact"/>
        <w:rPr>
          <w:rFonts w:ascii="Times New Roman" w:cs="Times New Roman" w:eastAsia="Times New Roman" w:hAnsi="Times New Roman"/>
          <w:sz w:val="18"/>
          <w:szCs w:val="18"/>
          <w:b w:val="1"/>
          <w:bCs w:val="1"/>
          <w:color w:val="auto"/>
        </w:rPr>
      </w:pPr>
    </w:p>
    <w:p>
      <w:pPr>
        <w:ind w:left="1400" w:hanging="753"/>
        <w:spacing w:after="0"/>
        <w:tabs>
          <w:tab w:leader="none" w:pos="140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Non-423 Company</w:t>
      </w:r>
      <w:r>
        <w:rPr>
          <w:rFonts w:ascii="Times New Roman" w:cs="Times New Roman" w:eastAsia="Times New Roman" w:hAnsi="Times New Roman"/>
          <w:sz w:val="18"/>
          <w:szCs w:val="18"/>
          <w:color w:val="auto"/>
        </w:rPr>
        <w:t>” means any Related Corporation or Affiliate selected by the Board as participating in the Non-423</w:t>
      </w:r>
    </w:p>
    <w:p>
      <w:pPr>
        <w:spacing w:after="0" w:line="2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w:t>
      </w:r>
    </w:p>
    <w:p>
      <w:pPr>
        <w:spacing w:after="0" w:line="196" w:lineRule="exact"/>
        <w:rPr>
          <w:rFonts w:ascii="Times New Roman" w:cs="Times New Roman" w:eastAsia="Times New Roman" w:hAnsi="Times New Roman"/>
          <w:sz w:val="18"/>
          <w:szCs w:val="18"/>
          <w:b w:val="1"/>
          <w:bCs w:val="1"/>
          <w:color w:val="auto"/>
        </w:rPr>
      </w:pPr>
    </w:p>
    <w:p>
      <w:pPr>
        <w:ind w:left="1380" w:hanging="733"/>
        <w:spacing w:after="0"/>
        <w:tabs>
          <w:tab w:leader="none" w:pos="138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19" w:lineRule="exact"/>
        <w:rPr>
          <w:rFonts w:ascii="Times New Roman" w:cs="Times New Roman" w:eastAsia="Times New Roman" w:hAnsi="Times New Roman"/>
          <w:sz w:val="18"/>
          <w:szCs w:val="18"/>
          <w:b w:val="1"/>
          <w:bCs w:val="1"/>
          <w:color w:val="auto"/>
        </w:rPr>
      </w:pPr>
    </w:p>
    <w:p>
      <w:pPr>
        <w:ind w:left="1400" w:hanging="753"/>
        <w:spacing w:after="0"/>
        <w:tabs>
          <w:tab w:leader="none" w:pos="140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effective date of this Plan, which is the date of the closing of the transactions contemplated by the Merger</w:t>
      </w:r>
    </w:p>
    <w:p>
      <w:pPr>
        <w:spacing w:after="0" w:line="2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w:t>
      </w:r>
    </w:p>
    <w:p>
      <w:pPr>
        <w:spacing w:after="0" w:line="196" w:lineRule="exact"/>
        <w:rPr>
          <w:rFonts w:ascii="Times New Roman" w:cs="Times New Roman" w:eastAsia="Times New Roman" w:hAnsi="Times New Roman"/>
          <w:sz w:val="18"/>
          <w:szCs w:val="18"/>
          <w:b w:val="1"/>
          <w:bCs w:val="1"/>
          <w:color w:val="auto"/>
        </w:rPr>
      </w:pPr>
    </w:p>
    <w:p>
      <w:pPr>
        <w:ind w:left="1400" w:hanging="753"/>
        <w:spacing w:after="0"/>
        <w:tabs>
          <w:tab w:leader="none" w:pos="140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shall have the meaning set forth in the Merger Agreement.</w:t>
      </w:r>
    </w:p>
    <w:p>
      <w:pPr>
        <w:spacing w:after="0" w:line="219" w:lineRule="exact"/>
        <w:rPr>
          <w:rFonts w:ascii="Times New Roman" w:cs="Times New Roman" w:eastAsia="Times New Roman" w:hAnsi="Times New Roman"/>
          <w:sz w:val="18"/>
          <w:szCs w:val="18"/>
          <w:b w:val="1"/>
          <w:bCs w:val="1"/>
          <w:color w:val="auto"/>
        </w:rPr>
      </w:pPr>
    </w:p>
    <w:p>
      <w:pPr>
        <w:ind w:right="100" w:firstLine="647"/>
        <w:spacing w:after="0" w:line="281" w:lineRule="auto"/>
        <w:tabs>
          <w:tab w:leader="none" w:pos="1371"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55" w:lineRule="exact"/>
        <w:rPr>
          <w:rFonts w:ascii="Times New Roman" w:cs="Times New Roman" w:eastAsia="Times New Roman" w:hAnsi="Times New Roman"/>
          <w:sz w:val="18"/>
          <w:szCs w:val="18"/>
          <w:b w:val="1"/>
          <w:bCs w:val="1"/>
          <w:color w:val="auto"/>
        </w:rPr>
      </w:pPr>
    </w:p>
    <w:p>
      <w:pPr>
        <w:jc w:val="both"/>
        <w:ind w:firstLine="647"/>
        <w:spacing w:after="0" w:line="264" w:lineRule="auto"/>
        <w:tabs>
          <w:tab w:leader="none" w:pos="1362"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170" w:lineRule="exact"/>
        <w:rPr>
          <w:rFonts w:ascii="Times New Roman" w:cs="Times New Roman" w:eastAsia="Times New Roman" w:hAnsi="Times New Roman"/>
          <w:sz w:val="18"/>
          <w:szCs w:val="18"/>
          <w:b w:val="1"/>
          <w:bCs w:val="1"/>
          <w:color w:val="auto"/>
        </w:rPr>
      </w:pPr>
    </w:p>
    <w:p>
      <w:pPr>
        <w:ind w:left="1360" w:hanging="713"/>
        <w:spacing w:after="0"/>
        <w:tabs>
          <w:tab w:leader="none" w:pos="136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19" w:lineRule="exact"/>
        <w:rPr>
          <w:rFonts w:ascii="Times New Roman" w:cs="Times New Roman" w:eastAsia="Times New Roman" w:hAnsi="Times New Roman"/>
          <w:sz w:val="18"/>
          <w:szCs w:val="18"/>
          <w:b w:val="1"/>
          <w:bCs w:val="1"/>
          <w:color w:val="auto"/>
        </w:rPr>
      </w:pPr>
    </w:p>
    <w:p>
      <w:pPr>
        <w:ind w:left="1400" w:hanging="753"/>
        <w:spacing w:after="0"/>
        <w:tabs>
          <w:tab w:leader="none" w:pos="140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223" w:lineRule="exact"/>
        <w:rPr>
          <w:rFonts w:ascii="Times New Roman" w:cs="Times New Roman" w:eastAsia="Times New Roman" w:hAnsi="Times New Roman"/>
          <w:sz w:val="18"/>
          <w:szCs w:val="18"/>
          <w:b w:val="1"/>
          <w:bCs w:val="1"/>
          <w:color w:val="auto"/>
        </w:rPr>
      </w:pPr>
    </w:p>
    <w:p>
      <w:pPr>
        <w:ind w:right="40" w:firstLine="1288"/>
        <w:spacing w:after="0" w:line="254" w:lineRule="auto"/>
        <w:tabs>
          <w:tab w:leader="none" w:pos="1982" w:val="left"/>
        </w:tabs>
        <w:numPr>
          <w:ilvl w:val="1"/>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85" w:lineRule="exact"/>
        <w:rPr>
          <w:rFonts w:ascii="Times New Roman" w:cs="Times New Roman" w:eastAsia="Times New Roman" w:hAnsi="Times New Roman"/>
          <w:sz w:val="18"/>
          <w:szCs w:val="18"/>
          <w:b w:val="1"/>
          <w:bCs w:val="1"/>
          <w:color w:val="auto"/>
        </w:rPr>
      </w:pPr>
    </w:p>
    <w:p>
      <w:pPr>
        <w:jc w:val="both"/>
        <w:ind w:right="160" w:firstLine="1288"/>
        <w:spacing w:after="0" w:line="262" w:lineRule="auto"/>
        <w:tabs>
          <w:tab w:leader="none" w:pos="2032" w:val="left"/>
        </w:tabs>
        <w:numPr>
          <w:ilvl w:val="1"/>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spacing w:after="0" w:line="172" w:lineRule="exact"/>
        <w:rPr>
          <w:rFonts w:ascii="Times New Roman" w:cs="Times New Roman" w:eastAsia="Times New Roman" w:hAnsi="Times New Roman"/>
          <w:sz w:val="18"/>
          <w:szCs w:val="18"/>
          <w:b w:val="1"/>
          <w:bCs w:val="1"/>
          <w:color w:val="auto"/>
        </w:rPr>
      </w:pPr>
    </w:p>
    <w:p>
      <w:pPr>
        <w:jc w:val="both"/>
        <w:ind w:right="160" w:firstLine="647"/>
        <w:spacing w:after="0" w:line="264" w:lineRule="auto"/>
        <w:tabs>
          <w:tab w:leader="none" w:pos="1381"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Fully Diluted Common Stock</w:t>
      </w:r>
      <w:r>
        <w:rPr>
          <w:rFonts w:ascii="Times New Roman" w:cs="Times New Roman" w:eastAsia="Times New Roman" w:hAnsi="Times New Roman"/>
          <w:sz w:val="18"/>
          <w:szCs w:val="18"/>
          <w:color w:val="auto"/>
        </w:rPr>
        <w:t>” means the number of shares of Common Stock, determined as of the applicable time of measurement, equal to the sum of (i) the total number of shares of Common Stock issued and outstanding and (ii) the total number of shares of Common Stock subject to securities that are convertible into or exercisable for shares of Common Stock (whether vested or unvested).</w:t>
      </w:r>
    </w:p>
    <w:p>
      <w:pPr>
        <w:spacing w:after="0" w:line="170" w:lineRule="exact"/>
        <w:rPr>
          <w:rFonts w:ascii="Times New Roman" w:cs="Times New Roman" w:eastAsia="Times New Roman" w:hAnsi="Times New Roman"/>
          <w:sz w:val="18"/>
          <w:szCs w:val="18"/>
          <w:b w:val="1"/>
          <w:bCs w:val="1"/>
          <w:color w:val="auto"/>
        </w:rPr>
      </w:pPr>
    </w:p>
    <w:p>
      <w:pPr>
        <w:ind w:firstLine="647"/>
        <w:spacing w:after="0" w:line="254" w:lineRule="auto"/>
        <w:tabs>
          <w:tab w:leader="none" w:pos="1421"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New York Stock Exchange, the NASDAQ Stock Market and the Financial Industry Regulatory Authority).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56" w:name="page257"/>
    <w:bookmarkEnd w:id="256"/>
    <w:p>
      <w:pPr>
        <w:ind w:right="500" w:firstLine="647"/>
        <w:spacing w:after="0" w:line="264" w:lineRule="auto"/>
        <w:tabs>
          <w:tab w:leader="none" w:pos="1381"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means that certain Agreement and Plan of Merger, dated as of November 11, 2022, by and among MedTech Acquisition Corporation, a Delaware corporation (“</w:t>
      </w:r>
      <w:r>
        <w:rPr>
          <w:rFonts w:ascii="Times New Roman" w:cs="Times New Roman" w:eastAsia="Times New Roman" w:hAnsi="Times New Roman"/>
          <w:sz w:val="18"/>
          <w:szCs w:val="18"/>
          <w:b w:val="1"/>
          <w:bCs w:val="1"/>
          <w:i w:val="1"/>
          <w:iCs w:val="1"/>
          <w:color w:val="auto"/>
        </w:rPr>
        <w:t>MTAC</w:t>
      </w:r>
      <w:r>
        <w:rPr>
          <w:rFonts w:ascii="Times New Roman" w:cs="Times New Roman" w:eastAsia="Times New Roman" w:hAnsi="Times New Roman"/>
          <w:sz w:val="18"/>
          <w:szCs w:val="18"/>
          <w:color w:val="auto"/>
        </w:rPr>
        <w:t>”), MTAC Merger Sub, Inc., a Delaware corporation and direct, wholly owned subsidiary of MTAC, and TriSalus Life Sciences, Inc., a Delaware corporation.</w:t>
      </w:r>
    </w:p>
    <w:p>
      <w:pPr>
        <w:spacing w:after="0" w:line="170" w:lineRule="exact"/>
        <w:rPr>
          <w:rFonts w:ascii="Times New Roman" w:cs="Times New Roman" w:eastAsia="Times New Roman" w:hAnsi="Times New Roman"/>
          <w:sz w:val="18"/>
          <w:szCs w:val="18"/>
          <w:b w:val="1"/>
          <w:bCs w:val="1"/>
          <w:color w:val="auto"/>
        </w:rPr>
      </w:pPr>
    </w:p>
    <w:p>
      <w:pPr>
        <w:ind w:right="200" w:firstLine="647"/>
        <w:spacing w:after="0" w:line="281" w:lineRule="auto"/>
        <w:tabs>
          <w:tab w:leader="none" w:pos="1381"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Non-423 Component</w:t>
      </w:r>
      <w:r>
        <w:rPr>
          <w:rFonts w:ascii="Times New Roman" w:cs="Times New Roman" w:eastAsia="Times New Roman" w:hAnsi="Times New Roman"/>
          <w:sz w:val="18"/>
          <w:szCs w:val="18"/>
          <w:color w:val="auto"/>
        </w:rPr>
        <w:t>” means the part of the Plan, which excludes the 423 Component, pursuant to which Purchase Rights that are not intended to satisfy the requirements for a Qualified Employee Stock Purchase Plan may be granted to Eligible Employees.</w:t>
      </w:r>
    </w:p>
    <w:p>
      <w:pPr>
        <w:spacing w:after="0" w:line="155" w:lineRule="exact"/>
        <w:rPr>
          <w:rFonts w:ascii="Times New Roman" w:cs="Times New Roman" w:eastAsia="Times New Roman" w:hAnsi="Times New Roman"/>
          <w:sz w:val="18"/>
          <w:szCs w:val="18"/>
          <w:b w:val="1"/>
          <w:bCs w:val="1"/>
          <w:color w:val="auto"/>
        </w:rPr>
      </w:pPr>
    </w:p>
    <w:p>
      <w:pPr>
        <w:jc w:val="both"/>
        <w:ind w:right="40" w:firstLine="647"/>
        <w:spacing w:after="0" w:line="264" w:lineRule="auto"/>
        <w:tabs>
          <w:tab w:leader="none" w:pos="1371"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cs="Times New Roman" w:eastAsia="Times New Roman" w:hAnsi="Times New Roman"/>
          <w:sz w:val="18"/>
          <w:szCs w:val="18"/>
          <w:b w:val="1"/>
          <w:bCs w:val="1"/>
          <w:i w:val="1"/>
          <w:iCs w:val="1"/>
          <w:color w:val="auto"/>
        </w:rPr>
        <w:t>Offering Document</w:t>
      </w:r>
      <w:r>
        <w:rPr>
          <w:rFonts w:ascii="Times New Roman" w:cs="Times New Roman" w:eastAsia="Times New Roman" w:hAnsi="Times New Roman"/>
          <w:sz w:val="18"/>
          <w:szCs w:val="18"/>
          <w:color w:val="auto"/>
        </w:rPr>
        <w:t>” approved by the Board for that Offering.</w:t>
      </w:r>
    </w:p>
    <w:p>
      <w:pPr>
        <w:spacing w:after="0" w:line="171" w:lineRule="exact"/>
        <w:rPr>
          <w:sz w:val="20"/>
          <w:szCs w:val="20"/>
          <w:color w:val="auto"/>
        </w:rPr>
      </w:pPr>
    </w:p>
    <w:p>
      <w:pPr>
        <w:ind w:left="1220" w:hanging="573"/>
        <w:spacing w:after="0"/>
        <w:tabs>
          <w:tab w:leader="none" w:pos="122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means a date selected by the Board for an Offering to commence.</w:t>
      </w:r>
    </w:p>
    <w:p>
      <w:pPr>
        <w:spacing w:after="0" w:line="219" w:lineRule="exact"/>
        <w:rPr>
          <w:rFonts w:ascii="Times New Roman" w:cs="Times New Roman" w:eastAsia="Times New Roman" w:hAnsi="Times New Roman"/>
          <w:sz w:val="18"/>
          <w:szCs w:val="18"/>
          <w:b w:val="1"/>
          <w:bCs w:val="1"/>
          <w:color w:val="auto"/>
        </w:rPr>
      </w:pPr>
    </w:p>
    <w:p>
      <w:pPr>
        <w:ind w:left="1240" w:hanging="593"/>
        <w:spacing w:after="0"/>
        <w:tabs>
          <w:tab w:leader="none" w:pos="124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or a Related Corporation within the meaning of Section 16 of the Exchange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97" w:lineRule="exact"/>
        <w:rPr>
          <w:sz w:val="20"/>
          <w:szCs w:val="20"/>
          <w:color w:val="auto"/>
        </w:rPr>
      </w:pPr>
    </w:p>
    <w:p>
      <w:pPr>
        <w:ind w:left="1200" w:hanging="553"/>
        <w:spacing w:after="0"/>
        <w:tabs>
          <w:tab w:leader="none" w:pos="120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Eligible Employee who holds an outstanding Purchase Right.</w:t>
      </w:r>
    </w:p>
    <w:p>
      <w:pPr>
        <w:spacing w:after="0" w:line="219" w:lineRule="exact"/>
        <w:rPr>
          <w:rFonts w:ascii="Times New Roman" w:cs="Times New Roman" w:eastAsia="Times New Roman" w:hAnsi="Times New Roman"/>
          <w:sz w:val="18"/>
          <w:szCs w:val="18"/>
          <w:b w:val="1"/>
          <w:bCs w:val="1"/>
          <w:color w:val="auto"/>
        </w:rPr>
      </w:pPr>
    </w:p>
    <w:p>
      <w:pPr>
        <w:ind w:right="100" w:firstLine="647"/>
        <w:spacing w:after="0" w:line="281" w:lineRule="auto"/>
        <w:tabs>
          <w:tab w:leader="none" w:pos="1223"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TriSalus Life Sciences, Inc. 2022 Employee Stock Purchase Plan, as amended from time to time, including both the 423 Component and the Non-423 Component.</w:t>
      </w:r>
    </w:p>
    <w:p>
      <w:pPr>
        <w:spacing w:after="0" w:line="155" w:lineRule="exact"/>
        <w:rPr>
          <w:rFonts w:ascii="Times New Roman" w:cs="Times New Roman" w:eastAsia="Times New Roman" w:hAnsi="Times New Roman"/>
          <w:sz w:val="18"/>
          <w:szCs w:val="18"/>
          <w:b w:val="1"/>
          <w:bCs w:val="1"/>
          <w:color w:val="auto"/>
        </w:rPr>
      </w:pPr>
    </w:p>
    <w:p>
      <w:pPr>
        <w:ind w:right="360" w:firstLine="647"/>
        <w:spacing w:after="0" w:line="281" w:lineRule="auto"/>
        <w:tabs>
          <w:tab w:leader="none" w:pos="1183"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Date</w:t>
      </w:r>
      <w:r>
        <w:rPr>
          <w:rFonts w:ascii="Times New Roman" w:cs="Times New Roman" w:eastAsia="Times New Roman" w:hAnsi="Times New Roman"/>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55" w:lineRule="exact"/>
        <w:rPr>
          <w:rFonts w:ascii="Times New Roman" w:cs="Times New Roman" w:eastAsia="Times New Roman" w:hAnsi="Times New Roman"/>
          <w:sz w:val="18"/>
          <w:szCs w:val="18"/>
          <w:b w:val="1"/>
          <w:bCs w:val="1"/>
          <w:color w:val="auto"/>
        </w:rPr>
      </w:pPr>
    </w:p>
    <w:p>
      <w:pPr>
        <w:ind w:firstLine="647"/>
        <w:spacing w:after="0" w:line="281" w:lineRule="auto"/>
        <w:tabs>
          <w:tab w:leader="none" w:pos="1144"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55" w:lineRule="exact"/>
        <w:rPr>
          <w:rFonts w:ascii="Times New Roman" w:cs="Times New Roman" w:eastAsia="Times New Roman" w:hAnsi="Times New Roman"/>
          <w:sz w:val="18"/>
          <w:szCs w:val="18"/>
          <w:b w:val="1"/>
          <w:bCs w:val="1"/>
          <w:color w:val="auto"/>
        </w:rPr>
      </w:pPr>
    </w:p>
    <w:p>
      <w:pPr>
        <w:ind w:left="1220" w:hanging="573"/>
        <w:spacing w:after="0"/>
        <w:tabs>
          <w:tab w:leader="none" w:pos="122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Right</w:t>
      </w:r>
      <w:r>
        <w:rPr>
          <w:rFonts w:ascii="Times New Roman" w:cs="Times New Roman" w:eastAsia="Times New Roman" w:hAnsi="Times New Roman"/>
          <w:sz w:val="18"/>
          <w:szCs w:val="18"/>
          <w:color w:val="auto"/>
        </w:rPr>
        <w:t>” means an option to purchase shares of Common Stock granted pursuant to the Plan.</w:t>
      </w:r>
    </w:p>
    <w:p>
      <w:pPr>
        <w:spacing w:after="0" w:line="219" w:lineRule="exact"/>
        <w:rPr>
          <w:rFonts w:ascii="Times New Roman" w:cs="Times New Roman" w:eastAsia="Times New Roman" w:hAnsi="Times New Roman"/>
          <w:sz w:val="18"/>
          <w:szCs w:val="18"/>
          <w:b w:val="1"/>
          <w:bCs w:val="1"/>
          <w:color w:val="auto"/>
        </w:rPr>
      </w:pPr>
    </w:p>
    <w:p>
      <w:pPr>
        <w:ind w:right="260" w:firstLine="647"/>
        <w:spacing w:after="0" w:line="281" w:lineRule="auto"/>
        <w:tabs>
          <w:tab w:leader="none" w:pos="1223"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Employee Stock Purchase Plan</w:t>
      </w:r>
      <w:r>
        <w:rPr>
          <w:rFonts w:ascii="Times New Roman" w:cs="Times New Roman" w:eastAsia="Times New Roman" w:hAnsi="Times New Roman"/>
          <w:sz w:val="18"/>
          <w:szCs w:val="18"/>
          <w:color w:val="auto"/>
        </w:rPr>
        <w:t>” means a plan that grants Purchase Rights intended to be options issued under an “employee stock purchase plan,” as that term is defined in Section 423(b) of the Code.</w:t>
      </w:r>
    </w:p>
    <w:p>
      <w:pPr>
        <w:spacing w:after="0" w:line="155" w:lineRule="exact"/>
        <w:rPr>
          <w:rFonts w:ascii="Times New Roman" w:cs="Times New Roman" w:eastAsia="Times New Roman" w:hAnsi="Times New Roman"/>
          <w:sz w:val="18"/>
          <w:szCs w:val="18"/>
          <w:b w:val="1"/>
          <w:bCs w:val="1"/>
          <w:color w:val="auto"/>
        </w:rPr>
      </w:pPr>
    </w:p>
    <w:p>
      <w:pPr>
        <w:ind w:right="540" w:firstLine="647"/>
        <w:spacing w:after="0" w:line="281" w:lineRule="auto"/>
        <w:tabs>
          <w:tab w:leader="none" w:pos="1391"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Corporation</w:t>
      </w:r>
      <w:r>
        <w:rPr>
          <w:rFonts w:ascii="Times New Roman" w:cs="Times New Roman" w:eastAsia="Times New Roman" w:hAnsi="Times New Roman"/>
          <w:sz w:val="18"/>
          <w:szCs w:val="18"/>
          <w:color w:val="auto"/>
        </w:rPr>
        <w:t>” means any “parent corporation” or “subsidiary corporation” of the Company whether now or subsequently established, as those terms are defined in Sections 424(e) and (f), respectively, of the Code.</w:t>
      </w:r>
    </w:p>
    <w:p>
      <w:pPr>
        <w:spacing w:after="0" w:line="155" w:lineRule="exact"/>
        <w:rPr>
          <w:rFonts w:ascii="Times New Roman" w:cs="Times New Roman" w:eastAsia="Times New Roman" w:hAnsi="Times New Roman"/>
          <w:sz w:val="18"/>
          <w:szCs w:val="18"/>
          <w:b w:val="1"/>
          <w:bCs w:val="1"/>
          <w:color w:val="auto"/>
        </w:rPr>
      </w:pPr>
    </w:p>
    <w:p>
      <w:pPr>
        <w:ind w:left="1160" w:hanging="513"/>
        <w:spacing w:after="0"/>
        <w:tabs>
          <w:tab w:leader="none" w:pos="116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7" w:name="page258"/>
    <w:bookmarkEnd w:id="257"/>
    <w:p>
      <w:pPr>
        <w:jc w:val="both"/>
        <w:ind w:left="-40" w:right="60" w:firstLine="647"/>
        <w:spacing w:after="0" w:line="264" w:lineRule="auto"/>
        <w:tabs>
          <w:tab w:leader="none" w:pos="1183"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70" w:lineRule="exact"/>
        <w:rPr>
          <w:rFonts w:ascii="Times New Roman" w:cs="Times New Roman" w:eastAsia="Times New Roman" w:hAnsi="Times New Roman"/>
          <w:sz w:val="18"/>
          <w:szCs w:val="18"/>
          <w:b w:val="1"/>
          <w:bCs w:val="1"/>
          <w:color w:val="auto"/>
        </w:rPr>
      </w:pPr>
    </w:p>
    <w:p>
      <w:pPr>
        <w:jc w:val="both"/>
        <w:ind w:left="-40" w:firstLine="647"/>
        <w:spacing w:after="0" w:line="264" w:lineRule="auto"/>
        <w:tabs>
          <w:tab w:leader="none" w:pos="1084"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15875</wp:posOffset>
            </wp:positionV>
            <wp:extent cx="71342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60" w:top="891" w:right="37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b w:val="1"/>
          <w:bCs w:val="1"/>
          <w:color w:val="auto"/>
        </w:rPr>
        <w:t>Exhibit J</w:t>
      </w:r>
    </w:p>
    <w:p>
      <w:pPr>
        <w:spacing w:after="0" w:line="22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w:t>
      </w:r>
    </w:p>
    <w:p>
      <w:pPr>
        <w:sectPr>
          <w:pgSz w:w="11900" w:h="16838" w:orient="portrait"/>
          <w:cols w:equalWidth="0" w:num="1">
            <w:col w:w="11240"/>
          </w:cols>
          <w:pgMar w:left="320" w:top="678"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 Up to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Dated as of November [●], 2022</w:t>
      </w:r>
    </w:p>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97" w:lineRule="exact"/>
        <w:rPr>
          <w:sz w:val="20"/>
          <w:szCs w:val="20"/>
          <w:color w:val="auto"/>
        </w:rPr>
      </w:pPr>
    </w:p>
    <w:p>
      <w:pPr>
        <w:sectPr>
          <w:pgSz w:w="11900" w:h="16838" w:orient="portrait"/>
          <w:cols w:equalWidth="0" w:num="2">
            <w:col w:w="8200" w:space="720"/>
            <w:col w:w="2320"/>
          </w:cols>
          <w:pgMar w:left="320" w:top="678" w:right="339" w:bottom="1440" w:gutter="0" w:footer="0" w:header="0"/>
          <w:type w:val="continuous"/>
        </w:sectPr>
      </w:pPr>
    </w:p>
    <w:p>
      <w:pPr>
        <w:ind w:right="100" w:firstLine="640"/>
        <w:spacing w:after="0" w:line="258" w:lineRule="auto"/>
        <w:rPr>
          <w:sz w:val="20"/>
          <w:szCs w:val="20"/>
          <w:color w:val="auto"/>
        </w:rPr>
      </w:pPr>
      <w:r>
        <w:rPr>
          <w:rFonts w:ascii="Times New Roman" w:cs="Times New Roman" w:eastAsia="Times New Roman" w:hAnsi="Times New Roman"/>
          <w:sz w:val="18"/>
          <w:szCs w:val="18"/>
          <w:color w:val="auto"/>
        </w:rPr>
        <w:t>MedTech Acquisition Corporation, a special purpose acquisition company incorporated as a Delaware corporation (the “</w:t>
      </w:r>
      <w:r>
        <w:rPr>
          <w:rFonts w:ascii="Times New Roman" w:cs="Times New Roman" w:eastAsia="Times New Roman" w:hAnsi="Times New Roman"/>
          <w:sz w:val="18"/>
          <w:szCs w:val="18"/>
          <w:b w:val="1"/>
          <w:bCs w:val="1"/>
          <w:color w:val="auto"/>
        </w:rPr>
        <w:t>Maker</w:t>
      </w:r>
      <w:r>
        <w:rPr>
          <w:rFonts w:ascii="Times New Roman" w:cs="Times New Roman" w:eastAsia="Times New Roman" w:hAnsi="Times New Roman"/>
          <w:sz w:val="18"/>
          <w:szCs w:val="18"/>
          <w:color w:val="auto"/>
        </w:rPr>
        <w:t>”), promises to pay to the order of [●], or its registered assigns or successors in interest (the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or order, the principal sum of up to $[●] in lawful money of the United States of America, on the terms and conditions described below. All payments on this Note shall be made by check or wire transfer of immediately available funds to such account as the Payee may from time to time designate by written notice in accordance with the provisions of this Note.</w:t>
      </w:r>
    </w:p>
    <w:p>
      <w:pPr>
        <w:spacing w:after="0" w:line="177" w:lineRule="exact"/>
        <w:rPr>
          <w:sz w:val="20"/>
          <w:szCs w:val="20"/>
          <w:color w:val="auto"/>
        </w:rPr>
      </w:pPr>
    </w:p>
    <w:p>
      <w:pPr>
        <w:ind w:right="40" w:firstLine="7"/>
        <w:spacing w:after="0" w:line="281" w:lineRule="auto"/>
        <w:tabs>
          <w:tab w:leader="none" w:pos="445"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18"/>
          <w:szCs w:val="18"/>
          <w:color w:val="auto"/>
        </w:rPr>
        <w:t>The principal balance of this Note shall be due and payable by the Maker (such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subject to Section 12 below,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consummation of the Maker’s proposed initial business combination and (b) the date of the liquidation of the Maker.</w:t>
      </w:r>
    </w:p>
    <w:p>
      <w:pPr>
        <w:spacing w:after="0" w:line="155" w:lineRule="exact"/>
        <w:rPr>
          <w:rFonts w:ascii="Times New Roman" w:cs="Times New Roman" w:eastAsia="Times New Roman" w:hAnsi="Times New Roman"/>
          <w:sz w:val="18"/>
          <w:szCs w:val="18"/>
          <w:b w:val="1"/>
          <w:bCs w:val="1"/>
          <w:color w:val="auto"/>
        </w:rPr>
      </w:pPr>
    </w:p>
    <w:p>
      <w:pPr>
        <w:ind w:left="460" w:hanging="453"/>
        <w:spacing w:after="0"/>
        <w:tabs>
          <w:tab w:leader="none" w:pos="460"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No interest shall accrue on the unpaid principal balance of this Note.</w:t>
      </w:r>
    </w:p>
    <w:p>
      <w:pPr>
        <w:spacing w:after="0" w:line="219" w:lineRule="exact"/>
        <w:rPr>
          <w:rFonts w:ascii="Times New Roman" w:cs="Times New Roman" w:eastAsia="Times New Roman" w:hAnsi="Times New Roman"/>
          <w:sz w:val="18"/>
          <w:szCs w:val="18"/>
          <w:b w:val="1"/>
          <w:bCs w:val="1"/>
          <w:color w:val="auto"/>
        </w:rPr>
      </w:pPr>
    </w:p>
    <w:p>
      <w:pPr>
        <w:ind w:right="80" w:firstLine="7"/>
        <w:spacing w:after="0" w:line="269" w:lineRule="auto"/>
        <w:tabs>
          <w:tab w:leader="none" w:pos="445" w:val="left"/>
        </w:tabs>
        <w:numPr>
          <w:ilvl w:val="0"/>
          <w:numId w:val="2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Drawdown Requests. </w:t>
      </w:r>
      <w:r>
        <w:rPr>
          <w:rFonts w:ascii="Times New Roman" w:cs="Times New Roman" w:eastAsia="Times New Roman" w:hAnsi="Times New Roman"/>
          <w:sz w:val="17"/>
          <w:szCs w:val="17"/>
          <w:color w:val="auto"/>
        </w:rPr>
        <w:t>The Payee will fund up to $[●] into the trust account of the Maker established in connection with its initial public offering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currently maintained by Continental Stock Transfer &amp; Trust Company, a New York corporation (the “</w:t>
      </w:r>
      <w:r>
        <w:rPr>
          <w:rFonts w:ascii="Times New Roman" w:cs="Times New Roman" w:eastAsia="Times New Roman" w:hAnsi="Times New Roman"/>
          <w:sz w:val="17"/>
          <w:szCs w:val="17"/>
          <w:b w:val="1"/>
          <w:bCs w:val="1"/>
          <w:color w:val="auto"/>
        </w:rPr>
        <w:t>Trust Account</w:t>
      </w:r>
      <w:r>
        <w:rPr>
          <w:rFonts w:ascii="Times New Roman" w:cs="Times New Roman" w:eastAsia="Times New Roman" w:hAnsi="Times New Roman"/>
          <w:sz w:val="17"/>
          <w:szCs w:val="17"/>
          <w:color w:val="auto"/>
        </w:rPr>
        <w:t>”), such amounts to be for the benefit of the holders of the Maker’s unredeemed shares of Class A common stock upon redemption or liquidation of the Maker in accordance with the Maker’s amended and restated certificate of incorporation, as amended. The principal of this Note may be drawn down in six equal amounts of $[●] per withdraw,</w:t>
      </w:r>
    </w:p>
    <w:p>
      <w:pPr>
        <w:spacing w:after="0" w:line="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7"/>
          <w:szCs w:val="17"/>
          <w:color w:val="auto"/>
        </w:rPr>
        <w:t>between the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xml:space="preserve"> and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of each month (or portion thereof) from December 2022 through June 2023 (provided that the first withdrawal hereunder may be made concurrently with the execution hereof), up until the date on which the Maker consummates its initial business combination, upon written request from</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7"/>
          <w:szCs w:val="17"/>
          <w:color w:val="auto"/>
        </w:rPr>
        <w:t>the Maker to the Payee (each, a “</w:t>
      </w:r>
      <w:r>
        <w:rPr>
          <w:rFonts w:ascii="Times New Roman" w:cs="Times New Roman" w:eastAsia="Times New Roman" w:hAnsi="Times New Roman"/>
          <w:sz w:val="17"/>
          <w:szCs w:val="17"/>
          <w:b w:val="1"/>
          <w:bCs w:val="1"/>
          <w:color w:val="auto"/>
        </w:rPr>
        <w:t>Drawdown Request</w:t>
      </w:r>
      <w:r>
        <w:rPr>
          <w:rFonts w:ascii="Times New Roman" w:cs="Times New Roman" w:eastAsia="Times New Roman" w:hAnsi="Times New Roman"/>
          <w:sz w:val="17"/>
          <w:szCs w:val="17"/>
          <w:color w:val="auto"/>
        </w:rPr>
        <w:t>”). Each Drawdown Request must be made before the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of each applicable monthly period (provided that, with respect to the first Drawdown Request hereunder, such Drawdown Request may be made concurrently with the execution hereof), and state the amount to be drawn down. The Payee, in its sole discretion, shall fund each Drawdown Request via a wire transfer directly to the Trust Account no later than</w:t>
      </w:r>
    </w:p>
    <w:p>
      <w:pPr>
        <w:ind w:right="260"/>
        <w:spacing w:after="0" w:line="218" w:lineRule="auto"/>
        <w:rPr>
          <w:sz w:val="20"/>
          <w:szCs w:val="20"/>
          <w:color w:val="auto"/>
        </w:rPr>
      </w:pPr>
      <w:r>
        <w:rPr>
          <w:rFonts w:ascii="Times New Roman" w:cs="Times New Roman" w:eastAsia="Times New Roman" w:hAnsi="Times New Roman"/>
          <w:sz w:val="18"/>
          <w:szCs w:val="18"/>
          <w:color w:val="auto"/>
        </w:rPr>
        <w:t>the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each appliable monthly period;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maximum amount of drawdowns collectively under this Note shall not exceed $[●]. Once an amount is drawn down under this Note, it shall not be available for future Drawdown Requests. Except as set forth herein, no fees, payments or other amounts shall be due to the Payee in connection with, or as a result of, any Drawdown Request by the Maker.</w:t>
      </w:r>
    </w:p>
    <w:p>
      <w:pPr>
        <w:spacing w:after="0" w:line="192" w:lineRule="exact"/>
        <w:rPr>
          <w:sz w:val="20"/>
          <w:szCs w:val="20"/>
          <w:color w:val="auto"/>
        </w:rPr>
      </w:pPr>
    </w:p>
    <w:p>
      <w:pPr>
        <w:ind w:right="60" w:firstLine="7"/>
        <w:spacing w:after="0" w:line="264" w:lineRule="auto"/>
        <w:tabs>
          <w:tab w:leader="none" w:pos="435"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of Payments. </w:t>
      </w:r>
      <w:r>
        <w:rPr>
          <w:rFonts w:ascii="Times New Roman" w:cs="Times New Roman" w:eastAsia="Times New Roman" w:hAnsi="Times New Roman"/>
          <w:sz w:val="18"/>
          <w:szCs w:val="18"/>
          <w:color w:val="auto"/>
        </w:rPr>
        <w:t>All payments shall be applied first to payment in full of any costs incurred in the collection of any sum due under this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reasonable attorneys’ fees, and then to the payment in full of any late charges and finally to the reduction of the unpaid principal balance of this Note.</w:t>
      </w:r>
    </w:p>
    <w:p>
      <w:pPr>
        <w:spacing w:after="0" w:line="170" w:lineRule="exact"/>
        <w:rPr>
          <w:rFonts w:ascii="Times New Roman" w:cs="Times New Roman" w:eastAsia="Times New Roman" w:hAnsi="Times New Roman"/>
          <w:sz w:val="18"/>
          <w:szCs w:val="18"/>
          <w:b w:val="1"/>
          <w:bCs w:val="1"/>
          <w:color w:val="auto"/>
        </w:rPr>
      </w:pPr>
    </w:p>
    <w:p>
      <w:pPr>
        <w:ind w:left="460" w:hanging="453"/>
        <w:spacing w:after="0"/>
        <w:tabs>
          <w:tab w:leader="none" w:pos="46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The following shall constitute an event of default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b w:val="1"/>
          <w:bCs w:val="1"/>
          <w:color w:val="auto"/>
        </w:rPr>
      </w:pPr>
    </w:p>
    <w:p>
      <w:pPr>
        <w:ind w:firstLine="647"/>
        <w:spacing w:after="0" w:line="277" w:lineRule="auto"/>
        <w:tabs>
          <w:tab w:leader="none" w:pos="1149"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Required Payments</w:t>
      </w:r>
      <w:r>
        <w:rPr>
          <w:rFonts w:ascii="Times New Roman" w:cs="Times New Roman" w:eastAsia="Times New Roman" w:hAnsi="Times New Roman"/>
          <w:sz w:val="18"/>
          <w:szCs w:val="18"/>
          <w:color w:val="auto"/>
        </w:rPr>
        <w:t>. Failure by the Maker to pay the principal amount due pursuant to this Note within five (5) business days of the Maturity Date.</w:t>
      </w:r>
    </w:p>
    <w:p>
      <w:pPr>
        <w:spacing w:after="0" w:line="162" w:lineRule="exact"/>
        <w:rPr>
          <w:rFonts w:ascii="Times New Roman" w:cs="Times New Roman" w:eastAsia="Times New Roman" w:hAnsi="Times New Roman"/>
          <w:sz w:val="18"/>
          <w:szCs w:val="18"/>
          <w:color w:val="auto"/>
        </w:rPr>
      </w:pPr>
    </w:p>
    <w:p>
      <w:pPr>
        <w:ind w:right="80" w:firstLine="647"/>
        <w:spacing w:after="0" w:line="254" w:lineRule="auto"/>
        <w:tabs>
          <w:tab w:leader="none" w:pos="1159"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Etc</w:t>
      </w:r>
      <w:r>
        <w:rPr>
          <w:rFonts w:ascii="Times New Roman" w:cs="Times New Roman" w:eastAsia="Times New Roman" w:hAnsi="Times New Roman"/>
          <w:sz w:val="18"/>
          <w:szCs w:val="18"/>
          <w:color w:val="auto"/>
        </w:rPr>
        <w:t>. The commencement by the Maker of a voluntary case under any applicable bankruptcy, insolvency, reorganization, rehabilitation or other similar law, or the consent by it to the appointment of or taking possession by a receiver, liquidator, assignee, trustee, custodian, sequestrator (or other similar official) of the Maker or for any substantial part of its property, or the making by it of any assignment for the benefit of creditors, or the failure of the Maker generally to pay its debts as such debts become due, or the taking of corporate action by the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259" w:name="page260"/>
    <w:bookmarkEnd w:id="259"/>
    <w:p>
      <w:pPr>
        <w:ind w:left="-7" w:right="40" w:firstLine="647"/>
        <w:spacing w:after="0" w:line="257" w:lineRule="auto"/>
        <w:tabs>
          <w:tab w:leader="none" w:pos="1142"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Etc</w:t>
      </w:r>
      <w:r>
        <w:rPr>
          <w:rFonts w:ascii="Times New Roman" w:cs="Times New Roman" w:eastAsia="Times New Roman" w:hAnsi="Times New Roman"/>
          <w:sz w:val="18"/>
          <w:szCs w:val="18"/>
          <w:color w:val="auto"/>
        </w:rPr>
        <w:t>. The entry of a decree or order for relief by a court having jurisdiction in the premises in respect of the Maker in an involuntary case under any applicable bankruptcy, insolvency or other similar law, or appointing a receiver, liquidator, assignee, custodian, trustee, sequestrator (or similar official) of the Maker or for any substantial part of its property, or ordering the winding-up or liquidation of its affairs, and the continuance of any such decree or order unstayed and in effect for a period of sixty (60) consecutive days.</w:t>
      </w:r>
    </w:p>
    <w:p>
      <w:pPr>
        <w:spacing w:after="0" w:line="176" w:lineRule="exact"/>
        <w:rPr>
          <w:rFonts w:ascii="Times New Roman" w:cs="Times New Roman" w:eastAsia="Times New Roman" w:hAnsi="Times New Roman"/>
          <w:sz w:val="18"/>
          <w:szCs w:val="18"/>
          <w:color w:val="auto"/>
        </w:rPr>
      </w:pPr>
    </w:p>
    <w:p>
      <w:pPr>
        <w:ind w:left="453" w:hanging="453"/>
        <w:spacing w:after="0"/>
        <w:tabs>
          <w:tab w:leader="none" w:pos="453"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w:t>
      </w:r>
    </w:p>
    <w:p>
      <w:pPr>
        <w:spacing w:after="0" w:line="223" w:lineRule="exact"/>
        <w:rPr>
          <w:rFonts w:ascii="Times New Roman" w:cs="Times New Roman" w:eastAsia="Times New Roman" w:hAnsi="Times New Roman"/>
          <w:sz w:val="18"/>
          <w:szCs w:val="18"/>
          <w:b w:val="1"/>
          <w:bCs w:val="1"/>
          <w:color w:val="auto"/>
        </w:rPr>
      </w:pPr>
    </w:p>
    <w:p>
      <w:pPr>
        <w:jc w:val="both"/>
        <w:ind w:left="-7" w:right="20" w:firstLine="647"/>
        <w:spacing w:after="0" w:line="257" w:lineRule="auto"/>
        <w:tabs>
          <w:tab w:leader="none" w:pos="1142"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 5(a) hereof, the Payee may, by written notice to the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0" w:lineRule="exact"/>
        <w:rPr>
          <w:rFonts w:ascii="Times New Roman" w:cs="Times New Roman" w:eastAsia="Times New Roman" w:hAnsi="Times New Roman"/>
          <w:sz w:val="18"/>
          <w:szCs w:val="18"/>
          <w:color w:val="auto"/>
        </w:rPr>
      </w:pPr>
    </w:p>
    <w:p>
      <w:pPr>
        <w:ind w:left="-7" w:right="100" w:firstLine="647"/>
        <w:spacing w:after="0" w:line="307" w:lineRule="auto"/>
        <w:tabs>
          <w:tab w:leader="none" w:pos="1152"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the Payee.</w:t>
      </w:r>
    </w:p>
    <w:p>
      <w:pPr>
        <w:spacing w:after="0" w:line="136" w:lineRule="exact"/>
        <w:rPr>
          <w:rFonts w:ascii="Times New Roman" w:cs="Times New Roman" w:eastAsia="Times New Roman" w:hAnsi="Times New Roman"/>
          <w:sz w:val="17"/>
          <w:szCs w:val="17"/>
          <w:color w:val="auto"/>
        </w:rPr>
      </w:pPr>
    </w:p>
    <w:p>
      <w:pPr>
        <w:ind w:left="-7" w:right="140" w:firstLine="7"/>
        <w:spacing w:after="0" w:line="254" w:lineRule="auto"/>
        <w:tabs>
          <w:tab w:leader="none" w:pos="435"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Waivers. </w:t>
      </w:r>
      <w:r>
        <w:rPr>
          <w:rFonts w:ascii="Times New Roman" w:cs="Times New Roman" w:eastAsia="Times New Roman" w:hAnsi="Times New Roman"/>
          <w:sz w:val="18"/>
          <w:szCs w:val="18"/>
          <w:color w:val="auto"/>
        </w:rPr>
        <w:t>The Maker and all endorsers and guarantors of, and sureties for, this Note waive presentment for payment, demand, notice of dishonor,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protest, and notice of protest with regard to this Note, all errors, defects and imperfections in any proceedings instituted by the Payee under the terms of this Note, and all benefits that might accrue to the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the Maker agrees that any real estate that may be levied upon pursuant to a judgment obtained by virtue hereof or any writ of execution issued hereon, may be sold upon any such writ in whole or in part in any order desired by the Payee.</w:t>
      </w:r>
    </w:p>
    <w:p>
      <w:pPr>
        <w:spacing w:after="0" w:line="180" w:lineRule="exact"/>
        <w:rPr>
          <w:rFonts w:ascii="Times New Roman" w:cs="Times New Roman" w:eastAsia="Times New Roman" w:hAnsi="Times New Roman"/>
          <w:sz w:val="18"/>
          <w:szCs w:val="18"/>
          <w:b w:val="1"/>
          <w:bCs w:val="1"/>
          <w:color w:val="auto"/>
        </w:rPr>
      </w:pPr>
    </w:p>
    <w:p>
      <w:pPr>
        <w:ind w:left="-7" w:firstLine="7"/>
        <w:spacing w:after="0" w:line="274" w:lineRule="auto"/>
        <w:tabs>
          <w:tab w:leader="none" w:pos="438" w:val="left"/>
        </w:tabs>
        <w:numPr>
          <w:ilvl w:val="0"/>
          <w:numId w:val="2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Unconditional Liability. </w:t>
      </w:r>
      <w:r>
        <w:rPr>
          <w:rFonts w:ascii="Times New Roman" w:cs="Times New Roman" w:eastAsia="Times New Roman" w:hAnsi="Times New Roman"/>
          <w:sz w:val="17"/>
          <w:szCs w:val="17"/>
          <w:color w:val="auto"/>
        </w:rPr>
        <w:t>The Maker hereby waives all notices in connection with the delivery, acceptance, performance, default, or enforcement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the Payee, and consents to any and all extensions of time, renewals, waivers, or modifications that may be granted by the Payee with respect to the payment or other provisions of this Note, and agrees that additional makers, endorsers, guarantors, or sureties may become parties hereto without notice to the Maker or affecting the Maker’s liability hereunder.</w:t>
      </w:r>
    </w:p>
    <w:p>
      <w:pPr>
        <w:spacing w:after="0" w:line="165" w:lineRule="exact"/>
        <w:rPr>
          <w:rFonts w:ascii="Times New Roman" w:cs="Times New Roman" w:eastAsia="Times New Roman" w:hAnsi="Times New Roman"/>
          <w:sz w:val="17"/>
          <w:szCs w:val="17"/>
          <w:b w:val="1"/>
          <w:bCs w:val="1"/>
          <w:color w:val="auto"/>
        </w:rPr>
      </w:pPr>
    </w:p>
    <w:p>
      <w:pPr>
        <w:ind w:left="-7" w:firstLine="7"/>
        <w:spacing w:after="0" w:line="253" w:lineRule="auto"/>
        <w:tabs>
          <w:tab w:leader="none" w:pos="438"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statements or other documents which are required or contemplated by this Note shall be made in writing and delivered: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personally or sent by first class registered or certified mail, overnight courier service or facsimile or electronic transmission to the address designated in writing, (b) by facsimile to the number most recently provided to such party or such other address or fax number as may be designated in writing by such party or (c)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80" w:lineRule="exact"/>
        <w:rPr>
          <w:rFonts w:ascii="Times New Roman" w:cs="Times New Roman" w:eastAsia="Times New Roman" w:hAnsi="Times New Roman"/>
          <w:sz w:val="18"/>
          <w:szCs w:val="18"/>
          <w:b w:val="1"/>
          <w:bCs w:val="1"/>
          <w:color w:val="auto"/>
        </w:rPr>
      </w:pPr>
    </w:p>
    <w:p>
      <w:pPr>
        <w:ind w:left="-7" w:right="160" w:firstLine="7"/>
        <w:spacing w:after="0" w:line="281" w:lineRule="auto"/>
        <w:tabs>
          <w:tab w:leader="none" w:pos="527"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THIS NOTE SHALL BE CONSTRUED AND ENFORCED IN ACCORDANCE WITH THE LAWS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 TO CONFLICT OF LAW PROVISIONS THEREOF.</w:t>
      </w:r>
    </w:p>
    <w:p>
      <w:pPr>
        <w:spacing w:after="0" w:line="155" w:lineRule="exact"/>
        <w:rPr>
          <w:rFonts w:ascii="Times New Roman" w:cs="Times New Roman" w:eastAsia="Times New Roman" w:hAnsi="Times New Roman"/>
          <w:sz w:val="18"/>
          <w:szCs w:val="18"/>
          <w:b w:val="1"/>
          <w:bCs w:val="1"/>
          <w:color w:val="auto"/>
        </w:rPr>
      </w:pPr>
    </w:p>
    <w:p>
      <w:pPr>
        <w:ind w:left="-7" w:right="760" w:firstLine="7"/>
        <w:spacing w:after="0" w:line="264" w:lineRule="auto"/>
        <w:tabs>
          <w:tab w:leader="none" w:pos="517"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Any provision contained in this Note, which is prohibited or unenforceable in any jurisdiction shall, as to such jurisdiction,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1342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33"/>
          </w:cols>
          <w:pgMar w:left="327" w:top="895" w:right="339" w:bottom="1440" w:gutter="0" w:footer="0" w:header="0"/>
        </w:sectPr>
      </w:pPr>
    </w:p>
    <w:bookmarkStart w:id="260" w:name="page261"/>
    <w:bookmarkEnd w:id="260"/>
    <w:p>
      <w:pPr>
        <w:ind w:left="540" w:hanging="533"/>
        <w:spacing w:after="0"/>
        <w:tabs>
          <w:tab w:leader="none" w:pos="540"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Trust Waiver. </w:t>
      </w:r>
      <w:r>
        <w:rPr>
          <w:rFonts w:ascii="Times New Roman" w:cs="Times New Roman" w:eastAsia="Times New Roman" w:hAnsi="Times New Roman"/>
          <w:sz w:val="18"/>
          <w:szCs w:val="18"/>
          <w:color w:val="auto"/>
        </w:rPr>
        <w:t>Notwithstanding anything herein to the contrary, the Payee hereby waives any and all right, title, interest or claim of any kind</w:t>
      </w:r>
    </w:p>
    <w:p>
      <w:pPr>
        <w:spacing w:after="0" w:line="2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distribution of or from the Trust Account in which the proceeds of the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conducted by the Maker (including the deferred underwriters’ discounts and commissions) and the proceeds of the sale of the units issued in a private placement that occurred prior to the closing of the IPO were deposited, as described in greater detail in the Maker’s Registration Statement on Form S-1 (File No. 333-251037) filed with the Securities and Exchange Commission in connection with the IPO, and hereby agrees not to seek recourse, reimbursement, payment or satisfaction for any Claim against the Trust Account for any reason whatsoever.</w:t>
      </w:r>
    </w:p>
    <w:p>
      <w:pPr>
        <w:spacing w:after="0" w:line="18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Amendment; Waiver. </w:t>
      </w:r>
      <w:r>
        <w:rPr>
          <w:rFonts w:ascii="Times New Roman" w:cs="Times New Roman" w:eastAsia="Times New Roman" w:hAnsi="Times New Roman"/>
          <w:sz w:val="18"/>
          <w:szCs w:val="18"/>
          <w:color w:val="auto"/>
        </w:rPr>
        <w:t>Any amendment hereto or waiver of any provision hereof may be made with, and only with, the written consent of the Maker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Payee.</w:t>
      </w:r>
    </w:p>
    <w:p>
      <w:pPr>
        <w:spacing w:after="0" w:line="15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Assignment. </w:t>
      </w:r>
      <w:r>
        <w:rPr>
          <w:rFonts w:ascii="Times New Roman" w:cs="Times New Roman" w:eastAsia="Times New Roman" w:hAnsi="Times New Roman"/>
          <w:sz w:val="18"/>
          <w:szCs w:val="18"/>
          <w:color w:val="auto"/>
        </w:rPr>
        <w:t>Maker may not assign or transfer this Note or any of its rights or obligations hereunder (by operation of law or otherwise)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written consent of Payee and any attempted assignment without the required consent shall be void.</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71342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61" w:name="page262"/>
    <w:bookmarkEnd w:id="261"/>
    <w:p>
      <w:pPr>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Maker, intending to be legally bound hereby, has caused this Note to be duly executed by the undersigned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and year first above written.</w:t>
      </w:r>
    </w:p>
    <w:p>
      <w:pPr>
        <w:spacing w:after="0" w:line="15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MedTech Acquisition Corporation</w:t>
      </w:r>
    </w:p>
    <w:p>
      <w:pPr>
        <w:spacing w:after="0" w:line="22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15875</wp:posOffset>
            </wp:positionV>
            <wp:extent cx="249110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91105" cy="17145"/>
                    </a:xfrm>
                    <a:prstGeom prst="rect">
                      <a:avLst/>
                    </a:prstGeom>
                    <a:noFill/>
                  </pic:spPr>
                </pic:pic>
              </a:graphicData>
            </a:graphic>
          </wp:anchor>
        </w:drawing>
      </w:r>
    </w:p>
    <w:p>
      <w:pPr>
        <w:spacing w:after="0" w:line="1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Christopher C. Dewey</w:t>
      </w:r>
    </w:p>
    <w:p>
      <w:pPr>
        <w:spacing w:after="0" w:line="25"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19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15875</wp:posOffset>
            </wp:positionV>
            <wp:extent cx="249110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91105" cy="17145"/>
                    </a:xfrm>
                    <a:prstGeom prst="rect">
                      <a:avLst/>
                    </a:prstGeom>
                    <a:noFill/>
                  </pic:spPr>
                </pic:pic>
              </a:graphicData>
            </a:graphic>
          </wp:anchor>
        </w:drawing>
      </w:r>
    </w:p>
    <w:p>
      <w:pPr>
        <w:spacing w:after="0" w:line="1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w:t>
      </w:r>
    </w:p>
    <w:p>
      <w:pPr>
        <w:spacing w:after="0" w:line="25"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 –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440690</wp:posOffset>
            </wp:positionV>
            <wp:extent cx="71342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20"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2023, is made and entered into by and among (i) TriSalus Life 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(formerly known as MedTech Acquisition Corp. (“</w:t>
      </w:r>
      <w:r>
        <w:rPr>
          <w:rFonts w:ascii="Times New Roman" w:cs="Times New Roman" w:eastAsia="Times New Roman" w:hAnsi="Times New Roman"/>
          <w:sz w:val="18"/>
          <w:szCs w:val="18"/>
          <w:b w:val="1"/>
          <w:bCs w:val="1"/>
          <w:i w:val="1"/>
          <w:iCs w:val="1"/>
          <w:color w:val="auto"/>
        </w:rPr>
        <w:t>MedTech</w:t>
      </w:r>
      <w:r>
        <w:rPr>
          <w:rFonts w:ascii="Times New Roman" w:cs="Times New Roman" w:eastAsia="Times New Roman" w:hAnsi="Times New Roman"/>
          <w:sz w:val="18"/>
          <w:szCs w:val="18"/>
          <w:color w:val="auto"/>
        </w:rPr>
        <w:t>”), a Delaware corporation), (ii) MedTech Acquisition Sponsor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(iii) certain former stockholders of TriSalus Operating Company, a Delaware corporation (formerly known as TriSalus Life Sciences, Inc. (“</w:t>
      </w:r>
      <w:r>
        <w:rPr>
          <w:rFonts w:ascii="Times New Roman" w:cs="Times New Roman" w:eastAsia="Times New Roman" w:hAnsi="Times New Roman"/>
          <w:sz w:val="18"/>
          <w:szCs w:val="18"/>
          <w:b w:val="1"/>
          <w:bCs w:val="1"/>
          <w:i w:val="1"/>
          <w:iCs w:val="1"/>
          <w:color w:val="auto"/>
        </w:rPr>
        <w:t>Legacy TriSalus</w:t>
      </w:r>
      <w:r>
        <w:rPr>
          <w:rFonts w:ascii="Times New Roman" w:cs="Times New Roman" w:eastAsia="Times New Roman" w:hAnsi="Times New Roman"/>
          <w:sz w:val="18"/>
          <w:szCs w:val="18"/>
          <w:color w:val="auto"/>
        </w:rPr>
        <w:t>”)) set forth on Schedule I hereto (the “</w:t>
      </w:r>
      <w:r>
        <w:rPr>
          <w:rFonts w:ascii="Times New Roman" w:cs="Times New Roman" w:eastAsia="Times New Roman" w:hAnsi="Times New Roman"/>
          <w:sz w:val="18"/>
          <w:szCs w:val="18"/>
          <w:b w:val="1"/>
          <w:bCs w:val="1"/>
          <w:i w:val="1"/>
          <w:iCs w:val="1"/>
          <w:color w:val="auto"/>
        </w:rPr>
        <w:t>TriSalus Holders</w:t>
      </w:r>
      <w:r>
        <w:rPr>
          <w:rFonts w:ascii="Times New Roman" w:cs="Times New Roman" w:eastAsia="Times New Roman" w:hAnsi="Times New Roman"/>
          <w:sz w:val="18"/>
          <w:szCs w:val="18"/>
          <w:color w:val="auto"/>
        </w:rPr>
        <w:t xml:space="preserve">” and, together with the Sponsor and any person or entity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of this Agreement,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0" w:lineRule="exact"/>
        <w:rPr>
          <w:sz w:val="20"/>
          <w:szCs w:val="20"/>
          <w:color w:val="auto"/>
        </w:rPr>
      </w:pPr>
    </w:p>
    <w:p>
      <w:pPr>
        <w:ind w:right="80" w:firstLine="320"/>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Legacy TriSalus were party to that certain Agreement and Plan of Merger, dated as of November 11, 2022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among the Company, MTAC Merger Sub, Inc., a Delaware corporation and a direct, wholly owned subsidiary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Legacy TriSalus;</w:t>
      </w:r>
    </w:p>
    <w:p>
      <w:pPr>
        <w:spacing w:after="0" w:line="171" w:lineRule="exact"/>
        <w:rPr>
          <w:sz w:val="20"/>
          <w:szCs w:val="20"/>
          <w:color w:val="auto"/>
        </w:rPr>
      </w:pPr>
    </w:p>
    <w:p>
      <w:pPr>
        <w:ind w:right="60" w:firstLine="320"/>
        <w:spacing w:after="0" w:line="25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Merger Agreement, at the Closing (as defined in the Merger Agreement), Merger Sub will merge with and into Legacy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TriSalus, with Legacy TriSalus continuing as the surviving company and, after giving effect to the merger, the separate existence of Merger Sub will cease to exist and Legacy TriSalus shall become a wholly owned subsidiary of the Company, which shall survive as the surviving corporation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Combination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right="140" w:firstLine="320"/>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MedTech, the Sponsor and certain of the Holders entered into that certain Registration Rights Agreement, dated as of December 17,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it may be amended, supplemented, restated or otherwise modified from time to time until the consummation of the Business Combination, the “</w:t>
      </w:r>
      <w:r>
        <w:rPr>
          <w:rFonts w:ascii="Times New Roman" w:cs="Times New Roman" w:eastAsia="Times New Roman" w:hAnsi="Times New Roman"/>
          <w:sz w:val="18"/>
          <w:szCs w:val="18"/>
          <w:b w:val="1"/>
          <w:bCs w:val="1"/>
          <w:i w:val="1"/>
          <w:iCs w:val="1"/>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320"/>
        <w:spacing w:after="0" w:line="25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consummation of the Business Combination, the parties to the Existing Agreement desire to amend and restate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its entirety as set forth herein and the Company, the Sponsor and the Holders desire to enter into this Agreement, pursuant to which the Company shall grant the Holders certain registration rights with respect to the Registrable Securities (as defined below) on the terms and conditions set forth in this Agreement.</w:t>
      </w:r>
    </w:p>
    <w:p>
      <w:pPr>
        <w:spacing w:after="0" w:line="177" w:lineRule="exact"/>
        <w:rPr>
          <w:sz w:val="20"/>
          <w:szCs w:val="20"/>
          <w:color w:val="auto"/>
        </w:rPr>
      </w:pPr>
    </w:p>
    <w:p>
      <w:pPr>
        <w:ind w:right="460" w:firstLine="320"/>
        <w:spacing w:after="0" w:line="312" w:lineRule="auto"/>
        <w:rPr>
          <w:sz w:val="20"/>
          <w:szCs w:val="20"/>
          <w:color w:val="auto"/>
        </w:rPr>
      </w:pPr>
      <w:r>
        <w:rPr>
          <w:rFonts w:ascii="Times New Roman" w:cs="Times New Roman" w:eastAsia="Times New Roman" w:hAnsi="Times New Roman"/>
          <w:sz w:val="17"/>
          <w:szCs w:val="17"/>
          <w:b w:val="1"/>
          <w:bCs w:val="1"/>
          <w:color w:val="auto"/>
        </w:rPr>
        <w:t>NOW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THEREFORE</w:t>
      </w:r>
      <w:r>
        <w:rPr>
          <w:rFonts w:ascii="Times New Roman" w:cs="Times New Roman" w:eastAsia="Times New Roman" w:hAnsi="Times New Roman"/>
          <w:sz w:val="17"/>
          <w:szCs w:val="17"/>
          <w:color w:val="auto"/>
        </w:rPr>
        <w:t>, in consideration of the representations, covenants and agreements contained herein, and certain other good and valuable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consideration, the receipt and sufficiency of which are hereby acknowledged, the parties hereto, intending to be legally bound, hereby agree as follows: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terms defined in this </w:t>
      </w:r>
      <w:r>
        <w:rPr>
          <w:rFonts w:ascii="Times New Roman" w:cs="Times New Roman" w:eastAsia="Times New Roman" w:hAnsi="Times New Roman"/>
          <w:sz w:val="18"/>
          <w:szCs w:val="18"/>
          <w:i w:val="1"/>
          <w:iCs w:val="1"/>
          <w:u w:val="single" w:color="auto"/>
          <w:color w:val="auto"/>
        </w:rPr>
        <w:t>Article I</w:t>
      </w:r>
      <w:r>
        <w:rPr>
          <w:rFonts w:ascii="Times New Roman" w:cs="Times New Roman" w:eastAsia="Times New Roman" w:hAnsi="Times New Roman"/>
          <w:sz w:val="18"/>
          <w:szCs w:val="18"/>
          <w:color w:val="auto"/>
        </w:rPr>
        <w:t xml:space="preserve"> shall, for all purposes of this Agreement, have the respective meanings set forth below:</w:t>
      </w:r>
    </w:p>
    <w:p>
      <w:pPr>
        <w:spacing w:after="0" w:line="218" w:lineRule="exact"/>
        <w:rPr>
          <w:sz w:val="20"/>
          <w:szCs w:val="20"/>
          <w:color w:val="auto"/>
        </w:rPr>
      </w:pPr>
    </w:p>
    <w:p>
      <w:pPr>
        <w:ind w:right="40" w:firstLine="3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xml:space="preserve">” shall mean any public disclosure of material non-public information, which disclosure, in the good faith judgment of the chief executive officer or chief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or was effective, and (iii) the Company has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business purpose for not making such information public.</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63" w:name="page264"/>
    <w:bookmarkEnd w:id="263"/>
    <w:p>
      <w:pPr>
        <w:ind w:right="84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Action</w:t>
      </w:r>
      <w:r>
        <w:rPr>
          <w:rFonts w:ascii="Times New Roman" w:cs="Times New Roman" w:eastAsia="Times New Roman" w:hAnsi="Times New Roman"/>
          <w:sz w:val="18"/>
          <w:szCs w:val="18"/>
          <w:color w:val="auto"/>
        </w:rPr>
        <w:t>” means any claim, charge, action, suit, complaint, grievance, audit, investigation, inquiry, assessment, arbitration or legal, judicial or administrative proceeding (whether at law or in equity).</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 Trade</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subsection 2.6.1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have the meaning given in the Recitals hereto.</w:t>
      </w:r>
    </w:p>
    <w:p>
      <w:pPr>
        <w:spacing w:after="0" w:line="220" w:lineRule="exact"/>
        <w:rPr>
          <w:sz w:val="20"/>
          <w:szCs w:val="20"/>
          <w:color w:val="auto"/>
        </w:rPr>
      </w:pPr>
    </w:p>
    <w:p>
      <w:pPr>
        <w:ind w:right="4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a Saturday, a Sunday or other day on which commercial banks in New York, New York are authorized or required by applicable law to close.</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have the meaning given in the Merger Agreement.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U.S. Securities and Exchange Commission.</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mean the Company’s Common Stock, with a par value of $0.0001 per share.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given in the Recitals hereto.</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6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shall mean either (i) any Holder or Holders who, in the aggregate, hold at least a majority of the Registrable Securities issued to the Sponsor or (ii) one or more TriSalus Holders holding at least a majority-in-interest of Registrable Securities held by TriSalus Holders.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Agreement</w:t>
      </w:r>
      <w:r>
        <w:rPr>
          <w:rFonts w:ascii="Times New Roman" w:cs="Times New Roman" w:eastAsia="Times New Roman" w:hAnsi="Times New Roman"/>
          <w:sz w:val="18"/>
          <w:szCs w:val="18"/>
          <w:color w:val="auto"/>
        </w:rPr>
        <w:t>” shall have the meaning given in the Recitals hereto.</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shall mean the 4,062,500 shares of MedTech’s Class B common stock, par value $0.0001 per share, issued to the Sponsor in a private placement pursuant to the Subscription Agreement that are not forfeited at Closing and not subsequently forfeited by the Sponsor as described in the Sponsor Support Agreement.</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4.1.2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shall have the meaning given in Section 2.5.</w:t>
      </w:r>
    </w:p>
    <w:p>
      <w:pPr>
        <w:spacing w:after="0" w:line="220" w:lineRule="exact"/>
        <w:rPr>
          <w:sz w:val="20"/>
          <w:szCs w:val="20"/>
          <w:color w:val="auto"/>
        </w:rPr>
      </w:pPr>
    </w:p>
    <w:p>
      <w:pPr>
        <w:ind w:right="40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shall mean any lock-up period with respect to the Registrable Securities included in the Company’s governing documents or any agreements between a Holder and the Company or any of the Company’s subsidiaries.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shall have the meaning given in the Recitals hereto.</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64" w:name="page265"/>
    <w:bookmarkEnd w:id="264"/>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Takedown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60" w:firstLine="32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Opt-Out Requests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Coordinated Offering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subsection 2.6.1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60" w:firstLine="3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xml:space="preserve">” means, in the case of any Holder, a person to whom, or entity to which, a Holder may transfer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transfer does not violate the Company’s governing documents, or any agreements between such Holder and the Company or any of the Company’s subsidiaries, or this Agreement, and (b) such transferee shall only be a Permitted Transferee if and to the extent the transferor designates the transferee as a Permitted Transferee entitled to rights hereunder pursuant to </w:t>
      </w:r>
      <w:r>
        <w:rPr>
          <w:rFonts w:ascii="Times New Roman" w:cs="Times New Roman" w:eastAsia="Times New Roman" w:hAnsi="Times New Roman"/>
          <w:sz w:val="18"/>
          <w:szCs w:val="18"/>
          <w:u w:val="single" w:color="auto"/>
          <w:color w:val="auto"/>
        </w:rPr>
        <w:t>subsection 5.2.3</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6" w:lineRule="exact"/>
        <w:rPr>
          <w:sz w:val="20"/>
          <w:szCs w:val="20"/>
          <w:color w:val="auto"/>
        </w:rPr>
      </w:pPr>
    </w:p>
    <w:p>
      <w:pPr>
        <w:jc w:val="both"/>
        <w:ind w:right="140" w:firstLine="32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Additional Holder</w:t>
      </w:r>
      <w:r>
        <w:rPr>
          <w:rFonts w:ascii="Times New Roman" w:cs="Times New Roman" w:eastAsia="Times New Roman" w:hAnsi="Times New Roman"/>
          <w:sz w:val="18"/>
          <w:szCs w:val="18"/>
          <w:color w:val="auto"/>
        </w:rPr>
        <w:t>” shall mean any stockholder of the Company that is a director or officer of the Company or any other stockholder of the Company that is approved to become a “Holder” under this Agreement by the Holders holding a majority of Registrable Securities then outstanding (such approval not to be unreasonably withheld, conditioned or delayed).</w:t>
      </w:r>
    </w:p>
    <w:p>
      <w:pPr>
        <w:spacing w:after="0" w:line="171" w:lineRule="exact"/>
        <w:rPr>
          <w:sz w:val="20"/>
          <w:szCs w:val="20"/>
          <w:color w:val="auto"/>
        </w:rPr>
      </w:pPr>
    </w:p>
    <w:p>
      <w:pPr>
        <w:ind w:right="120" w:firstLine="3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Security</w:t>
      </w:r>
      <w:r>
        <w:rPr>
          <w:rFonts w:ascii="Times New Roman" w:cs="Times New Roman" w:eastAsia="Times New Roman" w:hAnsi="Times New Roman"/>
          <w:sz w:val="18"/>
          <w:szCs w:val="18"/>
          <w:color w:val="auto"/>
        </w:rPr>
        <w:t>” shall mean (i) any outstanding shares of Common Stock or any warrants to purchase shares of Common Stock and (ii) shares of Common Stock issued or issuable upon the exercise or conversion of any warrants or equity awards of the Company, in each case held by a Holder immediately following the Closing (including any warrants or equity awards distributable pursuant to the Merger Agreement, any Founder Shares, any warrants issued or issuable in connection with MedTech’s initial public offering or concurrent private placement and any Working Capital Warrants) and</w:t>
      </w:r>
    </w:p>
    <w:p>
      <w:pPr>
        <w:spacing w:after="0" w:line="1" w:lineRule="exact"/>
        <w:rPr>
          <w:sz w:val="20"/>
          <w:szCs w:val="20"/>
          <w:color w:val="auto"/>
        </w:rPr>
      </w:pPr>
    </w:p>
    <w:p>
      <w:pPr>
        <w:ind w:firstLine="7"/>
        <w:spacing w:after="0" w:line="248" w:lineRule="auto"/>
        <w:tabs>
          <w:tab w:leader="none" w:pos="311"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equity security of the Company issued or issuable with respect to any such securities by way of a stock dividend, share capitalization or share sub-division or in connection with a reclassification, recapitalization, merger, consolidation, spin-off, reorganization or similar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or book entry provisions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without limitation as to volume and manner of sale or public information requirements; or (e) such securities have been sold to, or through, a broker, dealer or underwriter in a public distribution or other public securities transaction.</w:t>
      </w:r>
    </w:p>
    <w:p>
      <w:pPr>
        <w:spacing w:after="0" w:line="186"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shall mean a registration, including an Underwritten Shelf Takedown,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65" w:name="page266"/>
    <w:bookmarkEnd w:id="265"/>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shall mean the out-of-pocket expenses of a Registration, including the following:</w:t>
      </w:r>
    </w:p>
    <w:p>
      <w:pPr>
        <w:spacing w:after="0" w:line="224" w:lineRule="exact"/>
        <w:rPr>
          <w:sz w:val="20"/>
          <w:szCs w:val="20"/>
          <w:color w:val="auto"/>
        </w:rPr>
      </w:pPr>
    </w:p>
    <w:p>
      <w:pPr>
        <w:ind w:right="560" w:firstLine="1288"/>
        <w:spacing w:after="0" w:line="277" w:lineRule="auto"/>
        <w:tabs>
          <w:tab w:leader="none" w:pos="157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62" w:lineRule="exact"/>
        <w:rPr>
          <w:rFonts w:ascii="Times New Roman" w:cs="Times New Roman" w:eastAsia="Times New Roman" w:hAnsi="Times New Roman"/>
          <w:sz w:val="18"/>
          <w:szCs w:val="18"/>
          <w:color w:val="auto"/>
        </w:rPr>
      </w:pPr>
    </w:p>
    <w:p>
      <w:pPr>
        <w:ind w:right="460" w:firstLine="1288"/>
        <w:spacing w:after="0" w:line="277" w:lineRule="auto"/>
        <w:tabs>
          <w:tab w:leader="none" w:pos="156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2" w:lineRule="exact"/>
        <w:rPr>
          <w:rFonts w:ascii="Times New Roman" w:cs="Times New Roman" w:eastAsia="Times New Roman" w:hAnsi="Times New Roman"/>
          <w:sz w:val="18"/>
          <w:szCs w:val="18"/>
          <w:color w:val="auto"/>
        </w:rPr>
      </w:pPr>
    </w:p>
    <w:p>
      <w:pPr>
        <w:ind w:left="1560" w:hanging="272"/>
        <w:spacing w:after="0"/>
        <w:tabs>
          <w:tab w:leader="none" w:pos="15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printing, messenger, telephone and delivery expenses;</w:t>
      </w:r>
    </w:p>
    <w:p>
      <w:pPr>
        <w:spacing w:after="0" w:line="219"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19" w:lineRule="exact"/>
        <w:rPr>
          <w:rFonts w:ascii="Times New Roman" w:cs="Times New Roman" w:eastAsia="Times New Roman" w:hAnsi="Times New Roman"/>
          <w:sz w:val="18"/>
          <w:szCs w:val="18"/>
          <w:color w:val="auto"/>
        </w:rPr>
      </w:pPr>
    </w:p>
    <w:p>
      <w:pPr>
        <w:ind w:right="40" w:firstLine="1288"/>
        <w:spacing w:after="0" w:line="277" w:lineRule="auto"/>
        <w:tabs>
          <w:tab w:leader="none" w:pos="155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w:t>
      </w:r>
    </w:p>
    <w:p>
      <w:pPr>
        <w:spacing w:after="0" w:line="162" w:lineRule="exact"/>
        <w:rPr>
          <w:rFonts w:ascii="Times New Roman" w:cs="Times New Roman" w:eastAsia="Times New Roman" w:hAnsi="Times New Roman"/>
          <w:sz w:val="18"/>
          <w:szCs w:val="18"/>
          <w:color w:val="auto"/>
        </w:rPr>
      </w:pPr>
    </w:p>
    <w:p>
      <w:pPr>
        <w:ind w:firstLine="1288"/>
        <w:spacing w:after="0" w:line="277" w:lineRule="auto"/>
        <w:tabs>
          <w:tab w:leader="none" w:pos="1543"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the Company relating to analyst and investor presentations or any “road show” undertaken in connection with the Registration and/or marketing of the Registrable Securities; and</w:t>
      </w:r>
    </w:p>
    <w:p>
      <w:pPr>
        <w:spacing w:after="0" w:line="162" w:lineRule="exact"/>
        <w:rPr>
          <w:rFonts w:ascii="Times New Roman" w:cs="Times New Roman" w:eastAsia="Times New Roman" w:hAnsi="Times New Roman"/>
          <w:sz w:val="18"/>
          <w:szCs w:val="18"/>
          <w:color w:val="auto"/>
        </w:rPr>
      </w:pPr>
    </w:p>
    <w:p>
      <w:pPr>
        <w:ind w:firstLine="1288"/>
        <w:spacing w:after="0" w:line="262" w:lineRule="auto"/>
        <w:tabs>
          <w:tab w:leader="none" w:pos="157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up to $35,000 of one (1) legal counsel selected by the majority-in-interest of the Demanding Holders initiating a Demand Registration to be registered for offer and sale in the applicable Registration or majority-in-interest of the Takedown Demanding Holders initiating an Underwritten Shelf Takedown.</w:t>
      </w:r>
    </w:p>
    <w:p>
      <w:pPr>
        <w:spacing w:after="0" w:line="172" w:lineRule="exact"/>
        <w:rPr>
          <w:sz w:val="20"/>
          <w:szCs w:val="20"/>
          <w:color w:val="auto"/>
        </w:rPr>
      </w:pPr>
    </w:p>
    <w:p>
      <w:pPr>
        <w:ind w:right="220" w:firstLine="32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shall mean the Form S-1 Shelf, the Form S-3 Shelf or any Subsequent Shelf Registration Statement, as the case may be.</w:t>
      </w:r>
    </w:p>
    <w:p>
      <w:pPr>
        <w:spacing w:after="0" w:line="220" w:lineRule="exact"/>
        <w:rPr>
          <w:sz w:val="20"/>
          <w:szCs w:val="20"/>
          <w:color w:val="auto"/>
        </w:rPr>
      </w:pPr>
    </w:p>
    <w:p>
      <w:pPr>
        <w:ind w:right="24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Registration</w:t>
      </w:r>
      <w:r>
        <w:rPr>
          <w:rFonts w:ascii="Times New Roman" w:cs="Times New Roman" w:eastAsia="Times New Roman" w:hAnsi="Times New Roman"/>
          <w:sz w:val="18"/>
          <w:szCs w:val="18"/>
          <w:color w:val="auto"/>
        </w:rPr>
        <w:t>” shall mean a Registration of Registrable Securities pursuant to a registration statement filed with the Commission in accordance with and pursuant to Rule 415 promulgated under the Securities Act (or any successor rule then in effect).</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shall have the meaning given in the Preamble hereto.</w:t>
      </w:r>
    </w:p>
    <w:p>
      <w:pPr>
        <w:spacing w:after="0" w:line="220" w:lineRule="exact"/>
        <w:rPr>
          <w:sz w:val="20"/>
          <w:szCs w:val="20"/>
          <w:color w:val="auto"/>
        </w:rPr>
      </w:pPr>
    </w:p>
    <w:p>
      <w:pPr>
        <w:ind w:right="58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 Support Agreement</w:t>
      </w:r>
      <w:r>
        <w:rPr>
          <w:rFonts w:ascii="Times New Roman" w:cs="Times New Roman" w:eastAsia="Times New Roman" w:hAnsi="Times New Roman"/>
          <w:sz w:val="18"/>
          <w:szCs w:val="18"/>
          <w:color w:val="auto"/>
        </w:rPr>
        <w:t>” shall mean that certain Sponsor Support Agreement, dated as of November 11, 2022, by and among the Sponsor, MedTech and the Company.</w:t>
      </w:r>
    </w:p>
    <w:p>
      <w:pPr>
        <w:spacing w:after="0" w:line="156" w:lineRule="exact"/>
        <w:rPr>
          <w:sz w:val="20"/>
          <w:szCs w:val="20"/>
          <w:color w:val="auto"/>
        </w:rPr>
      </w:pPr>
    </w:p>
    <w:p>
      <w:pPr>
        <w:ind w:right="58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Subscription Agreement</w:t>
      </w:r>
      <w:r>
        <w:rPr>
          <w:rFonts w:ascii="Times New Roman" w:cs="Times New Roman" w:eastAsia="Times New Roman" w:hAnsi="Times New Roman"/>
          <w:sz w:val="18"/>
          <w:szCs w:val="18"/>
          <w:color w:val="auto"/>
        </w:rPr>
        <w:t>” shall mean that certain Securities Subscription Agreement, dated as of September 11, 2020, between the Sponsor and MedTech.</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Subsequent Shelf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Takedown 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Takedown 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66" w:name="page267"/>
    <w:bookmarkEnd w:id="266"/>
    <w:p>
      <w:pPr>
        <w:ind w:right="18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6" w:lineRule="exact"/>
        <w:rPr>
          <w:sz w:val="20"/>
          <w:szCs w:val="20"/>
          <w:color w:val="auto"/>
        </w:rPr>
      </w:pPr>
    </w:p>
    <w:p>
      <w:pPr>
        <w:ind w:right="16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Shelf Takedown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540" w:firstLine="32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Capital Warrants</w:t>
      </w:r>
      <w:r>
        <w:rPr>
          <w:rFonts w:ascii="Times New Roman" w:cs="Times New Roman" w:eastAsia="Times New Roman" w:hAnsi="Times New Roman"/>
          <w:sz w:val="18"/>
          <w:szCs w:val="18"/>
          <w:color w:val="auto"/>
        </w:rPr>
        <w:t>” shall mean warrants to purchase Common Stock issuable upon the conversion of loans made to the Company by the Sponsor, an affiliate of the Sponsor, or an officer or director of the Company.</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Interpretive Provisions</w:t>
      </w:r>
      <w:r>
        <w:rPr>
          <w:rFonts w:ascii="Times New Roman" w:cs="Times New Roman" w:eastAsia="Times New Roman" w:hAnsi="Times New Roman"/>
          <w:sz w:val="17"/>
          <w:szCs w:val="17"/>
          <w:color w:val="auto"/>
        </w:rPr>
        <w:t>. For all purposes of this Agreement, except as otherwise provided in this Agreement or unless the context otherwise requires:</w:t>
      </w:r>
    </w:p>
    <w:p>
      <w:pPr>
        <w:spacing w:after="0" w:line="23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1.2.1 the singular shall include the plural, and the plural shall include the singular, unless the context clearly prohibits that construction.</w:t>
      </w:r>
    </w:p>
    <w:p>
      <w:pPr>
        <w:spacing w:after="0" w:line="220" w:lineRule="exact"/>
        <w:rPr>
          <w:sz w:val="20"/>
          <w:szCs w:val="20"/>
          <w:color w:val="auto"/>
        </w:rPr>
      </w:pPr>
    </w:p>
    <w:p>
      <w:pPr>
        <w:ind w:right="140" w:firstLine="961"/>
        <w:spacing w:after="0" w:line="277" w:lineRule="auto"/>
        <w:rPr>
          <w:sz w:val="20"/>
          <w:szCs w:val="20"/>
          <w:color w:val="auto"/>
        </w:rPr>
      </w:pPr>
      <w:r>
        <w:rPr>
          <w:rFonts w:ascii="Times New Roman" w:cs="Times New Roman" w:eastAsia="Times New Roman" w:hAnsi="Times New Roman"/>
          <w:sz w:val="18"/>
          <w:szCs w:val="18"/>
          <w:color w:val="auto"/>
        </w:rPr>
        <w:t>1.2.2 the words “hereof,” “herein,” “hereunder” and words of similar import, when used in this Agreement, refer to this Agreement as a whole and not to any particular provision of this Agreement.</w:t>
      </w:r>
    </w:p>
    <w:p>
      <w:pPr>
        <w:spacing w:after="0" w:line="1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1.2.3 references in this Agreement to any law shall be deemed also to refer to such law, and all rules and regulations promulgated thereunder.</w:t>
      </w:r>
    </w:p>
    <w:p>
      <w:pPr>
        <w:spacing w:after="0" w:line="2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1.2.4 whenever the words “include,” “includes” or “including” are used in this Agreement, they shall mean “without limitation.”</w:t>
      </w:r>
    </w:p>
    <w:p>
      <w:pPr>
        <w:spacing w:after="0" w:line="2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1.2.5 the captions and headings of this Agreement are for convenience of reference only and shall not affect the interpretation of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1.2.6 pronouns of any gender or neuter shall include, as appropriate, the other pronoun forms.</w:t>
      </w:r>
    </w:p>
    <w:p>
      <w:pPr>
        <w:spacing w:after="0" w:line="220" w:lineRule="exact"/>
        <w:rPr>
          <w:sz w:val="20"/>
          <w:szCs w:val="20"/>
          <w:color w:val="auto"/>
        </w:rPr>
      </w:pPr>
    </w:p>
    <w:p>
      <w:pPr>
        <w:ind w:right="180" w:firstLine="961"/>
        <w:spacing w:after="0" w:line="277" w:lineRule="auto"/>
        <w:rPr>
          <w:sz w:val="20"/>
          <w:szCs w:val="20"/>
          <w:color w:val="auto"/>
        </w:rPr>
      </w:pPr>
      <w:r>
        <w:rPr>
          <w:rFonts w:ascii="Times New Roman" w:cs="Times New Roman" w:eastAsia="Times New Roman" w:hAnsi="Times New Roman"/>
          <w:sz w:val="18"/>
          <w:szCs w:val="18"/>
          <w:color w:val="auto"/>
        </w:rPr>
        <w:t>1.2.7 the word “or” shall be construed to mean “and/or” and the words “neither,” “nor,” “any,” “either” and “or” shall not be exclusive, unless the context clearly prohibits that construction.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REGISTRATIONS</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961"/>
        <w:spacing w:after="0" w:line="249"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subsections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at any time and from time to time on or after the date the Company consummates the Business Combination, any Demanding Holder may make a written demand for Registration of all or part of their Registrable Securities, which written demand shall describe the amount and type of securities to be included in such Registration and the intended method(s) of distribution thereof separate from a Shelf Registration or Underwritten Shelf Takedown (such written demand a “</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The Company shall, within five (5) Business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i w:val="1"/>
          <w:iCs w:val="1"/>
          <w:color w:val="auto"/>
        </w:rPr>
        <w:t>Requesting Holder</w:t>
      </w:r>
      <w:r>
        <w:rPr>
          <w:rFonts w:ascii="Times New Roman" w:cs="Times New Roman" w:eastAsia="Times New Roman" w:hAnsi="Times New Roman"/>
          <w:sz w:val="18"/>
          <w:szCs w:val="18"/>
          <w:color w:val="auto"/>
        </w:rPr>
        <w:t>”)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use commercially reasonable efforts to file, as soon thereafter as reasonably practicable, but not more than forty-five (45) days after the Company’s receipt of the Demand Registration, a Registration Statement on Form S-1 or any similar long-form registration statement that may be available at such time (“</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xml:space="preserve">”) for the Registration of all Registrable Securities requested by the Demanding Holders and Requesting Holders pursuant to such Demand Registration, and use commercially reasonable efforts to cause such Form S-1 to be declared effective as soon as reasonably practicable after its initial filing. Under no circumstances shall the Company be obligated to effect more than an aggregate of one (1) Registration per Demanding Holder pursuant to a Demand Registration under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with respect to any or all Registrable Securities. Notwithstanding anything to the contrary herein, to the extent there is an active Form S-3 Shelf covering a Holder’s or Holders’ Registrable Securities,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be inapplicable and any request by such Holder or Holders to conduct an Underwritten Offering shall follow the procedures of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 xml:space="preserve"> herein and shall be counted as an Underwritten Shelf Takedown.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7" w:name="page268"/>
    <w:bookmarkEnd w:id="267"/>
    <w:p>
      <w:pPr>
        <w:ind w:firstLine="961"/>
        <w:spacing w:after="0" w:line="250"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then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after the removal, recission or other termination of such stop order or injunction, of such election;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90" w:lineRule="exact"/>
        <w:rPr>
          <w:sz w:val="20"/>
          <w:szCs w:val="20"/>
          <w:color w:val="auto"/>
        </w:rPr>
      </w:pPr>
    </w:p>
    <w:p>
      <w:pPr>
        <w:ind w:right="100" w:firstLine="961"/>
        <w:spacing w:after="0" w:line="251"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subsections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at any time and from time to time on or after the date the Company consummates the Business Combination, if a majority in interest of the Demanding Holders so advise the Company as part of their Demand Registration that the offering of the Registrable Securities pursuant to such Demand Registration shall be in the form of an Underwritten Offering, then the right of such Demanding Holders 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majority in interest of the Demanding Holders initiating the Demand Registration and shall execute a customary lock-up agreement in favor of the Underwriters (in each case on substantially the same terms and conditions as all such Holders participating in such Underwritten Offering).</w:t>
      </w:r>
    </w:p>
    <w:p>
      <w:pPr>
        <w:spacing w:after="0" w:line="187" w:lineRule="exact"/>
        <w:rPr>
          <w:sz w:val="20"/>
          <w:szCs w:val="20"/>
          <w:color w:val="auto"/>
        </w:rPr>
      </w:pPr>
    </w:p>
    <w:p>
      <w:pPr>
        <w:ind w:right="20" w:firstLine="961"/>
        <w:spacing w:after="0" w:line="249"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i w:val="1"/>
          <w:iCs w:val="1"/>
          <w:color w:val="auto"/>
        </w:rPr>
        <w:t>Maximum Number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that can be sold without exceeding the Maximum Number of Securities; (ii) second, to the extent that the Maximum Number of Securities has not been reached under the foregoing clause (i), the Common Stock or other equity securities that the Company desires to sell, which can be sold without exceeding the Maximum Number of Securities; and (iii) third, to the extent that the Maximum Number of Securities has not been reached under the foregoing clauses (i) and (ii), the Registrable Securities of Holders (pro rata, based on the respective number of Registrable Securities that each Holder has requested be included in such Underwritten Registration)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8" w:name="page269"/>
    <w:bookmarkEnd w:id="268"/>
    <w:p>
      <w:pPr>
        <w:ind w:right="140" w:firstLine="961"/>
        <w:spacing w:after="0" w:line="253"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 Demanding Holder shall have the right to withdraw all or any portion of its Registrable Securities included in a Demand Registration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for any or no reason whatsoever upon written notification to the Company and the Underwriter or Underwriters (if any) of their intention to withdraw from such Registration prior to the effectiveness of the Registration Statement filed with the Commission pursuant to such Demand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withdrawn amount shall still be considered a Demand Registration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Notwithstanding anything to the contrary in this Agreement, 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961"/>
        <w:spacing w:after="0" w:line="263"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Piggyback Rights</w:t>
      </w:r>
      <w:r>
        <w:rPr>
          <w:rFonts w:ascii="Times New Roman" w:cs="Times New Roman" w:eastAsia="Times New Roman" w:hAnsi="Times New Roman"/>
          <w:sz w:val="17"/>
          <w:szCs w:val="17"/>
          <w:color w:val="auto"/>
        </w:rPr>
        <w:t xml:space="preserve">. If, at any time on or after the date the Company consummates the Business Combination, the Company proposes to file a Registration Statement on Form S-3 under the Securities Act with respect to an offering of equity securities of the Company, or securities or other obligations exercisable or exchangeable for, or convertible into equity securities of the Company, for its own account or for the account of stockholders of the Company (or by the Company and by the stockholders of the Company including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subsection 2.3.4</w:t>
      </w:r>
      <w:r>
        <w:rPr>
          <w:rFonts w:ascii="Times New Roman" w:cs="Times New Roman" w:eastAsia="Times New Roman" w:hAnsi="Times New Roman"/>
          <w:sz w:val="17"/>
          <w:szCs w:val="17"/>
          <w:color w:val="auto"/>
        </w:rPr>
        <w:t xml:space="preserve"> hereof), other than a Registration Statement (or any registered offering with respect thereto) (i) filed in connection with any employee share option or other benefit plan on Form S-8 (or other successor registration statement form thereof), (ii) pursuant to a Registration Statement on Form S-4 (or other successor registration statement form thereof or similar form that relates to a transaction subject to Rule 145 under the Securities Act or any successor rule thereto), (iii) for an offering of debt that is convertible into equity securities of the Company, (iv) for an exchange offer or offering of securities solely to the Company’s existing stockholders, (v) for a dividend reinvestment plan, (vi) for a rights offering, (vii) for the exercise of any warrants, (viii) for a Block Trade, (ix) for an equity line of credit, or (x) for an at-the-market offering of securities, then the Company shall give written notice of such proposed filing to all of the Holders of Registrable Securities and the holders of other equity securities that the Company is obligated to register in a Registration (collectively, the “</w:t>
      </w:r>
      <w:r>
        <w:rPr>
          <w:rFonts w:ascii="Times New Roman" w:cs="Times New Roman" w:eastAsia="Times New Roman" w:hAnsi="Times New Roman"/>
          <w:sz w:val="17"/>
          <w:szCs w:val="17"/>
          <w:b w:val="1"/>
          <w:bCs w:val="1"/>
          <w:i w:val="1"/>
          <w:iCs w:val="1"/>
          <w:color w:val="auto"/>
        </w:rPr>
        <w:t>Other Holders</w:t>
      </w:r>
      <w:r>
        <w:rPr>
          <w:rFonts w:ascii="Times New Roman" w:cs="Times New Roman" w:eastAsia="Times New Roman" w:hAnsi="Times New Roman"/>
          <w:sz w:val="17"/>
          <w:szCs w:val="17"/>
          <w:color w:val="auto"/>
        </w:rPr>
        <w:t>”) pursuant to separate written contractual piggy-back registration rights, as soon as reasonably practicable but not less than five (5) Business Days before the anticipated filing date of such Registration Statement, or, in the case of an Underwritten Offering pursuant to a Shelf Registration, the anticipated filing of the applicable “red herring” prospectus or prospectus supplement, which notice shall (A) describe the amount and type of securities to be included in such offering, the intended method(s) of distribution, and the name of the proposed managing Underwriter or Underwriters, if any and if known, in such offering, and (B) offer to all of the Holders of Registrable Securities the opportunity to include in such registered offering such number of Registrable Securities as such Holders may request in writing within five (5) days after receipt of such written notice (such Registration a “</w:t>
      </w:r>
      <w:r>
        <w:rPr>
          <w:rFonts w:ascii="Times New Roman" w:cs="Times New Roman" w:eastAsia="Times New Roman" w:hAnsi="Times New Roman"/>
          <w:sz w:val="17"/>
          <w:szCs w:val="17"/>
          <w:b w:val="1"/>
          <w:bCs w:val="1"/>
          <w:i w:val="1"/>
          <w:iCs w:val="1"/>
          <w:color w:val="auto"/>
        </w:rPr>
        <w:t>Piggyback 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such Holder agrees that the fact that such a notice has been delivered shall constitute material non-public confidential information. Subject to </w:t>
      </w:r>
      <w:r>
        <w:rPr>
          <w:rFonts w:ascii="Times New Roman" w:cs="Times New Roman" w:eastAsia="Times New Roman" w:hAnsi="Times New Roman"/>
          <w:sz w:val="17"/>
          <w:szCs w:val="17"/>
          <w:u w:val="single" w:color="auto"/>
          <w:color w:val="auto"/>
        </w:rPr>
        <w:t>subsection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2.2.2</w:t>
      </w:r>
      <w:r>
        <w:rPr>
          <w:rFonts w:ascii="Times New Roman" w:cs="Times New Roman" w:eastAsia="Times New Roman" w:hAnsi="Times New Roman"/>
          <w:sz w:val="17"/>
          <w:szCs w:val="17"/>
          <w:color w:val="auto"/>
        </w:rPr>
        <w:t xml:space="preserve">, the Company shall, in good faith, cause such Registrable Securities and the securities of any Other Holders, to be included in such Piggyback Registration and shall use commercially reasonable efforts to cause the managing Underwriter or Underwriters of a proposed Underwritten Offering to permit the Registrable Securities requested by the Holders or Other Holders, as applicable, pursuant to this </w:t>
      </w:r>
      <w:r>
        <w:rPr>
          <w:rFonts w:ascii="Times New Roman" w:cs="Times New Roman" w:eastAsia="Times New Roman" w:hAnsi="Times New Roman"/>
          <w:sz w:val="17"/>
          <w:szCs w:val="17"/>
          <w:u w:val="single" w:color="auto"/>
          <w:color w:val="auto"/>
        </w:rPr>
        <w:t>subsection 2.2.1</w:t>
      </w:r>
      <w:r>
        <w:rPr>
          <w:rFonts w:ascii="Times New Roman" w:cs="Times New Roman" w:eastAsia="Times New Roman" w:hAnsi="Times New Roman"/>
          <w:sz w:val="17"/>
          <w:szCs w:val="17"/>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7"/>
          <w:szCs w:val="17"/>
          <w:u w:val="single" w:color="auto"/>
          <w:color w:val="auto"/>
        </w:rPr>
        <w:t>subsection 2.2.1</w:t>
      </w:r>
      <w:r>
        <w:rPr>
          <w:rFonts w:ascii="Times New Roman" w:cs="Times New Roman" w:eastAsia="Times New Roman" w:hAnsi="Times New Roman"/>
          <w:sz w:val="17"/>
          <w:szCs w:val="17"/>
          <w:color w:val="auto"/>
        </w:rPr>
        <w:t xml:space="preserve"> shall enter into an underwriting agreement in customary form with the Underwriter or Underwriters selected for such Underwritten Offering by the Company and shall execute a customary lock-up agreement in favor of the Underwriter or Underwriters (in each case on substantially the same terms and conditions as all such Holders participating in such Underwritten Offering).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9" w:name="page270"/>
    <w:bookmarkEnd w:id="269"/>
    <w:p>
      <w:pPr>
        <w:ind w:right="40" w:firstLine="961"/>
        <w:spacing w:after="0" w:line="252"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or other equity securities that the Company desires to sell, taken together with (i) the shares of Common Stock, if any, as to which Registration has been demanded pursuant to separate written contractual arrangements with any Other Holders, (ii)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(iii) the shares of Common Stock, if any, as to which Registration has been requested pursuant to separate written contractual piggy-back registration rights of Other Holders, exceeds the Maximum Number of Securities, then:</w:t>
      </w:r>
    </w:p>
    <w:p>
      <w:pPr>
        <w:spacing w:after="0" w:line="187" w:lineRule="exact"/>
        <w:rPr>
          <w:sz w:val="20"/>
          <w:szCs w:val="20"/>
          <w:color w:val="auto"/>
        </w:rPr>
      </w:pPr>
    </w:p>
    <w:p>
      <w:pPr>
        <w:ind w:right="40" w:firstLine="1288"/>
        <w:spacing w:after="0" w:line="273" w:lineRule="auto"/>
        <w:tabs>
          <w:tab w:leader="none" w:pos="1523" w:val="left"/>
        </w:tabs>
        <w:numPr>
          <w:ilvl w:val="1"/>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Registration is initiated and undertaken for the Company’s account, the Company shall include in any such Registration (i) first, the Common Stock or other equity securities that the Company desires to sell, which can be sold without exceeding the Maximum Number of Securities and;</w:t>
      </w:r>
    </w:p>
    <w:p>
      <w:pPr>
        <w:spacing w:after="0" w:line="1" w:lineRule="exact"/>
        <w:rPr>
          <w:rFonts w:ascii="Times New Roman" w:cs="Times New Roman" w:eastAsia="Times New Roman" w:hAnsi="Times New Roman"/>
          <w:sz w:val="17"/>
          <w:szCs w:val="17"/>
          <w:color w:val="auto"/>
        </w:rPr>
      </w:pPr>
    </w:p>
    <w:p>
      <w:pPr>
        <w:ind w:right="60" w:firstLine="7"/>
        <w:spacing w:after="0" w:line="249" w:lineRule="auto"/>
        <w:tabs>
          <w:tab w:leader="none" w:pos="262"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that the Maximum Number of Securities has not been reached under the foregoing clause (i),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and the Common Stock, if any, as to which Registration has been requested by any Other Holders pursuant to separate written contractual piggy-back registration rights (pro rata based on the respective number of Registrable Securities or shares of Common Stock that such Holder or Other Holder, as applicable, has requested be included in such Piggyback Registration relative to the total number of Registrable Securities and shares of Common Stock that all Holders and Other Holders have requested be included in such Piggyback Registration), which can be sold without exceeding the Maximum Number of Securities;</w:t>
      </w:r>
    </w:p>
    <w:p>
      <w:pPr>
        <w:spacing w:after="0" w:line="186" w:lineRule="exact"/>
        <w:rPr>
          <w:rFonts w:ascii="Times New Roman" w:cs="Times New Roman" w:eastAsia="Times New Roman" w:hAnsi="Times New Roman"/>
          <w:sz w:val="18"/>
          <w:szCs w:val="18"/>
          <w:color w:val="auto"/>
        </w:rPr>
      </w:pPr>
    </w:p>
    <w:p>
      <w:pPr>
        <w:ind w:firstLine="1288"/>
        <w:spacing w:after="0" w:line="249" w:lineRule="auto"/>
        <w:tabs>
          <w:tab w:leader="none" w:pos="1533"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not initiated and undertaken for the Company’s account and is pursuant to a request by persons or entities other than the Holders of Registrable Securities, then the Company shall include in any such Registration (i) first, the Common Stock or other equity securities, if any, of such requesting persons or entities, other than the Holders of Registrable Securities, which can be sold without exceeding the Maximum Number of Securities; (ii)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(pro rata based on the respective number of Registrable Securities that such Holder has requested be included in such Piggyback Registration relative to the total number of Registrable Securities that all Holders have requested be included in such Piggyback Registration), which can be sold without exceeding the Maximum Number of Securities; (iii) third, to the extent that the Maximum Number of Securities has not been reached under the foregoing clauses (i) and (ii), the Common Stock or other equity securities that the Company desires to sell, which can be sold without exceeding the Maximum Number of Securities; and (iv) fourth, to the extent that the Maximum Number of Securities has not been reached under the foregoing clauses (i), (ii) and (iii), the Common Stock or other equity securities for the account of any other persons or entities that the Company is obligated to register pursuant to separate written contractual arrangements with such other person or entity (pro rata based on the shares of Common Stock that such other person or entity, as applicable, has requested be included in such Piggyback Registration relative to the total number of shares of Common Stock that such other persons or entities have requested be included in such Piggyback Registration), which can be sold without exceeding the Maximum Number of Securities.</w:t>
      </w:r>
    </w:p>
    <w:p>
      <w:pPr>
        <w:spacing w:after="0" w:line="196" w:lineRule="exact"/>
        <w:rPr>
          <w:sz w:val="20"/>
          <w:szCs w:val="20"/>
          <w:color w:val="auto"/>
        </w:rPr>
      </w:pPr>
    </w:p>
    <w:p>
      <w:pPr>
        <w:ind w:right="80" w:firstLine="961"/>
        <w:spacing w:after="0" w:line="251"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subsection 2.2.3</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0" w:name="page271"/>
    <w:bookmarkEnd w:id="270"/>
    <w:p>
      <w:pPr>
        <w:jc w:val="both"/>
        <w:ind w:right="240" w:firstLine="961"/>
        <w:spacing w:after="0" w:line="26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or Underwritten Shelf Takedown effected under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Shelf Registrations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961"/>
        <w:spacing w:after="0" w:line="249"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Initial Shelf Registration</w:t>
      </w:r>
      <w:r>
        <w:rPr>
          <w:rFonts w:ascii="Times New Roman" w:cs="Times New Roman" w:eastAsia="Times New Roman" w:hAnsi="Times New Roman"/>
          <w:sz w:val="18"/>
          <w:szCs w:val="18"/>
          <w:color w:val="auto"/>
        </w:rPr>
        <w:t>. The Company shall file with the Commission within forty-five (45) days of the Closing, and use commercially reasonable efforts to cause to be declared effective as soon as reasonably practicable thereafter, a Registration Statement for a Shelf Registration on Form S-1 (the “</w:t>
      </w:r>
      <w:r>
        <w:rPr>
          <w:rFonts w:ascii="Times New Roman" w:cs="Times New Roman" w:eastAsia="Times New Roman" w:hAnsi="Times New Roman"/>
          <w:sz w:val="18"/>
          <w:szCs w:val="18"/>
          <w:b w:val="1"/>
          <w:bCs w:val="1"/>
          <w:i w:val="1"/>
          <w:iCs w:val="1"/>
          <w:color w:val="auto"/>
        </w:rPr>
        <w:t>Form S-1 Shelf</w:t>
      </w:r>
      <w:r>
        <w:rPr>
          <w:rFonts w:ascii="Times New Roman" w:cs="Times New Roman" w:eastAsia="Times New Roman" w:hAnsi="Times New Roman"/>
          <w:sz w:val="18"/>
          <w:szCs w:val="18"/>
          <w:color w:val="auto"/>
        </w:rPr>
        <w:t>”) or, if the Company is eligible to use a Registration Statement on Form S-3, a Shelf Registration on Form S-3 (the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in each case, covering the resale of all the Registrable Securities (determined as of two (2) Business Days prior to such filing) on a delayed or continuous basis. Such Shelf shall provide for the resale of the Registrable Securities included therein pursuant to any method or combination of methods legally available to, and requested by, any Holder named therein. The Company shall use its commercially reasonable efforts to maintain a Shelf in accordance with the terms of this Agreement, and shall use its commercially reasonable efforts to prepare and file with the Commission such amendments, including post-effective amendments, and supplements as may be necessary to keep a Shelf continuously effective, available for use and in compliance with the provisions of the Securities Act until such time as there are no longer any Registrable Securities, subject to Section 3.4 hereof. In the event the Company files a Form S-1 Shelf, the Company shall use its commercially reasonable efforts to convert the Form S-1 Shelf (and any Subsequent Shelf Registration) to a Form S-3 Shelf as soon as practicable after the Company is eligible to use Form S-3, or any similar short form registration. Notwithstanding anything to the contrary herein, to the extent there is an active Form S-3 Shelf under this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covering a Holder’s or Holders’ Registrable Securities, and such Holder or Holders qualify as Demanding Holders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wish to request an Underwritten Offering, such Underwritten Offering shall follow the procedures of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 The Company shall have the right to remove any persons no longer holding Registrable Securities from the Shelf or any other shelf registration statement by means of a post-effective amendment.</w:t>
      </w:r>
    </w:p>
    <w:p>
      <w:pPr>
        <w:spacing w:after="0" w:line="195" w:lineRule="exact"/>
        <w:rPr>
          <w:sz w:val="20"/>
          <w:szCs w:val="20"/>
          <w:color w:val="auto"/>
        </w:rPr>
      </w:pPr>
    </w:p>
    <w:p>
      <w:pPr>
        <w:ind w:right="40" w:firstLine="961"/>
        <w:spacing w:after="0" w:line="249"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Registrations on Form S-3</w:t>
      </w:r>
      <w:r>
        <w:rPr>
          <w:rFonts w:ascii="Times New Roman" w:cs="Times New Roman" w:eastAsia="Times New Roman" w:hAnsi="Times New Roman"/>
          <w:sz w:val="18"/>
          <w:szCs w:val="18"/>
          <w:color w:val="auto"/>
        </w:rPr>
        <w:t>. The Holders of Registrable Securities may, at any time and from time to time on or after the expiration of the Lock-up Period applicable to the Registrable Securities of a Holder, to the extent that its Registrable Securities are not covered by an effective Shelf,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or if the Company is a well-known seasoned issuer (as defined in Rule 405 under the Securities Act) on an automatic shelf registration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five (5) days after the receipt by the Holder of the notice from the Company. As soon as reasonably practicable thereafter, but not more than fifteen (15) days after the Company’s initial receipt of such written request for a Registration on Form S-3, the Company shall use commercially reasonable efforts to file a Form S-3 to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and shall use commercially reasonable efforts to cause such Form S-3 to be declared effective as soon as reasonably practicable after its initial filing;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obligated to effect a Registration pursuant to this </w:t>
      </w:r>
      <w:r>
        <w:rPr>
          <w:rFonts w:ascii="Times New Roman" w:cs="Times New Roman" w:eastAsia="Times New Roman" w:hAnsi="Times New Roman"/>
          <w:sz w:val="18"/>
          <w:szCs w:val="18"/>
          <w:u w:val="single" w:color="auto"/>
          <w:color w:val="auto"/>
        </w:rPr>
        <w:t>subsection 2.3.2</w:t>
      </w:r>
      <w:r>
        <w:rPr>
          <w:rFonts w:ascii="Times New Roman" w:cs="Times New Roman" w:eastAsia="Times New Roman" w:hAnsi="Times New Roman"/>
          <w:sz w:val="18"/>
          <w:szCs w:val="18"/>
          <w:color w:val="auto"/>
        </w:rPr>
        <w:t xml:space="preserve"> hereof only if (i) Form S-3 is available for such Registration; and (ii) the Holders of Registrable Securities, together with the Holders of any other equity securities of the Company entitled to inclusion in such Registration, propose to sell Registrable Securities and such other equity securities (if any) with a total offering price to the public reasonably expected to exceed, in the aggregate, $20 million.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71" w:name="page272"/>
    <w:bookmarkEnd w:id="271"/>
    <w:p>
      <w:pPr>
        <w:ind w:firstLine="961"/>
        <w:spacing w:after="0" w:line="249"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Subsequent Shelf Registration</w:t>
      </w:r>
      <w:r>
        <w:rPr>
          <w:rFonts w:ascii="Times New Roman" w:cs="Times New Roman" w:eastAsia="Times New Roman" w:hAnsi="Times New Roman"/>
          <w:sz w:val="18"/>
          <w:szCs w:val="18"/>
          <w:color w:val="auto"/>
        </w:rPr>
        <w:t xml:space="preserve">. If any Shelf ceases to be effective under the Securities Act for any reason at any time while Registrable Securities included thereon are still outstanding, the Company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 “</w:t>
      </w:r>
      <w:r>
        <w:rPr>
          <w:rFonts w:ascii="Times New Roman" w:cs="Times New Roman" w:eastAsia="Times New Roman" w:hAnsi="Times New Roman"/>
          <w:sz w:val="18"/>
          <w:szCs w:val="18"/>
          <w:b w:val="1"/>
          <w:bCs w:val="1"/>
          <w:i w:val="1"/>
          <w:iCs w:val="1"/>
          <w:color w:val="auto"/>
        </w:rPr>
        <w:t>Subsequent Shelf Registration”</w:t>
      </w:r>
      <w:r>
        <w:rPr>
          <w:rFonts w:ascii="Times New Roman" w:cs="Times New Roman" w:eastAsia="Times New Roman" w:hAnsi="Times New Roman"/>
          <w:sz w:val="18"/>
          <w:szCs w:val="18"/>
          <w:color w:val="auto"/>
        </w:rPr>
        <w:t xml:space="preserve">) registering the resale of all Registrable Securities from time to time, and pursuant to any method or combination of methods legally available to, and reasonably requested by, any Holder named therein. If a Subsequent Shelf Registration is filed, the Company shall use its commercially reasonable efforts to (i) cause such Subsequent Shelf Registration to become effective under the Securities Act as promptly as is reasonably practicable after the filing thereof and (ii) keep such Subsequent Shelf Registration continuously effective, available for use to permit Holders named therein to sell their Registrable Securities included therein and in compliance with the provisions of the Securities Act until such time as there are no longer any Registrable Securities included thereon. Any such Subsequent Shelf Registration shall be on Form S-3, or any similar short form registration, to the extent that the Company is eligible to use such form. Without limiting the foregoing provisions of this Section 2.3.3, 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a Shelf (including by means of a post-effective amendment) or a Subsequent Shelf Registration and cause the same to be declared effective as soon as practicable after such filing and such Shelf or Subsequent Shelf Registration shall be subject to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only be required to cause such Registrable Securities to be so covered twice annually after inquiry of the Holders.</w:t>
      </w:r>
    </w:p>
    <w:p>
      <w:pPr>
        <w:spacing w:after="0" w:line="192" w:lineRule="exact"/>
        <w:rPr>
          <w:sz w:val="20"/>
          <w:szCs w:val="20"/>
          <w:color w:val="auto"/>
        </w:rPr>
      </w:pPr>
    </w:p>
    <w:p>
      <w:pPr>
        <w:ind w:right="20" w:firstLine="961"/>
        <w:spacing w:after="0" w:line="264" w:lineRule="auto"/>
        <w:rPr>
          <w:sz w:val="20"/>
          <w:szCs w:val="20"/>
          <w:color w:val="auto"/>
        </w:rPr>
      </w:pPr>
      <w:r>
        <w:rPr>
          <w:rFonts w:ascii="Times New Roman" w:cs="Times New Roman" w:eastAsia="Times New Roman" w:hAnsi="Times New Roman"/>
          <w:sz w:val="17"/>
          <w:szCs w:val="17"/>
          <w:color w:val="auto"/>
        </w:rPr>
        <w:t xml:space="preserve">2.3.4 </w:t>
      </w:r>
      <w:r>
        <w:rPr>
          <w:rFonts w:ascii="Times New Roman" w:cs="Times New Roman" w:eastAsia="Times New Roman" w:hAnsi="Times New Roman"/>
          <w:sz w:val="17"/>
          <w:szCs w:val="17"/>
          <w:u w:val="single" w:color="auto"/>
          <w:color w:val="auto"/>
        </w:rPr>
        <w:t>Underwritten Shelf Takedown</w:t>
      </w:r>
      <w:r>
        <w:rPr>
          <w:rFonts w:ascii="Times New Roman" w:cs="Times New Roman" w:eastAsia="Times New Roman" w:hAnsi="Times New Roman"/>
          <w:sz w:val="17"/>
          <w:szCs w:val="17"/>
          <w:color w:val="auto"/>
        </w:rPr>
        <w:t>. At any time and from time to time after a Form S-3 Shelf has been declared effective by the Commission, any Demanding Holder (the “</w:t>
      </w:r>
      <w:r>
        <w:rPr>
          <w:rFonts w:ascii="Times New Roman" w:cs="Times New Roman" w:eastAsia="Times New Roman" w:hAnsi="Times New Roman"/>
          <w:sz w:val="17"/>
          <w:szCs w:val="17"/>
          <w:b w:val="1"/>
          <w:bCs w:val="1"/>
          <w:i w:val="1"/>
          <w:iCs w:val="1"/>
          <w:color w:val="auto"/>
        </w:rPr>
        <w:t>Takedown Demanding Holders</w:t>
      </w:r>
      <w:r>
        <w:rPr>
          <w:rFonts w:ascii="Times New Roman" w:cs="Times New Roman" w:eastAsia="Times New Roman" w:hAnsi="Times New Roman"/>
          <w:sz w:val="17"/>
          <w:szCs w:val="17"/>
          <w:color w:val="auto"/>
        </w:rPr>
        <w:t>”) may request to sell all or any portion of its Registrable Securities in an underwritten offering that is registered pursuant to the Form S-3 Shelf (each, an “</w:t>
      </w:r>
      <w:r>
        <w:rPr>
          <w:rFonts w:ascii="Times New Roman" w:cs="Times New Roman" w:eastAsia="Times New Roman" w:hAnsi="Times New Roman"/>
          <w:sz w:val="17"/>
          <w:szCs w:val="17"/>
          <w:b w:val="1"/>
          <w:bCs w:val="1"/>
          <w:i w:val="1"/>
          <w:iCs w:val="1"/>
          <w:color w:val="auto"/>
        </w:rPr>
        <w:t>Underwritten Shelf Takedown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only be obligated to effect an Underwritten Shelf Takedown if such offering shall include Registrable Securities with a total offering price (including piggyback securities and before deduction of underwriting discounts) reasonably expected to exceed, in the aggregate, $20 million (the “</w:t>
      </w:r>
      <w:r>
        <w:rPr>
          <w:rFonts w:ascii="Times New Roman" w:cs="Times New Roman" w:eastAsia="Times New Roman" w:hAnsi="Times New Roman"/>
          <w:sz w:val="17"/>
          <w:szCs w:val="17"/>
          <w:b w:val="1"/>
          <w:bCs w:val="1"/>
          <w:i w:val="1"/>
          <w:iCs w:val="1"/>
          <w:color w:val="auto"/>
        </w:rPr>
        <w:t>Minimum Takedown Threshold</w:t>
      </w:r>
      <w:r>
        <w:rPr>
          <w:rFonts w:ascii="Times New Roman" w:cs="Times New Roman" w:eastAsia="Times New Roman" w:hAnsi="Times New Roman"/>
          <w:sz w:val="17"/>
          <w:szCs w:val="17"/>
          <w:color w:val="auto"/>
        </w:rPr>
        <w:t>”). All requests for Underwritten Shelf Takedowns shall be made by giving written notice to the Company at least five (5) Business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Times New Roman" w:cs="Times New Roman" w:eastAsia="Times New Roman" w:hAnsi="Times New Roman"/>
          <w:sz w:val="17"/>
          <w:szCs w:val="17"/>
          <w:b w:val="1"/>
          <w:bCs w:val="1"/>
          <w:i w:val="1"/>
          <w:iCs w:val="1"/>
          <w:color w:val="auto"/>
        </w:rPr>
        <w:t>Takedown Requesting Holder</w:t>
      </w:r>
      <w:r>
        <w:rPr>
          <w:rFonts w:ascii="Times New Roman" w:cs="Times New Roman" w:eastAsia="Times New Roman" w:hAnsi="Times New Roman"/>
          <w:sz w:val="17"/>
          <w:szCs w:val="17"/>
          <w:color w:val="auto"/>
        </w:rPr>
        <w:t xml:space="preserve">”) at least two (2) Business Days prior to the public announcement of such Underwritten Shelf Takedown pursuant to the piggyback registration rights of such Holder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herein. The Takedown Demanding Holders holding a majority-in-interest of the Registrable Securities proposed to be sold in the underwritten offering shall have the right to select the underwriter(s) for such offering, subject to the Company’s prior approval which shall not be unreasonably withheld, conditioned or delayed. The Demanding Holders may demand an aggregate of not more than four (4) Underwritten Shelf Takedowns pursuant to this Agreement (of which the Sponsor may demand not more than two (2)), and the Company is not obligated to effect (x) more than two (2) Underwritten Shelf Takedowns per year (provided, that, the Sponsor may demand not more than one (1) Underwritten Shelf Takedowns per year) or (y) an Underwritten Shelf Takedown within sixty (60) days after the closing of a prior Underwritten Shelf Takedown. The Company shall use its commercially reasonable efforts to effect such Underwritten Shelf Takedowns, including the filing of any prospectus supplement or any post-effective amendments and otherwise taking any action necessary to include therein all disclosure and language deemed necessary or advisable by the Demanding Holder to effect such Underwritten Shelf Takedown. For purposes of clarity, any Registration effected pursuant to this </w:t>
      </w:r>
      <w:r>
        <w:rPr>
          <w:rFonts w:ascii="Times New Roman" w:cs="Times New Roman" w:eastAsia="Times New Roman" w:hAnsi="Times New Roman"/>
          <w:sz w:val="17"/>
          <w:szCs w:val="17"/>
          <w:u w:val="single" w:color="auto"/>
          <w:color w:val="auto"/>
        </w:rPr>
        <w:t>subsection 2.3.4</w:t>
      </w:r>
      <w:r>
        <w:rPr>
          <w:rFonts w:ascii="Times New Roman" w:cs="Times New Roman" w:eastAsia="Times New Roman" w:hAnsi="Times New Roman"/>
          <w:sz w:val="17"/>
          <w:szCs w:val="17"/>
          <w:color w:val="auto"/>
        </w:rPr>
        <w:t xml:space="preserve"> shall not be counted as a Registration pursuant to a Demand Registration effected under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hereof or Block Trade or Other Coordinated Offering effected under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hereof.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2" w:name="page273"/>
    <w:bookmarkEnd w:id="272"/>
    <w:p>
      <w:pPr>
        <w:ind w:right="80" w:firstLine="961"/>
        <w:spacing w:after="0" w:line="265" w:lineRule="auto"/>
        <w:rPr>
          <w:sz w:val="20"/>
          <w:szCs w:val="20"/>
          <w:color w:val="auto"/>
        </w:rPr>
      </w:pPr>
      <w:r>
        <w:rPr>
          <w:rFonts w:ascii="Times New Roman" w:cs="Times New Roman" w:eastAsia="Times New Roman" w:hAnsi="Times New Roman"/>
          <w:sz w:val="17"/>
          <w:szCs w:val="17"/>
          <w:color w:val="auto"/>
        </w:rPr>
        <w:t xml:space="preserve">2.3.5 </w:t>
      </w:r>
      <w:r>
        <w:rPr>
          <w:rFonts w:ascii="Times New Roman" w:cs="Times New Roman" w:eastAsia="Times New Roman" w:hAnsi="Times New Roman"/>
          <w:sz w:val="17"/>
          <w:szCs w:val="17"/>
          <w:u w:val="single" w:color="auto"/>
          <w:color w:val="auto"/>
        </w:rPr>
        <w:t>Reduction of Underwritten Shelf Takedown</w:t>
      </w:r>
      <w:r>
        <w:rPr>
          <w:rFonts w:ascii="Times New Roman" w:cs="Times New Roman" w:eastAsia="Times New Roman" w:hAnsi="Times New Roman"/>
          <w:sz w:val="17"/>
          <w:szCs w:val="17"/>
          <w:color w:val="auto"/>
        </w:rPr>
        <w:t>. If the managing Underwriters in an Underwritten Shelf Takedown, in good faith, advises the Company, the Takedown Demanding Holders and the Takedown Requesting Holders (if any) in writing that the dollar amount or number of Registrable Securities that the Takedown Demanding Holders and the Takedown Requesting Holders (if any) desire to sell, taken together with all other Common Stock or other equity securities that the Company desires to sell, exceeds the Maximum Number of Securities, then the Company shall include in such Underwritten Shelf Takedown, as follows: (i) first, the Registrable Securities of the Takedown Demanding Holders that can be sold without exceeding the Maximum Number of Securities; (ii) second, to the extent that the Maximum Number of Securities has not been reached under the foregoing clause (i), the Common Stock or other equity securities of the Takedown Requesting Holders, if any, that can be sold without exceeding the Maximum Number of Securities determined pro rata based on the respective number of shares of Common Stock or other equity securities that each Takedown Requesting Holder has so requested to be included in such Underwritten Shelf Takedown; (iii) third, to the extent that the Maximum Number of Securities has not been reached under the foregoing clauses (i) and (ii), the Common Stock or other equity securities that the Company desires to sell and that can be sold without exceeding the Maximum Number of Securities,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3" w:lineRule="exact"/>
        <w:rPr>
          <w:sz w:val="20"/>
          <w:szCs w:val="20"/>
          <w:color w:val="auto"/>
        </w:rPr>
      </w:pPr>
    </w:p>
    <w:p>
      <w:pPr>
        <w:ind w:right="100" w:firstLine="961"/>
        <w:spacing w:after="0" w:line="252"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u w:val="single" w:color="auto"/>
          <w:color w:val="auto"/>
        </w:rPr>
        <w:t>Underwritten Shelf Takedown Withdrawal</w:t>
      </w:r>
      <w:r>
        <w:rPr>
          <w:rFonts w:ascii="Times New Roman" w:cs="Times New Roman" w:eastAsia="Times New Roman" w:hAnsi="Times New Roman"/>
          <w:sz w:val="18"/>
          <w:szCs w:val="18"/>
          <w:color w:val="auto"/>
        </w:rPr>
        <w:t xml:space="preserve">. A Takedown Demanding Holder shall have the right to withdraw from an Underwritten Shelf Takedown for any or no reason whatsoever upon written notification to the Company and the Underwriters (if any) of its intention to withdraw from such Underwritten Shelf Takedown prior to the public announcement of such Underwritten Shelf Takedown;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Takedown Demanding Holder delivers a written notification to the Company and the Underwriters (if any) of its intention to withdraw from such Underwritten Shelf Takedown, the Company shall not be required to continue such Underwritten Shelf Takedown unless the Minimum Takedown Threshold would still be satisfied by the Registrable Securities proposed to be sold. Notwithstanding anything to the contrary in this Agreement, the Company shall be responsible for the Registration Expenses incurred in connection with an Underwritten Shelf Takedown prior to a withdrawal under this </w:t>
      </w:r>
      <w:r>
        <w:rPr>
          <w:rFonts w:ascii="Times New Roman" w:cs="Times New Roman" w:eastAsia="Times New Roman" w:hAnsi="Times New Roman"/>
          <w:sz w:val="18"/>
          <w:szCs w:val="18"/>
          <w:u w:val="single" w:color="auto"/>
          <w:color w:val="auto"/>
        </w:rPr>
        <w:t>subsection 2.3.6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320"/>
        <w:spacing w:after="0" w:line="250"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Restrictions on Registration Rights</w:t>
      </w:r>
      <w:r>
        <w:rPr>
          <w:rFonts w:ascii="Times New Roman" w:cs="Times New Roman" w:eastAsia="Times New Roman" w:hAnsi="Times New Roman"/>
          <w:sz w:val="18"/>
          <w:szCs w:val="18"/>
          <w:color w:val="auto"/>
        </w:rPr>
        <w:t xml:space="preserve">. If (i)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it continues to actively employ, in good faith, all commercially reasonable efforts to cause the applicable Registration Statement to be declared effective; (ii) the Holders have requested an Underwritten Registration and the Company and the Holders are unable to obtain the commitment of underwriters to firmly underwrite the offer; or (iii)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defer its obligation in this manner more than two (2) times in any 12-month period.</w:t>
      </w:r>
    </w:p>
    <w:p>
      <w:pPr>
        <w:spacing w:after="0" w:line="190" w:lineRule="exact"/>
        <w:rPr>
          <w:sz w:val="20"/>
          <w:szCs w:val="20"/>
          <w:color w:val="auto"/>
        </w:rPr>
      </w:pPr>
    </w:p>
    <w:p>
      <w:pPr>
        <w:ind w:firstLine="320"/>
        <w:spacing w:after="0" w:line="250"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In connection with any Underwritten Offering of equity securities of the Company in which a Holder participates, if requested by the managing Underwriters, such Holder agrees that it shall not Transfer any shares of Common Stock or other equity securities of the Company (other than those included in such offering pursuant to this Agreement), without the prior written consent of the Company, during the ninety (90)-day period (or such shorter time agreed to by the managing Underwriters) beginning on the date of pricing of such offering, except as expressly permitted by such lock-up agreement or in the event the managing Underwriters otherwise agree by written consent and further agrees to execute a customary lock-up agreement in favor of the Underwriters to such effect (in each case on substantially the same terms and conditions as all such Holders) (a “</w:t>
      </w:r>
      <w:r>
        <w:rPr>
          <w:rFonts w:ascii="Times New Roman" w:cs="Times New Roman" w:eastAsia="Times New Roman" w:hAnsi="Times New Roman"/>
          <w:sz w:val="18"/>
          <w:szCs w:val="18"/>
          <w:b w:val="1"/>
          <w:bCs w:val="1"/>
          <w:i w:val="1"/>
          <w:iCs w:val="1"/>
          <w:color w:val="auto"/>
        </w:rPr>
        <w:t>Lock-Up</w:t>
      </w:r>
      <w:r>
        <w:rPr>
          <w:rFonts w:ascii="Times New Roman" w:cs="Times New Roman" w:eastAsia="Times New Roman" w:hAnsi="Times New Roman"/>
          <w:sz w:val="18"/>
          <w:szCs w:val="18"/>
          <w:color w:val="auto"/>
        </w:rPr>
        <w:t>”). Notwithstanding the foregoing, any release of a Lock-Up by Underwriters shall only be effective if made on a pro rata basis, including with respect to management and employees, and any Lock-Up with Underwriters shall contain a clause to this effect. Each of the Holders that is a director or officer of the Company shall execute and deliver any “lock-up” agreement reasonably requested by the managing underwriter of such Underwritten Offering, but only to the extent as is required generally of any executive officers or directors by such managing underwriter.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73" w:name="page274"/>
    <w:bookmarkEnd w:id="273"/>
    <w:p>
      <w:pPr>
        <w:ind w:left="32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Block Trades; Other Coordinated Offerings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40" w:firstLine="320"/>
        <w:spacing w:after="0" w:line="250" w:lineRule="auto"/>
        <w:rPr>
          <w:sz w:val="20"/>
          <w:szCs w:val="20"/>
          <w:color w:val="auto"/>
        </w:rPr>
      </w:pPr>
      <w:r>
        <w:rPr>
          <w:rFonts w:ascii="Times New Roman" w:cs="Times New Roman" w:eastAsia="Times New Roman" w:hAnsi="Times New Roman"/>
          <w:sz w:val="18"/>
          <w:szCs w:val="18"/>
          <w:color w:val="auto"/>
        </w:rPr>
        <w:t xml:space="preserve">2.6.1 Notwithstanding any other provision of Article II, but subject to </w:t>
      </w:r>
      <w:r>
        <w:rPr>
          <w:rFonts w:ascii="Times New Roman" w:cs="Times New Roman" w:eastAsia="Times New Roman" w:hAnsi="Times New Roman"/>
          <w:sz w:val="18"/>
          <w:szCs w:val="18"/>
          <w:u w:val="single" w:color="auto"/>
          <w:color w:val="auto"/>
        </w:rPr>
        <w:t>Sections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at any time and from time to time when an effective S-3 Shelf is on file with the Commission, if a Demanding Holder wishes to engage in (a) an underwritten registered offering not involving a “roadshow,” an offer commonly known as a “block trade” (a “</w:t>
      </w:r>
      <w:r>
        <w:rPr>
          <w:rFonts w:ascii="Times New Roman" w:cs="Times New Roman" w:eastAsia="Times New Roman" w:hAnsi="Times New Roman"/>
          <w:sz w:val="18"/>
          <w:szCs w:val="18"/>
          <w:b w:val="1"/>
          <w:bCs w:val="1"/>
          <w:i w:val="1"/>
          <w:iCs w:val="1"/>
          <w:color w:val="auto"/>
        </w:rPr>
        <w:t>Block Trade</w:t>
      </w:r>
      <w:r>
        <w:rPr>
          <w:rFonts w:ascii="Times New Roman" w:cs="Times New Roman" w:eastAsia="Times New Roman" w:hAnsi="Times New Roman"/>
          <w:sz w:val="18"/>
          <w:szCs w:val="18"/>
          <w:color w:val="auto"/>
        </w:rPr>
        <w:t>”) or (b) an “at the market” or similar registered offering through a broker, sales agent or distribution agent, whether as agent or principal, (an “</w:t>
      </w:r>
      <w:r>
        <w:rPr>
          <w:rFonts w:ascii="Times New Roman" w:cs="Times New Roman" w:eastAsia="Times New Roman" w:hAnsi="Times New Roman"/>
          <w:sz w:val="18"/>
          <w:szCs w:val="18"/>
          <w:b w:val="1"/>
          <w:bCs w:val="1"/>
          <w:i w:val="1"/>
          <w:iCs w:val="1"/>
          <w:color w:val="auto"/>
        </w:rPr>
        <w:t>Other Coordinated Offering</w:t>
      </w:r>
      <w:r>
        <w:rPr>
          <w:rFonts w:ascii="Times New Roman" w:cs="Times New Roman" w:eastAsia="Times New Roman" w:hAnsi="Times New Roman"/>
          <w:sz w:val="18"/>
          <w:szCs w:val="18"/>
          <w:color w:val="auto"/>
        </w:rPr>
        <w:t xml:space="preserve">”), in each case, with an anticipated aggregate offering price of, either (x) at least $20 million or (y) all remaining Registrable Securities held by the Demanding Holder, then such Demanding Holder only needs to notify the Company of the Block Trade or Other Coordinated Offering at least five (5) Business Days prior to the day such offering is to commence and the Company shall as expeditiously as possible use its commercially reasonable efforts to facilitate such Block Trade or Other Coordinated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Demanding Holders representing a majority-in-interest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190" w:lineRule="exact"/>
        <w:rPr>
          <w:sz w:val="20"/>
          <w:szCs w:val="20"/>
          <w:color w:val="auto"/>
        </w:rPr>
      </w:pPr>
    </w:p>
    <w:p>
      <w:pPr>
        <w:ind w:right="40" w:firstLine="320"/>
        <w:spacing w:after="0" w:line="253" w:lineRule="auto"/>
        <w:rPr>
          <w:sz w:val="20"/>
          <w:szCs w:val="20"/>
          <w:color w:val="auto"/>
        </w:rPr>
      </w:pPr>
      <w:r>
        <w:rPr>
          <w:rFonts w:ascii="Times New Roman" w:cs="Times New Roman" w:eastAsia="Times New Roman" w:hAnsi="Times New Roman"/>
          <w:sz w:val="18"/>
          <w:szCs w:val="18"/>
          <w:color w:val="auto"/>
        </w:rPr>
        <w:t>2.6.2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Section 2.6.2.</w:t>
      </w:r>
    </w:p>
    <w:p>
      <w:pPr>
        <w:spacing w:after="0" w:line="185" w:lineRule="exact"/>
        <w:rPr>
          <w:sz w:val="20"/>
          <w:szCs w:val="20"/>
          <w:color w:val="auto"/>
        </w:rPr>
      </w:pPr>
    </w:p>
    <w:p>
      <w:pPr>
        <w:ind w:right="200" w:firstLine="320"/>
        <w:spacing w:after="0" w:line="277" w:lineRule="auto"/>
        <w:rPr>
          <w:sz w:val="20"/>
          <w:szCs w:val="20"/>
          <w:color w:val="auto"/>
        </w:rPr>
      </w:pPr>
      <w:r>
        <w:rPr>
          <w:rFonts w:ascii="Times New Roman" w:cs="Times New Roman" w:eastAsia="Times New Roman" w:hAnsi="Times New Roman"/>
          <w:sz w:val="18"/>
          <w:szCs w:val="18"/>
          <w:color w:val="auto"/>
        </w:rPr>
        <w:t>2.6.3 Notwithstanding anything to the contrary in this Agreement, Section 2.2 shall not apply to a Block Trade or Other Coordinated Offering initiated by a Demanding Holder pursuant to this Agreement.</w:t>
      </w:r>
    </w:p>
    <w:p>
      <w:pPr>
        <w:spacing w:after="0" w:line="163" w:lineRule="exact"/>
        <w:rPr>
          <w:sz w:val="20"/>
          <w:szCs w:val="20"/>
          <w:color w:val="auto"/>
        </w:rPr>
      </w:pPr>
    </w:p>
    <w:p>
      <w:pPr>
        <w:ind w:right="420" w:firstLine="320"/>
        <w:spacing w:after="0" w:line="277" w:lineRule="auto"/>
        <w:rPr>
          <w:sz w:val="20"/>
          <w:szCs w:val="20"/>
          <w:color w:val="auto"/>
        </w:rPr>
      </w:pPr>
      <w:r>
        <w:rPr>
          <w:rFonts w:ascii="Times New Roman" w:cs="Times New Roman" w:eastAsia="Times New Roman" w:hAnsi="Times New Roman"/>
          <w:sz w:val="18"/>
          <w:szCs w:val="18"/>
          <w:color w:val="auto"/>
        </w:rPr>
        <w:t>2.6.4 The Demanding Holders in a Block Trade or Other Coordinated Offering shall have the right to select the Underwriters and any brokers, sales agents or placement agents (if any) for such Block Trade or Other Coordinated Offering.</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2.6.5 A Demanding Holder may demand no more than two (2) Block Trades or Other Coordinated Offerings pursuant to this Section 2.6 in any twelve</w:t>
      </w:r>
    </w:p>
    <w:p>
      <w:pPr>
        <w:spacing w:after="0" w:line="25" w:lineRule="exact"/>
        <w:rPr>
          <w:sz w:val="20"/>
          <w:szCs w:val="20"/>
          <w:color w:val="auto"/>
        </w:rPr>
      </w:pPr>
    </w:p>
    <w:p>
      <w:pPr>
        <w:ind w:right="60" w:firstLine="7"/>
        <w:spacing w:after="0" w:line="255" w:lineRule="auto"/>
        <w:tabs>
          <w:tab w:leader="none" w:pos="34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For the avoidance of doubt, any Block Trade or Other Coordinated Offering effected pursuant to this Section 2.6 shall not be counted as a demand for a Demand Registration pursuant to Section 2.1 hereof or an Underwritten Shelf Takedown pursuant to subsection 2.3.4 hereof.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1"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If at any time on or after the date of this Agreement the Company is required to effect the Registration of Registrable Securities, subject to applicable law and any regulations promulgated by any securities exchange on which the Company’s equity securities are then listed, each as interpreted by the Company with the advice of its counsel,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spacing w:after="0" w:line="186" w:lineRule="exact"/>
        <w:rPr>
          <w:sz w:val="20"/>
          <w:szCs w:val="20"/>
          <w:color w:val="auto"/>
        </w:rPr>
      </w:pPr>
    </w:p>
    <w:p>
      <w:pPr>
        <w:ind w:right="80" w:firstLine="961"/>
        <w:spacing w:after="0" w:line="262" w:lineRule="auto"/>
        <w:rPr>
          <w:sz w:val="20"/>
          <w:szCs w:val="20"/>
          <w:color w:val="auto"/>
        </w:rPr>
      </w:pPr>
      <w:r>
        <w:rPr>
          <w:rFonts w:ascii="Times New Roman" w:cs="Times New Roman" w:eastAsia="Times New Roman" w:hAnsi="Times New Roman"/>
          <w:sz w:val="18"/>
          <w:szCs w:val="18"/>
          <w:color w:val="auto"/>
        </w:rPr>
        <w:t>3.1.1 prepare and file with the Commission as soon as reasonably practicable a Registration Statement with respect to such Registrable Securities and use its commercially reasonable efforts to cause such Registration Statement to be declared effective and remain effective until all Registrable Securities covered by such Registration Statement have been sold;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4" w:name="page275"/>
    <w:bookmarkEnd w:id="274"/>
    <w:p>
      <w:pPr>
        <w:ind w:right="80" w:firstLine="961"/>
        <w:spacing w:after="0" w:line="252"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(i) requested by a Holder if additional selling securityholders that are such Holder’s pledgee, donees, transferees, assignees, successors, designees, successors-in-interest and others who later come to hold any of Holder’s interest in the Registrable Securities other than through a public sale are required to be included in a supplement to the Prospectus or (ii)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sz w:val="20"/>
          <w:szCs w:val="20"/>
          <w:color w:val="auto"/>
        </w:rPr>
      </w:pPr>
    </w:p>
    <w:p>
      <w:pPr>
        <w:ind w:firstLine="961"/>
        <w:spacing w:after="0" w:line="267" w:lineRule="auto"/>
        <w:rPr>
          <w:sz w:val="20"/>
          <w:szCs w:val="20"/>
          <w:color w:val="auto"/>
        </w:rPr>
      </w:pPr>
      <w:r>
        <w:rPr>
          <w:rFonts w:ascii="Times New Roman" w:cs="Times New Roman" w:eastAsia="Times New Roman" w:hAnsi="Times New Roman"/>
          <w:sz w:val="17"/>
          <w:szCs w:val="17"/>
          <w:color w:val="auto"/>
        </w:rPr>
        <w:t xml:space="preserve">3.1.3 prior to any public offering of Registrable Securities, use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78" w:lineRule="exact"/>
        <w:rPr>
          <w:sz w:val="20"/>
          <w:szCs w:val="20"/>
          <w:color w:val="auto"/>
        </w:rPr>
      </w:pPr>
    </w:p>
    <w:p>
      <w:pPr>
        <w:ind w:right="220" w:firstLine="961"/>
        <w:spacing w:after="0" w:line="277" w:lineRule="auto"/>
        <w:rPr>
          <w:sz w:val="20"/>
          <w:szCs w:val="20"/>
          <w:color w:val="auto"/>
        </w:rPr>
      </w:pPr>
      <w:r>
        <w:rPr>
          <w:rFonts w:ascii="Times New Roman" w:cs="Times New Roman" w:eastAsia="Times New Roman" w:hAnsi="Times New Roman"/>
          <w:sz w:val="18"/>
          <w:szCs w:val="18"/>
          <w:color w:val="auto"/>
        </w:rPr>
        <w:t>3.1.4 cause all such Registrable Securities to be listed on each securities exchange or automated quotation system on which similar securities issued by the Company are then listed;</w:t>
      </w:r>
    </w:p>
    <w:p>
      <w:pPr>
        <w:spacing w:after="0" w:line="163" w:lineRule="exact"/>
        <w:rPr>
          <w:sz w:val="20"/>
          <w:szCs w:val="20"/>
          <w:color w:val="auto"/>
        </w:rPr>
      </w:pPr>
    </w:p>
    <w:p>
      <w:pPr>
        <w:ind w:right="120" w:firstLine="961"/>
        <w:spacing w:after="0" w:line="277" w:lineRule="auto"/>
        <w:rPr>
          <w:sz w:val="20"/>
          <w:szCs w:val="20"/>
          <w:color w:val="auto"/>
        </w:rPr>
      </w:pPr>
      <w:r>
        <w:rPr>
          <w:rFonts w:ascii="Times New Roman" w:cs="Times New Roman" w:eastAsia="Times New Roman" w:hAnsi="Times New Roman"/>
          <w:sz w:val="18"/>
          <w:szCs w:val="18"/>
          <w:color w:val="auto"/>
        </w:rPr>
        <w:t>3.1.5 provide a transfer agent or warrant agent, as applicable, and registrar for all such Registrable Securities no later than the effective date of such Registration Statement;</w:t>
      </w:r>
    </w:p>
    <w:p>
      <w:pPr>
        <w:spacing w:after="0" w:line="163" w:lineRule="exact"/>
        <w:rPr>
          <w:sz w:val="20"/>
          <w:szCs w:val="20"/>
          <w:color w:val="auto"/>
        </w:rPr>
      </w:pPr>
    </w:p>
    <w:p>
      <w:pPr>
        <w:jc w:val="both"/>
        <w:ind w:right="20" w:firstLine="961"/>
        <w:spacing w:after="0" w:line="284" w:lineRule="auto"/>
        <w:rPr>
          <w:sz w:val="20"/>
          <w:szCs w:val="20"/>
          <w:color w:val="auto"/>
        </w:rPr>
      </w:pPr>
      <w:r>
        <w:rPr>
          <w:rFonts w:ascii="Times New Roman" w:cs="Times New Roman" w:eastAsia="Times New Roman" w:hAnsi="Times New Roman"/>
          <w:sz w:val="17"/>
          <w:szCs w:val="17"/>
          <w:color w:val="auto"/>
        </w:rPr>
        <w:t>3.1.6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60" w:lineRule="exact"/>
        <w:rPr>
          <w:sz w:val="20"/>
          <w:szCs w:val="20"/>
          <w:color w:val="auto"/>
        </w:rPr>
      </w:pPr>
    </w:p>
    <w:p>
      <w:pPr>
        <w:ind w:firstLine="961"/>
        <w:spacing w:after="0" w:line="262" w:lineRule="auto"/>
        <w:rPr>
          <w:sz w:val="20"/>
          <w:szCs w:val="20"/>
          <w:color w:val="auto"/>
        </w:rPr>
      </w:pPr>
      <w:r>
        <w:rPr>
          <w:rFonts w:ascii="Times New Roman" w:cs="Times New Roman" w:eastAsia="Times New Roman" w:hAnsi="Times New Roman"/>
          <w:sz w:val="18"/>
          <w:szCs w:val="18"/>
          <w:color w:val="auto"/>
        </w:rPr>
        <w:t xml:space="preserve">3.1.8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right="40" w:firstLine="961"/>
        <w:spacing w:after="0" w:line="252" w:lineRule="auto"/>
        <w:rPr>
          <w:sz w:val="20"/>
          <w:szCs w:val="20"/>
          <w:color w:val="auto"/>
        </w:rPr>
      </w:pPr>
      <w:r>
        <w:rPr>
          <w:rFonts w:ascii="Times New Roman" w:cs="Times New Roman" w:eastAsia="Times New Roman" w:hAnsi="Times New Roman"/>
          <w:sz w:val="18"/>
          <w:szCs w:val="18"/>
          <w:color w:val="auto"/>
        </w:rPr>
        <w:t xml:space="preserve">3.1.9 permit a representative of the Holders (such representative to be selected by a majority of the participating Holders), the Underwriters, if any, and any attorney or accountant retained by such Holders or Underwriter to participate, other than as set forth in the definition of “Registration Expenses,”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representatives or Underwriters enter into a confidentiality agreement, in form and substance reasonably satisfactory to the Company, prior to the release or disclosure of any such information;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Holders, Underwriters, and their legal counsel must provide any comments promptly (and in any event with five (5) Business Days) after receipt of such Registration Statement;</w:t>
      </w:r>
    </w:p>
    <w:p>
      <w:pPr>
        <w:spacing w:after="0" w:line="187" w:lineRule="exact"/>
        <w:rPr>
          <w:sz w:val="20"/>
          <w:szCs w:val="20"/>
          <w:color w:val="auto"/>
        </w:rPr>
      </w:pPr>
    </w:p>
    <w:p>
      <w:pPr>
        <w:ind w:right="460" w:firstLine="961"/>
        <w:spacing w:after="0" w:line="262" w:lineRule="auto"/>
        <w:rPr>
          <w:sz w:val="20"/>
          <w:szCs w:val="20"/>
          <w:color w:val="auto"/>
        </w:rPr>
      </w:pPr>
      <w:r>
        <w:rPr>
          <w:rFonts w:ascii="Times New Roman" w:cs="Times New Roman" w:eastAsia="Times New Roman" w:hAnsi="Times New Roman"/>
          <w:sz w:val="18"/>
          <w:szCs w:val="18"/>
          <w:color w:val="auto"/>
        </w:rPr>
        <w:t>3.1.10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the managing Underwriter;</w:t>
      </w:r>
    </w:p>
    <w:p>
      <w:pPr>
        <w:spacing w:after="0" w:line="176" w:lineRule="exact"/>
        <w:rPr>
          <w:sz w:val="20"/>
          <w:szCs w:val="20"/>
          <w:color w:val="auto"/>
        </w:rPr>
      </w:pPr>
    </w:p>
    <w:p>
      <w:pPr>
        <w:ind w:right="120" w:firstLine="961"/>
        <w:spacing w:after="0" w:line="254" w:lineRule="auto"/>
        <w:rPr>
          <w:sz w:val="20"/>
          <w:szCs w:val="20"/>
          <w:color w:val="auto"/>
        </w:rPr>
      </w:pPr>
      <w:r>
        <w:rPr>
          <w:rFonts w:ascii="Times New Roman" w:cs="Times New Roman" w:eastAsia="Times New Roman" w:hAnsi="Times New Roman"/>
          <w:sz w:val="18"/>
          <w:szCs w:val="18"/>
          <w:color w:val="auto"/>
        </w:rPr>
        <w:t>3.1.11 on the date the Registrable Securities are delivered for sale pursuant to such Registration, obtain an opinion, dated such date, of counsel representing the Company for the purposes of such Registration, addressed to the placement agent or sales agent, if any, and the Underwriters, if any, covering such legal matters with respect to the Registration in respect of which such opinion is being given as the placement agent, sales agent, or Underwriter may reasonably request and as are customarily included in such opinions and negative assurance letters, and reasonably satisfactory to the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75" w:name="page276"/>
    <w:bookmarkEnd w:id="275"/>
    <w:p>
      <w:pPr>
        <w:ind w:right="720" w:firstLine="961"/>
        <w:spacing w:after="0" w:line="277" w:lineRule="auto"/>
        <w:rPr>
          <w:sz w:val="20"/>
          <w:szCs w:val="20"/>
          <w:color w:val="auto"/>
        </w:rPr>
      </w:pPr>
      <w:r>
        <w:rPr>
          <w:rFonts w:ascii="Times New Roman" w:cs="Times New Roman" w:eastAsia="Times New Roman" w:hAnsi="Times New Roman"/>
          <w:sz w:val="18"/>
          <w:szCs w:val="18"/>
          <w:color w:val="auto"/>
        </w:rPr>
        <w:t>3.1.12 in the event of any Underwritten Offering, enter into and perform its obligations under an underwriting agreement, in usual and customary form, with the managing Underwriter of such offering;</w:t>
      </w:r>
    </w:p>
    <w:p>
      <w:pPr>
        <w:spacing w:after="0" w:line="1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3.1.13 make available to its security holders, as soon as reasonably practicable, an earnings statement covering the period of at least twelve</w:t>
      </w:r>
    </w:p>
    <w:p>
      <w:pPr>
        <w:spacing w:after="0" w:line="25" w:lineRule="exact"/>
        <w:rPr>
          <w:sz w:val="20"/>
          <w:szCs w:val="20"/>
          <w:color w:val="auto"/>
        </w:rPr>
      </w:pPr>
    </w:p>
    <w:p>
      <w:pPr>
        <w:ind w:right="120" w:firstLine="7"/>
        <w:spacing w:after="0" w:line="255" w:lineRule="auto"/>
        <w:tabs>
          <w:tab w:leader="none" w:pos="341"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3.1.14 if the Registration involves the Registration of Registrable Securities involving gross proceeds reasonably expected to be in excess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 million, use its reasonable efforts to make available senior executives of the Company to participate in customary “road show” presentations that may be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requested by the Underwriter in any Underwritten Offering; and</w:t>
      </w:r>
    </w:p>
    <w:p>
      <w:pPr>
        <w:spacing w:after="0" w:line="201" w:lineRule="exact"/>
        <w:rPr>
          <w:sz w:val="20"/>
          <w:szCs w:val="20"/>
          <w:color w:val="auto"/>
        </w:rPr>
      </w:pPr>
    </w:p>
    <w:p>
      <w:pPr>
        <w:ind w:right="140" w:firstLine="961"/>
        <w:spacing w:after="0" w:line="277" w:lineRule="auto"/>
        <w:rPr>
          <w:sz w:val="20"/>
          <w:szCs w:val="20"/>
          <w:color w:val="auto"/>
        </w:rPr>
      </w:pPr>
      <w:r>
        <w:rPr>
          <w:rFonts w:ascii="Times New Roman" w:cs="Times New Roman" w:eastAsia="Times New Roman" w:hAnsi="Times New Roman"/>
          <w:sz w:val="18"/>
          <w:szCs w:val="18"/>
          <w:color w:val="auto"/>
        </w:rPr>
        <w:t>3.1.15 otherwise, in good faith, cooperate reasonably with, and take such customary actions as may reasonably be requested by the Holders, in connection with such Registration.</w:t>
      </w:r>
    </w:p>
    <w:p>
      <w:pPr>
        <w:spacing w:after="0" w:line="163" w:lineRule="exact"/>
        <w:rPr>
          <w:sz w:val="20"/>
          <w:szCs w:val="20"/>
          <w:color w:val="auto"/>
        </w:rPr>
      </w:pPr>
    </w:p>
    <w:p>
      <w:pPr>
        <w:ind w:right="40" w:firstLine="320"/>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1" w:lineRule="exact"/>
        <w:rPr>
          <w:sz w:val="20"/>
          <w:szCs w:val="20"/>
          <w:color w:val="auto"/>
        </w:rPr>
      </w:pPr>
    </w:p>
    <w:p>
      <w:pPr>
        <w:ind w:firstLine="320"/>
        <w:spacing w:after="0" w:line="249"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xml:space="preserve">.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in good faith that such information is necessary to effect the Registration and such Holder continues thereafter to withhold such information.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 The exclusion of a Holder’s Registrable Securities as a result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not affect the Registration of the other Registrable Securities to be included in such Registration. The representations, warranties and covenants of the Company in any underwriting agreement which are made to or for the benefit of any Underwriters, to the extent applicable, shall also be made to and for the benefit of Holders holding Registrable Securities included in such Registration Statement. No Holder holding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96" w:lineRule="exact"/>
        <w:rPr>
          <w:sz w:val="20"/>
          <w:szCs w:val="20"/>
          <w:color w:val="auto"/>
        </w:rPr>
      </w:pPr>
    </w:p>
    <w:p>
      <w:pPr>
        <w:ind w:right="20" w:firstLine="320"/>
        <w:spacing w:after="0" w:line="250"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Suspension of Sales; Adverse Disclosure</w:t>
      </w:r>
      <w:r>
        <w:rPr>
          <w:rFonts w:ascii="Times New Roman" w:cs="Times New Roman" w:eastAsia="Times New Roman" w:hAnsi="Times New Roman"/>
          <w:sz w:val="18"/>
          <w:szCs w:val="18"/>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consecutive days or ninety (90) days in any rolling 12-month period,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6" w:name="page277"/>
    <w:bookmarkEnd w:id="276"/>
    <w:p>
      <w:pPr>
        <w:ind w:firstLine="320"/>
        <w:spacing w:after="0" w:line="268"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Reporting Obligations</w:t>
      </w:r>
      <w:r>
        <w:rPr>
          <w:rFonts w:ascii="Times New Roman" w:cs="Times New Roman" w:eastAsia="Times New Roman" w:hAnsi="Times New Roman"/>
          <w:sz w:val="17"/>
          <w:szCs w:val="17"/>
          <w:color w:val="auto"/>
        </w:rPr>
        <w:t>. As long as any Holder shall own Registrable Securities, the Company, at all times while it shall be a reporting company under the Exchange Act, covenants to use commercially reasonable efforts to: (i) make and keep public information available, as those terms are understood and defined in Rule 144 and (ii) file timely (or obtain extensions in respect thereof and file within the applicable grace period) all reports required to be filed by the Company after the date hereof pursuant to Sections 13(a) or 15(d) of the Exchange Act.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reasonably requested legal opinions. Upon the request of any Holder, the Company shall deliver to such Holder a written certification of a duly authorized officer as to whether it has complied with such requirements.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80" w:firstLine="961"/>
        <w:spacing w:after="0" w:line="251" w:lineRule="auto"/>
        <w:rPr>
          <w:sz w:val="20"/>
          <w:szCs w:val="20"/>
          <w:color w:val="auto"/>
        </w:rPr>
      </w:pPr>
      <w:r>
        <w:rPr>
          <w:rFonts w:ascii="Times New Roman" w:cs="Times New Roman" w:eastAsia="Times New Roman" w:hAnsi="Times New Roman"/>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or on behalf of such Holder expressly for use therein. The Company shall indemnify the Underwriters, their officers and directors and each person who controls such Underwriters (within the meaning of the Securities Act) to the same extent as provided in the foregoing sentence with respect to the indemnification of the Holder.</w:t>
      </w:r>
    </w:p>
    <w:p>
      <w:pPr>
        <w:spacing w:after="0" w:line="190" w:lineRule="exact"/>
        <w:rPr>
          <w:sz w:val="20"/>
          <w:szCs w:val="20"/>
          <w:color w:val="auto"/>
        </w:rPr>
      </w:pPr>
    </w:p>
    <w:p>
      <w:pPr>
        <w:ind w:right="20" w:firstLine="961"/>
        <w:spacing w:after="0" w:line="250" w:lineRule="auto"/>
        <w:rPr>
          <w:sz w:val="20"/>
          <w:szCs w:val="20"/>
          <w:color w:val="auto"/>
        </w:rPr>
      </w:pPr>
      <w:r>
        <w:rPr>
          <w:rFonts w:ascii="Times New Roman" w:cs="Times New Roman" w:eastAsia="Times New Roman" w:hAnsi="Times New Roman"/>
          <w:sz w:val="18"/>
          <w:szCs w:val="18"/>
          <w:color w:val="auto"/>
        </w:rPr>
        <w:t>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(the “</w:t>
      </w:r>
      <w:r>
        <w:rPr>
          <w:rFonts w:ascii="Times New Roman" w:cs="Times New Roman" w:eastAsia="Times New Roman" w:hAnsi="Times New Roman"/>
          <w:sz w:val="18"/>
          <w:szCs w:val="18"/>
          <w:b w:val="1"/>
          <w:bCs w:val="1"/>
          <w:i w:val="1"/>
          <w:iCs w:val="1"/>
          <w:color w:val="auto"/>
        </w:rPr>
        <w:t>Holder Information</w:t>
      </w:r>
      <w:r>
        <w:rPr>
          <w:rFonts w:ascii="Times New Roman" w:cs="Times New Roman" w:eastAsia="Times New Roman" w:hAnsi="Times New Roman"/>
          <w:sz w:val="18"/>
          <w:szCs w:val="18"/>
          <w:color w:val="auto"/>
        </w:rPr>
        <w:t xml:space="preserve">”) and, to the extent permitted by law, shall indemnify the Company, its directors and officers and agents and each person who controls the Company (within the meaning of the Securities Act) against any losses, claims, damages, liabilities and expenses (including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7" w:name="page278"/>
    <w:bookmarkEnd w:id="277"/>
    <w:p>
      <w:pPr>
        <w:ind w:firstLine="961"/>
        <w:spacing w:after="0" w:line="249" w:lineRule="auto"/>
        <w:rPr>
          <w:sz w:val="20"/>
          <w:szCs w:val="20"/>
          <w:color w:val="auto"/>
        </w:rPr>
      </w:pPr>
      <w:r>
        <w:rPr>
          <w:rFonts w:ascii="Times New Roman" w:cs="Times New Roman" w:eastAsia="Times New Roman" w:hAnsi="Times New Roman"/>
          <w:sz w:val="18"/>
          <w:szCs w:val="18"/>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the defense of any such claim or any such litigation)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97" w:lineRule="exact"/>
        <w:rPr>
          <w:sz w:val="20"/>
          <w:szCs w:val="20"/>
          <w:color w:val="auto"/>
        </w:rPr>
      </w:pPr>
    </w:p>
    <w:p>
      <w:pPr>
        <w:ind w:right="20" w:firstLine="961"/>
        <w:spacing w:after="0" w:line="249" w:lineRule="auto"/>
        <w:rPr>
          <w:sz w:val="20"/>
          <w:szCs w:val="20"/>
          <w:color w:val="auto"/>
        </w:rPr>
      </w:pPr>
      <w:r>
        <w:rPr>
          <w:rFonts w:ascii="Times New Roman" w:cs="Times New Roman" w:eastAsia="Times New Roman" w:hAnsi="Times New Roman"/>
          <w:sz w:val="18"/>
          <w:szCs w:val="18"/>
          <w:color w:val="auto"/>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4.1.4</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4.1.4</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4.1.4</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4.1.4</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1" w:lineRule="exact"/>
        <w:rPr>
          <w:sz w:val="20"/>
          <w:szCs w:val="20"/>
          <w:color w:val="auto"/>
        </w:rPr>
      </w:pPr>
    </w:p>
    <w:p>
      <w:pPr>
        <w:jc w:val="both"/>
        <w:ind w:right="140" w:firstLine="320"/>
        <w:spacing w:after="0" w:line="269"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email or facsimile. Each notice or communication that is mailed, delivered, or transmitted in the manner</w:t>
      </w:r>
    </w:p>
    <w:p>
      <w:pPr>
        <w:spacing w:after="0" w:line="2"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8"/>
          <w:szCs w:val="18"/>
          <w:color w:val="auto"/>
        </w:rPr>
        <w:t>described above shall be deemed sufficiently given, served, sent, and received, in the case of mailed notices,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following the date on which it is mailed and, in the case of notices delivered by courier service, hand delivery, email,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TriSalus Life Sciences Inc. c/o Chief Financial Officer, 6272 W 91st Ave, Westminster, Colorado, with a copy to Cooley LLP, c/o Matthew Browne, 10265 Science Center Drive, San Diego, California 92121-1117,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8" w:name="page279"/>
    <w:bookmarkEnd w:id="278"/>
    <w:p>
      <w:pPr>
        <w:ind w:left="32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60" w:firstLine="961"/>
        <w:spacing w:after="0" w:line="277" w:lineRule="auto"/>
        <w:rPr>
          <w:sz w:val="20"/>
          <w:szCs w:val="20"/>
          <w:color w:val="auto"/>
        </w:rPr>
      </w:pPr>
      <w:r>
        <w:rPr>
          <w:rFonts w:ascii="Times New Roman" w:cs="Times New Roman" w:eastAsia="Times New Roman" w:hAnsi="Times New Roman"/>
          <w:sz w:val="18"/>
          <w:szCs w:val="18"/>
          <w:color w:val="auto"/>
        </w:rPr>
        <w:t>5.2.1 This Agreement and the rights, duties and obligations of the Company hereunder may not be assigned or delegated by the Company in whole or in part.</w:t>
      </w:r>
    </w:p>
    <w:p>
      <w:pPr>
        <w:spacing w:after="0" w:line="163" w:lineRule="exact"/>
        <w:rPr>
          <w:sz w:val="20"/>
          <w:szCs w:val="20"/>
          <w:color w:val="auto"/>
        </w:rPr>
      </w:pPr>
    </w:p>
    <w:p>
      <w:pPr>
        <w:ind w:firstLine="961"/>
        <w:spacing w:after="0" w:line="253" w:lineRule="auto"/>
        <w:rPr>
          <w:sz w:val="20"/>
          <w:szCs w:val="20"/>
          <w:color w:val="auto"/>
        </w:rPr>
      </w:pPr>
      <w:r>
        <w:rPr>
          <w:rFonts w:ascii="Times New Roman" w:cs="Times New Roman" w:eastAsia="Times New Roman" w:hAnsi="Times New Roman"/>
          <w:sz w:val="18"/>
          <w:szCs w:val="18"/>
          <w:color w:val="auto"/>
        </w:rPr>
        <w:t xml:space="preserve">5.2.2 No Holder may assign or delegate such Holder’s rights, duties or obligations under this Agreement, in whole or in part, except in connection with a transfer of Registrable Securities by such Holder to a Permitted Transferee upon receipt by the Company of (a) written notice from such Holder stating the name and address of the transferee and identifying the number of Registrable Securities with respect to which rights under this Agreement are being transferred and the nature of the rights so transferred, and (b) a written agreement from such Permitted Transferee agreeing to become bound by the transfer restrictions set forth in this Agreement. A Permitted Transferee of Registrable Securities who satisfies the conditions set forth in this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5.2.2</w:t>
      </w:r>
      <w:r>
        <w:rPr>
          <w:rFonts w:ascii="Times New Roman" w:cs="Times New Roman" w:eastAsia="Times New Roman" w:hAnsi="Times New Roman"/>
          <w:sz w:val="18"/>
          <w:szCs w:val="18"/>
          <w:color w:val="auto"/>
        </w:rPr>
        <w:t>. shall henceforth be a “Holder” for purposes of this Agreement.</w:t>
      </w:r>
    </w:p>
    <w:p>
      <w:pPr>
        <w:spacing w:after="0" w:line="185" w:lineRule="exact"/>
        <w:rPr>
          <w:sz w:val="20"/>
          <w:szCs w:val="20"/>
          <w:color w:val="auto"/>
        </w:rPr>
      </w:pPr>
    </w:p>
    <w:p>
      <w:pPr>
        <w:ind w:right="40" w:firstLine="961"/>
        <w:spacing w:after="0" w:line="277" w:lineRule="auto"/>
        <w:rPr>
          <w:sz w:val="20"/>
          <w:szCs w:val="20"/>
          <w:color w:val="auto"/>
        </w:rPr>
      </w:pPr>
      <w:r>
        <w:rPr>
          <w:rFonts w:ascii="Times New Roman" w:cs="Times New Roman" w:eastAsia="Times New Roman" w:hAnsi="Times New Roman"/>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63" w:lineRule="exact"/>
        <w:rPr>
          <w:sz w:val="20"/>
          <w:szCs w:val="20"/>
          <w:color w:val="auto"/>
        </w:rPr>
      </w:pPr>
    </w:p>
    <w:p>
      <w:pPr>
        <w:ind w:right="180" w:firstLine="961"/>
        <w:spacing w:after="0" w:line="277" w:lineRule="auto"/>
        <w:rPr>
          <w:sz w:val="20"/>
          <w:szCs w:val="20"/>
          <w:color w:val="auto"/>
        </w:rPr>
      </w:pPr>
      <w:r>
        <w:rPr>
          <w:rFonts w:ascii="Times New Roman" w:cs="Times New Roman" w:eastAsia="Times New Roman" w:hAnsi="Times New Roman"/>
          <w:sz w:val="18"/>
          <w:szCs w:val="18"/>
          <w:color w:val="auto"/>
        </w:rPr>
        <w:t xml:space="preserve">5.2.4 This Agreement shall not confer any rights or benefits on any persons that are not parties hereto, other than as expressly 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w:t>
      </w:r>
    </w:p>
    <w:p>
      <w:pPr>
        <w:spacing w:after="0" w:line="163" w:lineRule="exact"/>
        <w:rPr>
          <w:sz w:val="20"/>
          <w:szCs w:val="20"/>
          <w:color w:val="auto"/>
        </w:rPr>
      </w:pPr>
    </w:p>
    <w:p>
      <w:pPr>
        <w:ind w:right="20" w:firstLine="961"/>
        <w:spacing w:after="0" w:line="277" w:lineRule="auto"/>
        <w:rPr>
          <w:sz w:val="20"/>
          <w:szCs w:val="20"/>
          <w:color w:val="auto"/>
        </w:rPr>
      </w:pPr>
      <w:r>
        <w:rPr>
          <w:rFonts w:ascii="Times New Roman" w:cs="Times New Roman" w:eastAsia="Times New Roman" w:hAnsi="Times New Roman"/>
          <w:sz w:val="17"/>
          <w:szCs w:val="17"/>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shall be null and void.</w:t>
      </w:r>
    </w:p>
    <w:p>
      <w:pPr>
        <w:spacing w:after="0" w:line="165" w:lineRule="exact"/>
        <w:rPr>
          <w:sz w:val="20"/>
          <w:szCs w:val="20"/>
          <w:color w:val="auto"/>
        </w:rPr>
      </w:pPr>
    </w:p>
    <w:p>
      <w:pPr>
        <w:ind w:right="220" w:firstLine="320"/>
        <w:spacing w:after="0" w:line="307"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multiple counterparts (including facsimile, PDF, DocuSign or similarly executed counterparts), each of which shall be deemed an original, and all of which together shall constitute the same instrument, but only one of which need be produced.</w:t>
      </w:r>
    </w:p>
    <w:p>
      <w:pPr>
        <w:spacing w:after="0" w:line="140" w:lineRule="exact"/>
        <w:rPr>
          <w:sz w:val="20"/>
          <w:szCs w:val="20"/>
          <w:color w:val="auto"/>
        </w:rPr>
      </w:pPr>
    </w:p>
    <w:p>
      <w:pPr>
        <w:ind w:right="80" w:firstLine="320"/>
        <w:spacing w:after="0" w:line="277"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xml:space="preserve"> The law of the State of Delaware shall govern (a) all claims or matters related to or arising from this Agreement (including any tort or non-contractual claims) and (b) any questions concerning the construction, interpretation, validity and enforceability of this Agreement, and the performance of the obligations imposed by this Agreement, in each case without giving effect to any choice of law or conflict of law rules or provisions (whether of the State of Delaware or any other jurisdiction) that would cause the application of the law of any jurisdiction other than the State of Delaware.</w:t>
      </w:r>
    </w:p>
    <w:p>
      <w:pPr>
        <w:spacing w:after="0" w:line="165" w:lineRule="exact"/>
        <w:rPr>
          <w:sz w:val="20"/>
          <w:szCs w:val="20"/>
          <w:color w:val="auto"/>
        </w:rPr>
      </w:pPr>
    </w:p>
    <w:p>
      <w:pPr>
        <w:ind w:firstLine="320"/>
        <w:spacing w:after="0" w:line="266"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Venue</w:t>
      </w:r>
      <w:r>
        <w:rPr>
          <w:rFonts w:ascii="Times New Roman" w:cs="Times New Roman" w:eastAsia="Times New Roman" w:hAnsi="Times New Roman"/>
          <w:sz w:val="17"/>
          <w:szCs w:val="17"/>
          <w:color w:val="auto"/>
        </w:rPr>
        <w:t xml:space="preserve">. Each party hereto submits to the exclusive jurisdiction of first, the Court of Chancery of the State of Delaware or if such court declines jurisdiction, then to any court of the State of Delaware or the Federal District Court for the District of Delaware, in any Action arising out of or relating to this Agreement, agrees that all claims in respect of the Action shall be heard and determined in any such court and agrees not to bring any Action arising out of or relating to this Agreement in any other courts. Nothing in this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however, shall affect the right of any party to serve legal process in any other manner permitted by law or at equity. Each party hereto agrees that a final judgment in any Action so brought shall be conclusive and may be enforced by suit on the judgment or in any other manner provided by law or at equity. EACH PARTY HERETO HEREBY IRREVOCABLY WAIVES ALL RIGHTS TO TRIAL BY JURY IN ANY ACTION BROUGHT TO RESOLVE ANY DISPUTE BETWEEN OR AMONG ANY OF THE PARTIES (WHETHER ARISING IN CONTRACT, TORT OR OTHERWISE) ARISING OUT OF, CONNECTED WITH, RELATED OR INCIDENTAL TO THIS AGREEMENT, THE TRANSACTIONS OR THE RELATIONSHIPS ESTABLISHED AMONG THE PARTIES UNDER THIS AGREEMENT. EACH PARTY FURTHER WARRANTS AND REPRESENTS THAT SUCH PARTY HAS REVIEWED THIS WAIVER WITH ITS LEGAL COUNSEL, AND THAT SUCH PARTY KNOWINGLY AND VOLUNTARILY WAIVES ITS JURY TRIAL RIGHTS FOLLOWING CONSULTATION WITH LEGAL COUNSEL.</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79" w:name="page280"/>
    <w:bookmarkEnd w:id="279"/>
    <w:p>
      <w:pPr>
        <w:ind w:firstLine="320"/>
        <w:spacing w:after="0" w:line="250"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any amendment hereto or waiver hereof that adversely affects one Holder, solely in his, her or its capacity as a holder of the Registrable Securities, in a manner that is materially different from the other Holders (in such capacity) shall require the consent of the Holder so affected;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provision that has terminated with respect to a party shall not require any consent of such party (and such party’s Registrable Securities shall not be considered in computing any percentages) with respect to amending or modifying such provision. Each Holder agrees that any waiver, amendment or modification effected in accordance with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be binding on all Holders and their successors and assigns.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90" w:lineRule="exact"/>
        <w:rPr>
          <w:sz w:val="20"/>
          <w:szCs w:val="20"/>
          <w:color w:val="auto"/>
        </w:rPr>
      </w:pPr>
    </w:p>
    <w:p>
      <w:pPr>
        <w:ind w:right="220" w:firstLine="640"/>
        <w:spacing w:after="0" w:line="266"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This Agreement shall terminate upon the earlier of (a) with respect to any Holder on the date that such Holder no longer holds any Registrable Securities; (b) with respect to any Holder (other than any Holder who is a member of the Sponsor and at the Closing was issued Registrable Securities subject to price-based vesting, a “</w:t>
      </w:r>
      <w:r>
        <w:rPr>
          <w:rFonts w:ascii="Times New Roman" w:cs="Times New Roman" w:eastAsia="Times New Roman" w:hAnsi="Times New Roman"/>
          <w:sz w:val="17"/>
          <w:szCs w:val="17"/>
          <w:b w:val="1"/>
          <w:bCs w:val="1"/>
          <w:i w:val="1"/>
          <w:iCs w:val="1"/>
          <w:color w:val="auto"/>
        </w:rPr>
        <w:t>Vesting Sponsor Holder</w:t>
      </w:r>
      <w:r>
        <w:rPr>
          <w:rFonts w:ascii="Times New Roman" w:cs="Times New Roman" w:eastAsia="Times New Roman" w:hAnsi="Times New Roman"/>
          <w:sz w:val="17"/>
          <w:szCs w:val="17"/>
          <w:color w:val="auto"/>
        </w:rPr>
        <w:t>”) on the date that is three (3) years after the Closing; and (c) with respect to a Vesting Sponsor Holder that at the time of vesting continues to hold at least 1% of the aggregate amount of shares of Common Stock that constitute Registrable Securities (including shares underlying equity awards, warrants or other equity instruments convertible or exercisable into shares of Common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immediately following the Closing, the earlier of (A) one (1) year after the price-based vesting condition is met (but in no event less than three</w:t>
      </w:r>
    </w:p>
    <w:p>
      <w:pPr>
        <w:spacing w:after="0" w:line="6" w:lineRule="exact"/>
        <w:rPr>
          <w:sz w:val="20"/>
          <w:szCs w:val="20"/>
          <w:color w:val="auto"/>
        </w:rPr>
      </w:pPr>
    </w:p>
    <w:p>
      <w:pPr>
        <w:ind w:right="300" w:firstLine="7"/>
        <w:spacing w:after="0" w:line="255" w:lineRule="auto"/>
        <w:tabs>
          <w:tab w:leader="none" w:pos="25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after the Closing) and (B) six (6) years after the Closing; provided that, in all respects,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 with respect to any such Holder.</w:t>
      </w:r>
    </w:p>
    <w:p>
      <w:pPr>
        <w:spacing w:after="0" w:line="182" w:lineRule="exact"/>
        <w:rPr>
          <w:sz w:val="20"/>
          <w:szCs w:val="20"/>
          <w:color w:val="auto"/>
        </w:rPr>
      </w:pPr>
    </w:p>
    <w:p>
      <w:pPr>
        <w:ind w:right="360" w:firstLine="320"/>
        <w:spacing w:after="0" w:line="26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76"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Titles and headings of sections of this Agreement are for convenience only and shall not affect the construction of any provision of this Agreement.</w:t>
      </w:r>
    </w:p>
    <w:p>
      <w:pPr>
        <w:spacing w:after="0" w:line="163" w:lineRule="exact"/>
        <w:rPr>
          <w:sz w:val="20"/>
          <w:szCs w:val="20"/>
          <w:color w:val="auto"/>
        </w:rPr>
      </w:pPr>
    </w:p>
    <w:p>
      <w:pPr>
        <w:ind w:right="140" w:firstLine="320"/>
        <w:spacing w:after="0" w:line="257"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Qualified Additional Holders</w:t>
      </w:r>
      <w:r>
        <w:rPr>
          <w:rFonts w:ascii="Times New Roman" w:cs="Times New Roman" w:eastAsia="Times New Roman" w:hAnsi="Times New Roman"/>
          <w:sz w:val="18"/>
          <w:szCs w:val="18"/>
          <w:color w:val="auto"/>
        </w:rPr>
        <w:t>. In the event that after the date of this Agreement, the Company wishes to provide any Qualified Additional Holders registration rights as contemplated by this Agreement, then the Company shall cause such Qualified Additional Holder to become a party to this Agreement by executing a joinder agreement in the form attached hereto as Exhibit A, agreeing to be bound by and subject to the terms of this Agreement as a Holder and thereafter such Qualified Additional Holder shall be deemed a Holder for all purposes under this Agreement.</w:t>
      </w:r>
    </w:p>
    <w:p>
      <w:pPr>
        <w:spacing w:after="0" w:line="181" w:lineRule="exact"/>
        <w:rPr>
          <w:sz w:val="20"/>
          <w:szCs w:val="20"/>
          <w:color w:val="auto"/>
        </w:rPr>
      </w:pPr>
    </w:p>
    <w:p>
      <w:pPr>
        <w:ind w:right="360" w:firstLine="320"/>
        <w:spacing w:after="0" w:line="277"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Each Holder agrees, if requested in writing, to represent to the Company the total number of Registrable Securities held by such Holder in order for the Company to make determinations hereunder.</w:t>
      </w:r>
    </w:p>
    <w:p>
      <w:pPr>
        <w:spacing w:after="0" w:line="163" w:lineRule="exact"/>
        <w:rPr>
          <w:sz w:val="20"/>
          <w:szCs w:val="20"/>
          <w:color w:val="auto"/>
        </w:rPr>
      </w:pPr>
    </w:p>
    <w:p>
      <w:pPr>
        <w:ind w:right="140" w:firstLine="320"/>
        <w:spacing w:after="0" w:line="250"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Opt-Out Requests</w:t>
      </w:r>
      <w:r>
        <w:rPr>
          <w:rFonts w:ascii="Times New Roman" w:cs="Times New Roman" w:eastAsia="Times New Roman" w:hAnsi="Times New Roman"/>
          <w:sz w:val="18"/>
          <w:szCs w:val="18"/>
          <w:color w:val="auto"/>
        </w:rPr>
        <w:t>. Each Holder shall have the right, at any time and from time to time (including after receiving information regarding any potential public offering), to elect to not receive any notice that the Company or any other Holders otherwise are required to deliver pursuant to this Agreement by delivering to the Company a written statement signed by such Holder that it does not want to receive any notices hereunder (an “</w:t>
      </w:r>
      <w:r>
        <w:rPr>
          <w:rFonts w:ascii="Times New Roman" w:cs="Times New Roman" w:eastAsia="Times New Roman" w:hAnsi="Times New Roman"/>
          <w:sz w:val="18"/>
          <w:szCs w:val="18"/>
          <w:b w:val="1"/>
          <w:bCs w:val="1"/>
          <w:i w:val="1"/>
          <w:iCs w:val="1"/>
          <w:color w:val="auto"/>
        </w:rPr>
        <w:t>Opt-Out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Request</w:t>
      </w:r>
      <w:r>
        <w:rPr>
          <w:rFonts w:ascii="Times New Roman" w:cs="Times New Roman" w:eastAsia="Times New Roman" w:hAnsi="Times New Roman"/>
          <w:sz w:val="18"/>
          <w:szCs w:val="18"/>
          <w:color w:val="auto"/>
        </w:rPr>
        <w:t>”); in which case and notwithstanding anything to the contrary in this Agreement the Company and other Holders shall not be required to, and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not, deliver any notice or other information required to be provided to Holders hereunder to the extent that the Company or such other Holders reasonably expect would result in a Holder acquiring material non-public information within the meaning of Regulation FD promulgated under the Exchange Act. An Opt-Out Request may state a date on which it expires or, if no such date is specified, shall remain in effect indefinitely. A Holder who previously has given the Company an Opt-Out Request may revoke such request at any time, and there shall be no limit on the ability of a Holder to issue and revoke subsequent Opt-Out Requests;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Holder shall use commercially reasonable efforts to minimize the administrative burden on the Company arising in connection with any such Opt-Out Requests.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pacing w:after="0" w:line="200" w:lineRule="exact"/>
        <w:rPr>
          <w:sz w:val="20"/>
          <w:szCs w:val="20"/>
          <w:color w:val="auto"/>
        </w:rPr>
      </w:pPr>
    </w:p>
    <w:p>
      <w:pPr>
        <w:spacing w:after="0" w:line="24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TRISALUS LIFE SCIENCES INC.</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15875</wp:posOffset>
            </wp:positionV>
            <wp:extent cx="32029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0" w:lineRule="exact"/>
        <w:rPr>
          <w:sz w:val="20"/>
          <w:szCs w:val="20"/>
          <w:color w:val="auto"/>
        </w:rPr>
      </w:pPr>
    </w:p>
    <w:p>
      <w:pPr>
        <w:jc w:val="center"/>
        <w:ind w:left="3540"/>
        <w:spacing w:after="0"/>
        <w:rPr>
          <w:sz w:val="20"/>
          <w:szCs w:val="20"/>
          <w:color w:val="auto"/>
        </w:rPr>
      </w:pPr>
      <w:r>
        <w:rPr>
          <w:rFonts w:ascii="Times New Roman" w:cs="Times New Roman" w:eastAsia="Times New Roman" w:hAnsi="Times New Roman"/>
          <w:sz w:val="17"/>
          <w:szCs w:val="17"/>
          <w:b w:val="1"/>
          <w:bCs w:val="1"/>
          <w:color w:val="auto"/>
        </w:rPr>
        <w:t>MEDTECH ACQUISITION SPONSOR LLC,</w:t>
      </w:r>
    </w:p>
    <w:p>
      <w:pPr>
        <w:spacing w:after="0" w:line="41" w:lineRule="exact"/>
        <w:rPr>
          <w:sz w:val="20"/>
          <w:szCs w:val="20"/>
          <w:color w:val="auto"/>
        </w:rPr>
      </w:pPr>
    </w:p>
    <w:p>
      <w:pPr>
        <w:jc w:val="center"/>
        <w:ind w:left="35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1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15875</wp:posOffset>
            </wp:positionV>
            <wp:extent cx="32029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71342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819"/>
          </w:cols>
          <w:pgMar w:left="640" w:top="891"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pacing w:after="0" w:line="200" w:lineRule="exact"/>
        <w:rPr>
          <w:sz w:val="20"/>
          <w:szCs w:val="20"/>
          <w:color w:val="auto"/>
        </w:rPr>
      </w:pPr>
    </w:p>
    <w:p>
      <w:pPr>
        <w:spacing w:after="0" w:line="24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15875</wp:posOffset>
            </wp:positionV>
            <wp:extent cx="320294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2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Registration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71342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819"/>
          </w:cols>
          <w:pgMar w:left="640" w:top="891" w:right="1440"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294005</wp:posOffset>
            </wp:positionV>
            <wp:extent cx="71342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3" w:name="page284"/>
    <w:bookmarkEnd w:id="28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OF JOINDER TO AMENDED AND RESTATED</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97" w:lineRule="exact"/>
        <w:rPr>
          <w:sz w:val="20"/>
          <w:szCs w:val="20"/>
          <w:color w:val="auto"/>
        </w:rPr>
      </w:pPr>
    </w:p>
    <w:p>
      <w:pPr>
        <w:ind w:left="5760" w:hanging="819"/>
        <w:spacing w:after="0"/>
        <w:tabs>
          <w:tab w:leader="none" w:pos="576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20</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right="80" w:firstLine="320"/>
        <w:spacing w:after="0" w:line="254" w:lineRule="auto"/>
        <w:rPr>
          <w:sz w:val="20"/>
          <w:szCs w:val="20"/>
          <w:color w:val="auto"/>
        </w:rPr>
      </w:pPr>
      <w:r>
        <w:rPr>
          <w:rFonts w:ascii="Times New Roman" w:cs="Times New Roman" w:eastAsia="Times New Roman" w:hAnsi="Times New Roman"/>
          <w:sz w:val="18"/>
          <w:szCs w:val="18"/>
          <w:color w:val="auto"/>
        </w:rPr>
        <w:t>Reference is made to that certain Amended and Restated Registration Rights Agreement (as may be amended and/or restated from time to time,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dated as of [●], 2023, by and among TriSalus Life 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MedTech Acquisition Sponsor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former stockholders of the entity formerly known as TriSalus Life Sciences, Inc., a Delaware corporation (“</w:t>
      </w:r>
      <w:r>
        <w:rPr>
          <w:rFonts w:ascii="Times New Roman" w:cs="Times New Roman" w:eastAsia="Times New Roman" w:hAnsi="Times New Roman"/>
          <w:sz w:val="18"/>
          <w:szCs w:val="18"/>
          <w:b w:val="1"/>
          <w:bCs w:val="1"/>
          <w:i w:val="1"/>
          <w:iCs w:val="1"/>
          <w:color w:val="auto"/>
        </w:rPr>
        <w:t>Legacy TriSalus</w:t>
      </w:r>
      <w:r>
        <w:rPr>
          <w:rFonts w:ascii="Times New Roman" w:cs="Times New Roman" w:eastAsia="Times New Roman" w:hAnsi="Times New Roman"/>
          <w:sz w:val="18"/>
          <w:szCs w:val="18"/>
          <w:color w:val="auto"/>
        </w:rPr>
        <w:t>”) and the undersigned parties listed under Holder on the signature page thereto. Capitalized terms used but not otherwise defined herein shall have the meanings ascribed to such terms in the Registration Rights Agreement.</w:t>
      </w:r>
    </w:p>
    <w:p>
      <w:pPr>
        <w:spacing w:after="0" w:line="186"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The undersigned hereby agrees to and does become party to the Registration Rights Agreement as a Holder thereunder. This Joinder shall serve as a counterpart signature page to the Registration Rights Agreement and by executing below the undersigned is deemed to have executed the Registration Rights Agreement with the same force and effect as if originally named a party thereto.</w:t>
      </w:r>
    </w:p>
    <w:p>
      <w:pPr>
        <w:spacing w:after="0" w:line="176" w:lineRule="exact"/>
        <w:rPr>
          <w:sz w:val="20"/>
          <w:szCs w:val="20"/>
          <w:color w:val="auto"/>
        </w:rPr>
      </w:pPr>
    </w:p>
    <w:p>
      <w:pPr>
        <w:ind w:right="520" w:firstLine="320"/>
        <w:spacing w:after="0" w:line="277" w:lineRule="auto"/>
        <w:rPr>
          <w:sz w:val="20"/>
          <w:szCs w:val="20"/>
          <w:color w:val="auto"/>
        </w:rPr>
      </w:pPr>
      <w:r>
        <w:rPr>
          <w:rFonts w:ascii="Times New Roman" w:cs="Times New Roman" w:eastAsia="Times New Roman" w:hAnsi="Times New Roman"/>
          <w:sz w:val="18"/>
          <w:szCs w:val="18"/>
          <w:color w:val="auto"/>
        </w:rPr>
        <w:t>This Joinder may be executed in multiple counterparts, including by means of facsimile or electronic signature, each of which shall be deemed an original, but all of which together shall constitute the same instrument.</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288290</wp:posOffset>
            </wp:positionV>
            <wp:extent cx="71342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TriSalus Life Sciences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6272 W 91st Ave.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Westminster, CO 80031</w:t>
      </w:r>
    </w:p>
    <w:p>
      <w:pPr>
        <w:spacing w:after="0" w:line="20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Lock-Up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is being delivered to you in accordance with that certain Agreement and Plan of Merger, dated as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11, 2022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entered into by and among MedTech Acquisition Corporation,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MTAC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Inc., a Delaware corporation and a direct, wholly 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TriSalus Life Sciences, Inc.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pursuant to which, at the Closing, Parent will acquire 100% of the outstanding equity and equity equivalents of the Company. Capitalized terms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but not otherwise defined in this Agreement shall have the meanings ascribed thereto in the Merger Agreement.</w:t>
      </w:r>
    </w:p>
    <w:p>
      <w:pPr>
        <w:spacing w:after="0" w:line="201"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In order to induce Parent to proceed with the Transactions and for other good and valuable consideration, the receipt and sufficiency of which are hereby acknowledged, the undersigned (each, a “</w:t>
      </w:r>
      <w:r>
        <w:rPr>
          <w:rFonts w:ascii="Times New Roman" w:cs="Times New Roman" w:eastAsia="Times New Roman" w:hAnsi="Times New Roman"/>
          <w:sz w:val="18"/>
          <w:szCs w:val="18"/>
          <w:b w:val="1"/>
          <w:bCs w:val="1"/>
          <w:i w:val="1"/>
          <w:iCs w:val="1"/>
          <w:color w:val="auto"/>
        </w:rPr>
        <w:t>Restricted Securityholder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Restricted Securityholders</w:t>
      </w:r>
      <w:r>
        <w:rPr>
          <w:rFonts w:ascii="Times New Roman" w:cs="Times New Roman" w:eastAsia="Times New Roman" w:hAnsi="Times New Roman"/>
          <w:sz w:val="18"/>
          <w:szCs w:val="18"/>
          <w:color w:val="auto"/>
        </w:rPr>
        <w:t>”) hereby agrees with Parent as follows:</w:t>
      </w:r>
    </w:p>
    <w:p>
      <w:pPr>
        <w:spacing w:after="0" w:line="176" w:lineRule="exact"/>
        <w:rPr>
          <w:sz w:val="20"/>
          <w:szCs w:val="20"/>
          <w:color w:val="auto"/>
        </w:rPr>
      </w:pPr>
    </w:p>
    <w:p>
      <w:pPr>
        <w:ind w:right="20" w:firstLine="327"/>
        <w:spacing w:after="0" w:line="264" w:lineRule="auto"/>
        <w:tabs>
          <w:tab w:leader="none" w:pos="498"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exceptions set forth herein, the Restricted Securityholder agrees not to, without the prior written consent of the board of directors of the Parent, on and following the Closing: (i) sell, offer to sell, contract or agree to sell, hypothecate, pledge, grant any option, right or warrant to purchase or otherwise transfer, dispose of or agree to transfer or dispose of, directly or indirectly, or establish or increase a put equivalent position or liquidate or decrease a call equivalent position within the meaning of Section 16 of the Exchange Act and the rules and regulations of the SEC promulgated thereunder, any shares of the Parent’s common stock, par value $0.0001 per share (“</w:t>
      </w:r>
      <w:r>
        <w:rPr>
          <w:rFonts w:ascii="Times New Roman" w:cs="Times New Roman" w:eastAsia="Times New Roman" w:hAnsi="Times New Roman"/>
          <w:sz w:val="17"/>
          <w:szCs w:val="17"/>
          <w:b w:val="1"/>
          <w:bCs w:val="1"/>
          <w:i w:val="1"/>
          <w:iCs w:val="1"/>
          <w:color w:val="auto"/>
        </w:rPr>
        <w:t>Parent Common Stock</w:t>
      </w:r>
      <w:r>
        <w:rPr>
          <w:rFonts w:ascii="Times New Roman" w:cs="Times New Roman" w:eastAsia="Times New Roman" w:hAnsi="Times New Roman"/>
          <w:sz w:val="17"/>
          <w:szCs w:val="17"/>
          <w:color w:val="auto"/>
        </w:rPr>
        <w:t>”), held by it as of the Closing, any shares of Parent Common Stock issuable upon the exercise of options or warrants to purchase shares of Parent Common Stock held by it as of the Closing, or any securities convertible into or exercisable or exchangeable for Parent Common Stock held by it as of the Closing, (ii) enter into any swap or other arrangement that transfers to another, in whole or in part, any of the economic consequences of ownership of any of such shares of Parent Common Stock or securities convertible into or exercisable or exchangeable for Parent Common Stock, whether any such transaction is to be settled by delivery of such securities, in cash or otherwise or</w:t>
      </w:r>
    </w:p>
    <w:p>
      <w:pPr>
        <w:spacing w:after="0" w:line="5" w:lineRule="exact"/>
        <w:rPr>
          <w:rFonts w:ascii="Times New Roman" w:cs="Times New Roman" w:eastAsia="Times New Roman" w:hAnsi="Times New Roman"/>
          <w:sz w:val="17"/>
          <w:szCs w:val="17"/>
          <w:color w:val="auto"/>
        </w:rPr>
      </w:pPr>
    </w:p>
    <w:p>
      <w:pPr>
        <w:ind w:right="20" w:firstLine="7"/>
        <w:spacing w:after="0" w:line="248" w:lineRule="auto"/>
        <w:tabs>
          <w:tab w:leader="none" w:pos="31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effect any transaction specified in clause (i) or (ii) (the actions specified in clauses (i)-(iii), collectively,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until the earliest of 11:59 p.m. (Eastern Time) on (x) the date that is three hundred and sixty five (365) days after the Closing, (y) such date following the Closing that the closing price of Parent Common Stock equals or exceeds $12.00 per share (as adjusted for stock splits, stock dividends, reorganizations, recapitalizations and the like) for any twenty (20) trading days within any period of thirty (30) consecutive trading days commencing at least one hundred and fifty (150) days following the Closing Date and (z) the date following the Closing on which Parent consummates a liquidation, merger, tender offer, capital stock exchange or other similar transaction that results in all of the stockholders of Parent having the right to exchange their shares of Parent Common Stock for cash, securities or other property (the period between the Closing Date and such earliest date,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500" w:hanging="173"/>
        <w:spacing w:after="0"/>
        <w:tabs>
          <w:tab w:leader="none" w:pos="50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set forth in paragraph 1 shall not apply to:</w:t>
      </w:r>
    </w:p>
    <w:p>
      <w:pPr>
        <w:spacing w:after="0" w:line="219" w:lineRule="exact"/>
        <w:rPr>
          <w:rFonts w:ascii="Times New Roman" w:cs="Times New Roman" w:eastAsia="Times New Roman" w:hAnsi="Times New Roman"/>
          <w:sz w:val="18"/>
          <w:szCs w:val="18"/>
          <w:color w:val="auto"/>
        </w:rPr>
      </w:pPr>
    </w:p>
    <w:p>
      <w:pPr>
        <w:ind w:left="1280" w:right="160" w:hanging="633"/>
        <w:spacing w:after="0" w:line="257" w:lineRule="auto"/>
        <w:tabs>
          <w:tab w:leader="none" w:pos="128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(A) to another entity that is an affiliate (as defined in Rule 405 promulgated under the Securities Act) of the undersigned, or to any investment fund or other entity controlling, controlled by, managing or managed by or under common control with the undersigned or affiliates of the undersigned or who shares a common investment advisor with the undersigned or (B) as part of a distribution to members, partners, shareholders or equity holders of the undersigned;</w:t>
      </w:r>
    </w:p>
    <w:p>
      <w:pPr>
        <w:spacing w:after="0" w:line="180" w:lineRule="exact"/>
        <w:rPr>
          <w:rFonts w:ascii="Times New Roman" w:cs="Times New Roman" w:eastAsia="Times New Roman" w:hAnsi="Times New Roman"/>
          <w:sz w:val="18"/>
          <w:szCs w:val="18"/>
          <w:color w:val="auto"/>
        </w:rPr>
      </w:pPr>
    </w:p>
    <w:p>
      <w:pPr>
        <w:ind w:left="1280" w:right="280" w:hanging="633"/>
        <w:spacing w:after="0" w:line="307" w:lineRule="auto"/>
        <w:tabs>
          <w:tab w:leader="none" w:pos="1280" w:val="left"/>
        </w:tabs>
        <w:numPr>
          <w:ilvl w:val="2"/>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236220</wp:posOffset>
            </wp:positionV>
            <wp:extent cx="71342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85" w:name="page286"/>
    <w:bookmarkEnd w:id="285"/>
    <w:p>
      <w:pPr>
        <w:ind w:left="633" w:hanging="633"/>
        <w:spacing w:after="0"/>
        <w:tabs>
          <w:tab w:leader="none" w:pos="6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virtue of laws of descent and distribution upon death of the individual;</w:t>
      </w:r>
    </w:p>
    <w:p>
      <w:pPr>
        <w:spacing w:after="0" w:line="219" w:lineRule="exact"/>
        <w:rPr>
          <w:rFonts w:ascii="Times New Roman" w:cs="Times New Roman" w:eastAsia="Times New Roman" w:hAnsi="Times New Roman"/>
          <w:sz w:val="18"/>
          <w:szCs w:val="18"/>
          <w:color w:val="auto"/>
        </w:rPr>
      </w:pPr>
    </w:p>
    <w:p>
      <w:pPr>
        <w:ind w:left="633" w:right="80" w:hanging="633"/>
        <w:spacing w:after="0" w:line="277" w:lineRule="auto"/>
        <w:tabs>
          <w:tab w:leader="none" w:pos="6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operation of law or pursuant to a court order, such as a qualified domestic relations order, divorce decree or separation agreement;</w:t>
      </w:r>
    </w:p>
    <w:p>
      <w:pPr>
        <w:spacing w:after="0" w:line="162" w:lineRule="exact"/>
        <w:rPr>
          <w:rFonts w:ascii="Times New Roman" w:cs="Times New Roman" w:eastAsia="Times New Roman" w:hAnsi="Times New Roman"/>
          <w:sz w:val="18"/>
          <w:szCs w:val="18"/>
          <w:color w:val="auto"/>
        </w:rPr>
      </w:pPr>
    </w:p>
    <w:p>
      <w:pPr>
        <w:ind w:left="633" w:right="360" w:hanging="633"/>
        <w:spacing w:after="0" w:line="262" w:lineRule="auto"/>
        <w:tabs>
          <w:tab w:leader="none" w:pos="6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to a partnership, limited liability company or other entity of which the undersigned and/or the immediate family (as defined below) of the undersigned are the legal and beneficial owner of all of the outstanding equity securities or similar interests;</w:t>
      </w:r>
    </w:p>
    <w:p>
      <w:pPr>
        <w:spacing w:after="0" w:line="176" w:lineRule="exact"/>
        <w:rPr>
          <w:rFonts w:ascii="Times New Roman" w:cs="Times New Roman" w:eastAsia="Times New Roman" w:hAnsi="Times New Roman"/>
          <w:sz w:val="18"/>
          <w:szCs w:val="18"/>
          <w:color w:val="auto"/>
        </w:rPr>
      </w:pPr>
    </w:p>
    <w:p>
      <w:pPr>
        <w:ind w:left="633" w:hanging="633"/>
        <w:spacing w:after="0"/>
        <w:tabs>
          <w:tab w:leader="none" w:pos="6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that is a trust, Transfers to a trustor or beneficiary of the trust or to the estate of a beneficiary of such trust;</w:t>
      </w:r>
    </w:p>
    <w:p>
      <w:pPr>
        <w:spacing w:after="0" w:line="219" w:lineRule="exact"/>
        <w:rPr>
          <w:rFonts w:ascii="Times New Roman" w:cs="Times New Roman" w:eastAsia="Times New Roman" w:hAnsi="Times New Roman"/>
          <w:sz w:val="18"/>
          <w:szCs w:val="18"/>
          <w:color w:val="auto"/>
        </w:rPr>
      </w:pPr>
    </w:p>
    <w:p>
      <w:pPr>
        <w:ind w:left="633" w:right="320" w:hanging="633"/>
        <w:spacing w:after="0" w:line="277" w:lineRule="auto"/>
        <w:tabs>
          <w:tab w:leader="none" w:pos="6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by virtue of the laws of the state of the entity’s organization and the entity’s organizational documents upon dissolution of the entity;</w:t>
      </w:r>
    </w:p>
    <w:p>
      <w:pPr>
        <w:spacing w:after="0" w:line="162" w:lineRule="exact"/>
        <w:rPr>
          <w:rFonts w:ascii="Times New Roman" w:cs="Times New Roman" w:eastAsia="Times New Roman" w:hAnsi="Times New Roman"/>
          <w:sz w:val="18"/>
          <w:szCs w:val="18"/>
          <w:color w:val="auto"/>
        </w:rPr>
      </w:pPr>
    </w:p>
    <w:p>
      <w:pPr>
        <w:ind w:left="633" w:hanging="633"/>
        <w:spacing w:after="0" w:line="277" w:lineRule="auto"/>
        <w:tabs>
          <w:tab w:leader="none" w:pos="6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any shares of the Parent Common Stock or other securities acquired as part of the PIPE Investment or issued in exchange for, or on conversion of or exercise of, any securities issued as part of the PIPE Investment;</w:t>
      </w:r>
    </w:p>
    <w:p>
      <w:pPr>
        <w:spacing w:after="0" w:line="162" w:lineRule="exact"/>
        <w:rPr>
          <w:rFonts w:ascii="Times New Roman" w:cs="Times New Roman" w:eastAsia="Times New Roman" w:hAnsi="Times New Roman"/>
          <w:sz w:val="18"/>
          <w:szCs w:val="18"/>
          <w:color w:val="auto"/>
        </w:rPr>
      </w:pPr>
    </w:p>
    <w:p>
      <w:pPr>
        <w:ind w:left="633" w:right="40" w:hanging="633"/>
        <w:spacing w:after="0" w:line="284" w:lineRule="auto"/>
        <w:tabs>
          <w:tab w:leader="none" w:pos="633"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transactions relating to Parent Common Stock or other securities convertible into or exercisable or exchangeable for Parent Common Stock acquired in open market transactions after the Closing,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transaction is required to be, or is, publicly announced (whether on Form 4, Form 5 or otherwise, other than a required filing on Schedule 13F, 13G or 13G/A) during the Lock-Up Period;</w:t>
      </w:r>
    </w:p>
    <w:p>
      <w:pPr>
        <w:spacing w:after="0" w:line="159" w:lineRule="exact"/>
        <w:rPr>
          <w:rFonts w:ascii="Times New Roman" w:cs="Times New Roman" w:eastAsia="Times New Roman" w:hAnsi="Times New Roman"/>
          <w:sz w:val="17"/>
          <w:szCs w:val="17"/>
          <w:color w:val="auto"/>
        </w:rPr>
      </w:pPr>
    </w:p>
    <w:p>
      <w:pPr>
        <w:ind w:left="633" w:right="60" w:hanging="633"/>
        <w:spacing w:after="0" w:line="269" w:lineRule="auto"/>
        <w:tabs>
          <w:tab w:leader="none" w:pos="633"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of any options or warrants to purchase Parent Common Stock or the vesting of stock awards of Parent Common Stock and any related transfer of shares of Parent Common Stock in connection therewith (A) deemed to occur upon the “cashless” or “net” exercise of such options or warrants or (B) for the purpose of paying the exercise price of such options or warrants or to satisfy tax withholding obligations pursuant to Parent’s or Parent’s subsidiaries’ equity incentive plans or arrangements due as a result of the exercise of such options or warrants, the vesting of such options, warrants or stock awards, or as a result of the vesting of the shares of Parent Common Stock subject to such options, warrants or stock awards, it being understood that all shares of Parent Common Stock received upon such exercise, vesting or transfer will remain subject to the restrictions of this Letter Agreement during the Lock-Up Period;</w:t>
      </w:r>
    </w:p>
    <w:p>
      <w:pPr>
        <w:spacing w:after="0" w:line="174" w:lineRule="exact"/>
        <w:rPr>
          <w:rFonts w:ascii="Times New Roman" w:cs="Times New Roman" w:eastAsia="Times New Roman" w:hAnsi="Times New Roman"/>
          <w:sz w:val="17"/>
          <w:szCs w:val="17"/>
          <w:color w:val="auto"/>
        </w:rPr>
      </w:pPr>
    </w:p>
    <w:p>
      <w:pPr>
        <w:ind w:left="633" w:right="120" w:hanging="633"/>
        <w:spacing w:after="0" w:line="262" w:lineRule="auto"/>
        <w:tabs>
          <w:tab w:leader="none" w:pos="6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Parent pursuant to any contractual arrangement in effect at the Closing that provides for the repurchase by Parent or forfeiture of the Restricted Securityholder’s Parent Common Stock or other securities convertible into or exercisable or exchangeable for Parent Common Stock in connection with the termination of the Restricted Securityholder’s service to Parent;</w:t>
      </w:r>
    </w:p>
    <w:p>
      <w:pPr>
        <w:spacing w:after="0" w:line="176" w:lineRule="exact"/>
        <w:rPr>
          <w:rFonts w:ascii="Times New Roman" w:cs="Times New Roman" w:eastAsia="Times New Roman" w:hAnsi="Times New Roman"/>
          <w:sz w:val="18"/>
          <w:szCs w:val="18"/>
          <w:color w:val="auto"/>
        </w:rPr>
      </w:pPr>
    </w:p>
    <w:p>
      <w:pPr>
        <w:ind w:left="633" w:right="440" w:hanging="633"/>
        <w:spacing w:after="0" w:line="258" w:lineRule="auto"/>
        <w:tabs>
          <w:tab w:leader="none" w:pos="6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the Restricted Securityholder, at any time after the Closing, of any trading plan providing for the sale of Parent Common Stock by the Restricted Securityholder, which trading plan meets the requirements of Rule 10b5-1(c) under the Exchange</w:t>
      </w:r>
    </w:p>
    <w:p>
      <w:pPr>
        <w:ind w:left="633" w:right="2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such plan does not provide for, or permit, the sale of any Parent Common Stock during the Lock-Up Period and (b)(x) no public announcement or filing is voluntarily made or required regarding such plan during the Lock-Up Period or (y) if any public announcement is required of or voluntarily made by or on behalf of the Restricted Securityholder or the Company regarding such plan, then such announcement or filing shall include a statement to the effect that no Transfer may be made under such plan during the Lock-Up Period; and</w:t>
      </w:r>
    </w:p>
    <w:p>
      <w:pPr>
        <w:spacing w:after="0" w:line="188" w:lineRule="exact"/>
        <w:rPr>
          <w:rFonts w:ascii="Times New Roman" w:cs="Times New Roman" w:eastAsia="Times New Roman" w:hAnsi="Times New Roman"/>
          <w:sz w:val="18"/>
          <w:szCs w:val="18"/>
          <w:color w:val="auto"/>
        </w:rPr>
      </w:pPr>
    </w:p>
    <w:p>
      <w:pPr>
        <w:ind w:left="633" w:right="20" w:hanging="633"/>
        <w:spacing w:after="0" w:line="253" w:lineRule="auto"/>
        <w:tabs>
          <w:tab w:leader="none" w:pos="633"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satisfy any U.S. federal, state, or local income tax obligations of the Restricted Securityholder (or its direct or indirect owners) arising from a change in the Code or the U.S. Treasury Regulations promulgated thereunder (the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after the date on which the Merger Agreement was executed by the parties, and such change prevents the Transactions from qualifying as a “reorganization” pursuant to Section 368 of the Code (and the Transactions do not qualify for similar tax-free treatment pursuant to any successor or other provision of the Code or Regulations taking into account such changes), in each case solely and to the extent necessary to cover any tax liability as a direct result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264795</wp:posOffset>
            </wp:positionV>
            <wp:extent cx="71342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93"/>
          </w:cols>
          <w:pgMar w:left="967" w:top="895" w:right="339" w:bottom="1440" w:gutter="0" w:footer="0" w:header="0"/>
        </w:sectPr>
      </w:pPr>
    </w:p>
    <w:bookmarkStart w:id="286" w:name="page287"/>
    <w:bookmarkEnd w:id="286"/>
    <w:p>
      <w:pPr>
        <w:spacing w:after="0" w:line="25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clauses (i) through (vii), these permitted transferees must enter into a written agreement with Parent, in substantially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of this Letter Agreement (it being understood that any references to “immediate family” in the agreement executed by such transferee shall expressly refer only to the immediate family of the Restricted Securityholder and not to the immediate family of the transferee), agreeing to be bound by these Transfer restrictions. For purposes of this paragraph, “immediate family” shall mean a spouse, domestic partner, child, grandchild or other lineal descendant (including by adoption), father, mother, brother or sister of the Restricted Securityholder; and “affiliate” shall have the meaning set forth in Rule 405 under the Securities Act.</w:t>
      </w:r>
    </w:p>
    <w:p>
      <w:pPr>
        <w:spacing w:after="0" w:line="187" w:lineRule="exact"/>
        <w:rPr>
          <w:sz w:val="20"/>
          <w:szCs w:val="20"/>
          <w:color w:val="auto"/>
        </w:rPr>
      </w:pPr>
    </w:p>
    <w:p>
      <w:pPr>
        <w:ind w:right="100" w:firstLine="647"/>
        <w:spacing w:after="0" w:line="253" w:lineRule="auto"/>
        <w:tabs>
          <w:tab w:leader="none" w:pos="81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Securityholder hereby represents and warrants that such Restricted Securityholder has full power and authority to enter into this Letter Agreement and that this Letter Agreement constitutes the legal, valid and binding obligation of the Restricted Securityholder, enforceable in accordance with its terms. Upon request, the Restricted Securityholder will execute any additional documents necessary in connection with enforcement hereof. Any obligations of the Restricted Securityholder shall be binding upon the successors and assigns of the Restricted Securityholder from and after the date hereof. The Restricted Securityholder has independently evaluated the merits of its decision to enter into and deliver this Letter Agreement, and such Restricted Securityholder confirms that it has not relied on the advice of Parent, Parent’s legal counsel, or the Company or its legal counsel.</w:t>
      </w:r>
    </w:p>
    <w:p>
      <w:pPr>
        <w:spacing w:after="0" w:line="185" w:lineRule="exact"/>
        <w:rPr>
          <w:rFonts w:ascii="Times New Roman" w:cs="Times New Roman" w:eastAsia="Times New Roman" w:hAnsi="Times New Roman"/>
          <w:sz w:val="18"/>
          <w:szCs w:val="18"/>
          <w:color w:val="auto"/>
        </w:rPr>
      </w:pPr>
    </w:p>
    <w:p>
      <w:pPr>
        <w:ind w:right="320" w:firstLine="647"/>
        <w:spacing w:after="0" w:line="277" w:lineRule="auto"/>
        <w:tabs>
          <w:tab w:leader="none" w:pos="81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each Restricted Securityholder shall retain all of its rights as a stockholder of the Parent with respect to the Parent Common Stock during the Lock-Up Period, including the right to vote any Parent Common Stock that are entitled to vote.</w:t>
      </w:r>
    </w:p>
    <w:p>
      <w:pPr>
        <w:spacing w:after="0" w:line="162" w:lineRule="exact"/>
        <w:rPr>
          <w:rFonts w:ascii="Times New Roman" w:cs="Times New Roman" w:eastAsia="Times New Roman" w:hAnsi="Times New Roman"/>
          <w:sz w:val="18"/>
          <w:szCs w:val="18"/>
          <w:color w:val="auto"/>
        </w:rPr>
      </w:pPr>
    </w:p>
    <w:p>
      <w:pPr>
        <w:ind w:firstLine="647"/>
        <w:spacing w:after="0" w:line="257" w:lineRule="auto"/>
        <w:tabs>
          <w:tab w:leader="none" w:pos="81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Parent, and any duly appointed transfer agent for the registration or Transfer of the securities described herein, are hereby authorized to decline to make any Transfer if such Transfer would constitute a violation or breach of this Letter Agreement, and such purported Transfer shall be null and void ab initio. In addition, during the Lock-Up Period, each certificate or book-entry position evidencing the Parent Common Stock held by a Restricted Securityholder shall be marked with a legend in substantially the following form, in addition to any other applicable legends:</w:t>
      </w:r>
    </w:p>
    <w:p>
      <w:pPr>
        <w:spacing w:after="0" w:line="181" w:lineRule="exact"/>
        <w:rPr>
          <w:sz w:val="20"/>
          <w:szCs w:val="20"/>
          <w:color w:val="auto"/>
        </w:rPr>
      </w:pPr>
    </w:p>
    <w:p>
      <w:pPr>
        <w:ind w:left="640" w:right="60"/>
        <w:spacing w:after="0" w:line="257" w:lineRule="auto"/>
        <w:rPr>
          <w:sz w:val="20"/>
          <w:szCs w:val="20"/>
          <w:color w:val="auto"/>
        </w:rPr>
      </w:pPr>
      <w:r>
        <w:rPr>
          <w:rFonts w:ascii="Times New Roman" w:cs="Times New Roman" w:eastAsia="Times New Roman" w:hAnsi="Times New Roman"/>
          <w:sz w:val="18"/>
          <w:szCs w:val="18"/>
          <w:color w:val="auto"/>
        </w:rPr>
        <w:t>“THE SECURITIES REPRESENTED HEREBY ARE SUBJECT TO RESTRICTIONS ON TRANSFER SET FORTH IN A LOCK-UP AGREEMENT BY AND AMONG THE COMPANY AND THE REGISTERED HOLDER OF THE SECURITIES (OR THE PREDECESSOR IN INTEREST TO THE SECURITIES). A COPY OF SUCH LOCK-UP AGREEMENT WILL BE FURNISHED WITHOUT CHARGE BY THE COMPANY TO THE HOLDER HEREOF UPON WRITTEN REQUEST.”</w:t>
      </w:r>
    </w:p>
    <w:p>
      <w:pPr>
        <w:spacing w:after="0" w:line="181" w:lineRule="exact"/>
        <w:rPr>
          <w:sz w:val="20"/>
          <w:szCs w:val="20"/>
          <w:color w:val="auto"/>
        </w:rPr>
      </w:pPr>
    </w:p>
    <w:p>
      <w:pPr>
        <w:ind w:right="180" w:firstLine="647"/>
        <w:spacing w:after="0" w:line="257" w:lineRule="auto"/>
        <w:tabs>
          <w:tab w:leader="none" w:pos="81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80" w:lineRule="exact"/>
        <w:rPr>
          <w:rFonts w:ascii="Times New Roman" w:cs="Times New Roman" w:eastAsia="Times New Roman" w:hAnsi="Times New Roman"/>
          <w:sz w:val="18"/>
          <w:szCs w:val="18"/>
          <w:color w:val="auto"/>
        </w:rPr>
      </w:pPr>
    </w:p>
    <w:p>
      <w:pPr>
        <w:jc w:val="both"/>
        <w:ind w:right="40" w:firstLine="647"/>
        <w:spacing w:after="0" w:line="257" w:lineRule="auto"/>
        <w:tabs>
          <w:tab w:leader="none" w:pos="81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Restricted Securityholder and each of its respective successors, heirs and assigns and permitted transferees.</w:t>
      </w:r>
    </w:p>
    <w:p>
      <w:pPr>
        <w:spacing w:after="0" w:line="180" w:lineRule="exact"/>
        <w:rPr>
          <w:rFonts w:ascii="Times New Roman" w:cs="Times New Roman" w:eastAsia="Times New Roman" w:hAnsi="Times New Roman"/>
          <w:sz w:val="18"/>
          <w:szCs w:val="18"/>
          <w:color w:val="auto"/>
        </w:rPr>
      </w:pPr>
    </w:p>
    <w:p>
      <w:pPr>
        <w:ind w:right="120" w:firstLine="647"/>
        <w:spacing w:after="0" w:line="254" w:lineRule="auto"/>
        <w:tabs>
          <w:tab w:leader="none" w:pos="81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of the State of Delaware shall govern (a) all claims or matters related to or arising from this Letter Agreement (including any tort or non-contractual claims) and (b) any questions concerning the construction, interpretation, validity and enforceability of this Letter Agreement, and the performance of the obligations imposed by this Letter Agreement, in each case without giving effect to any choice of law or conflict of law rules or provisions (whether of the State of Delaware or any other jurisdiction) that would cause the application of the Law of any jurisdiction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42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87" w:name="page288"/>
    <w:bookmarkEnd w:id="287"/>
    <w:p>
      <w:pPr>
        <w:ind w:left="-20" w:right="140" w:firstLine="647"/>
        <w:spacing w:after="0" w:line="250" w:lineRule="auto"/>
        <w:tabs>
          <w:tab w:leader="none" w:pos="79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submits to the exclusive jurisdiction of first, the Court of Chancery of the State of Delaware or if such court declines jurisdiction, then to any court of the State of Delaware or the Federal District Court for the District of Delaware, in any Action arising out of or relating to this Letter Agreement, agrees that all claims in respect of the Action shall be heard and determined in any such court and agrees not to bring any Action arising out of or relating to this Letter Agreement in any other courts. Nothing in this paragraph 9, however, shall affect the right of any party to serve legal process in any other manner permitted by Law or at equity. Each party hereto agrees that a final judgment in any Action so brought shall be conclusive and may be enforced by suit on the judgment or in any other manner provided by Law or at equity. EACH PARTY HERETO HEREBY IRREVOCABLY WAIVES ALL RIGHTS TO TRIAL BY JURY IN ANY ACTION BROUGHT TO RESOLVE ANY DISPUTE BETWEEN OR AMONG ANY OF THE PARTIES (WHETHER ARISING IN CONTRACT, TORT OR OTHERWISE) ARISING OUT OF, CONNECTED WITH, RELATED OR INCIDENTAL TO THIS LETTER AGREEMENT, THE TRANSACTIONS OR THE RELATIONSHIPS ESTABLISHED AMONG THE PARTIES UNDER THIS LETTER AGREEMENT. EACH PARTY FURTHER WARRANTS AND REPRESENTS THAT SUCH PARTY HAS REVIEWED THIS WAIVER WITH ITS LEGAL COUNSEL, AND THAT SUCH PARTY KNOWINGLY AND VOLUNTARILY WAIVES ITS JURY TRIAL RIGHTS FOLLOWING CONSULTATION WITH LEGAL COUNSEL.</w:t>
      </w:r>
    </w:p>
    <w:p>
      <w:pPr>
        <w:spacing w:after="0" w:line="187" w:lineRule="exact"/>
        <w:rPr>
          <w:rFonts w:ascii="Times New Roman" w:cs="Times New Roman" w:eastAsia="Times New Roman" w:hAnsi="Times New Roman"/>
          <w:sz w:val="18"/>
          <w:szCs w:val="18"/>
          <w:color w:val="auto"/>
        </w:rPr>
      </w:pPr>
    </w:p>
    <w:p>
      <w:pPr>
        <w:ind w:left="-20" w:firstLine="647"/>
        <w:spacing w:after="0" w:line="250" w:lineRule="auto"/>
        <w:tabs>
          <w:tab w:leader="none" w:pos="88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any provision of this Letter Agreement was not performed in accordance with the terms hereof and that the parties shall be entitled to specific performance of the terms hereof, in addition to any other remedy at law or in equity without the necessity of proving the inadequacy of money damages as a remedy and without bond or other security being required, this being in addition to any other remedy to which they are entitled at law or in equity. Each of the parties hereto hereby further acknowledges that the existence of any other remedy contemplated by this Letter Agreement does not diminish the availability of specific performance of the obligations hereunder or any other injunctive relief. It is accordingly agreed that the parties hereto shall be entitled to seek an injunction or injunctions to prevent breaches of this Letter Agreement and to enforce specifically the terms and provisions of this Letter Agreement in the Court of Chancery or any other state or federal court within the State of Delaware, this being in addition to any other remedy to which such party is entitled at law or in equity. Each party hereto hereby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90" w:lineRule="exact"/>
        <w:rPr>
          <w:rFonts w:ascii="Times New Roman" w:cs="Times New Roman" w:eastAsia="Times New Roman" w:hAnsi="Times New Roman"/>
          <w:sz w:val="18"/>
          <w:szCs w:val="18"/>
          <w:color w:val="auto"/>
        </w:rPr>
      </w:pPr>
    </w:p>
    <w:p>
      <w:pPr>
        <w:ind w:left="-20" w:right="240" w:firstLine="647"/>
        <w:spacing w:after="0" w:line="277" w:lineRule="auto"/>
        <w:tabs>
          <w:tab w:leader="none" w:pos="88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terminate on the earlier of (i) the termination of the Merger Agreement, (ii) the expiration of the Lock-Up Period and (iii) the liquidation of the Parent.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288290</wp:posOffset>
            </wp:positionV>
            <wp:extent cx="71342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288" w:name="page289"/>
    <w:bookmarkEnd w:id="288"/>
    <w:p>
      <w:pPr>
        <w:jc w:val="center"/>
        <w:ind w:right="-359"/>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of Restricted Securityholder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79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7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(Name of Signatory if Restricted Securityholder is an entity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79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of Signatory if Restricted Securityholder is an entity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7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304165</wp:posOffset>
            </wp:positionV>
            <wp:extent cx="29908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990850" cy="825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160020</wp:posOffset>
            </wp:positionV>
            <wp:extent cx="29908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90850" cy="825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15875</wp:posOffset>
            </wp:positionV>
            <wp:extent cx="29908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990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288290</wp:posOffset>
            </wp:positionV>
            <wp:extent cx="71342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840"/>
          </w:cols>
          <w:pgMar w:left="1440" w:top="895" w:right="61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color w:val="auto"/>
        </w:rPr>
        <w:t>Acknowledged and Accepted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MEDTECH ACQUISITION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15875</wp:posOffset>
            </wp:positionV>
            <wp:extent cx="320294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15875</wp:posOffset>
            </wp:positionV>
            <wp:extent cx="320294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MTAC MERGER SUB,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15875</wp:posOffset>
            </wp:positionV>
            <wp:extent cx="32029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26"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288290</wp:posOffset>
            </wp:positionV>
            <wp:extent cx="71342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SPONSOR SUPPORT AGREEMENT</w:t>
      </w:r>
    </w:p>
    <w:p>
      <w:pPr>
        <w:spacing w:after="0" w:line="224" w:lineRule="exact"/>
        <w:rPr>
          <w:sz w:val="20"/>
          <w:szCs w:val="20"/>
          <w:color w:val="auto"/>
        </w:rPr>
      </w:pPr>
    </w:p>
    <w:p>
      <w:pPr>
        <w:ind w:right="20" w:firstLine="640"/>
        <w:spacing w:after="0" w:line="284" w:lineRule="auto"/>
        <w:rPr>
          <w:sz w:val="20"/>
          <w:szCs w:val="20"/>
          <w:color w:val="auto"/>
        </w:rPr>
      </w:pPr>
      <w:r>
        <w:rPr>
          <w:rFonts w:ascii="Times New Roman" w:cs="Times New Roman" w:eastAsia="Times New Roman" w:hAnsi="Times New Roman"/>
          <w:sz w:val="17"/>
          <w:szCs w:val="17"/>
          <w:color w:val="auto"/>
        </w:rPr>
        <w:t>This SPONSOR SUPPORT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November 11, 2022, is entered into by and among MedTech Acquisition Sponsor LLC, a Delaware limited liability company (the “</w:t>
      </w:r>
      <w:r>
        <w:rPr>
          <w:rFonts w:ascii="Times New Roman" w:cs="Times New Roman" w:eastAsia="Times New Roman" w:hAnsi="Times New Roman"/>
          <w:sz w:val="17"/>
          <w:szCs w:val="17"/>
          <w:u w:val="single" w:color="auto"/>
          <w:color w:val="auto"/>
        </w:rPr>
        <w:t>Sponsor</w:t>
      </w:r>
      <w:r>
        <w:rPr>
          <w:rFonts w:ascii="Times New Roman" w:cs="Times New Roman" w:eastAsia="Times New Roman" w:hAnsi="Times New Roman"/>
          <w:sz w:val="17"/>
          <w:szCs w:val="17"/>
          <w:color w:val="auto"/>
        </w:rPr>
        <w:t>”), MedTech Acquisition Corporation, a Delaware corporation (“</w:t>
      </w:r>
      <w:r>
        <w:rPr>
          <w:rFonts w:ascii="Times New Roman" w:cs="Times New Roman" w:eastAsia="Times New Roman" w:hAnsi="Times New Roman"/>
          <w:sz w:val="17"/>
          <w:szCs w:val="17"/>
          <w:u w:val="single" w:color="auto"/>
          <w:color w:val="auto"/>
        </w:rPr>
        <w:t>Acquiror</w:t>
      </w:r>
      <w:r>
        <w:rPr>
          <w:rFonts w:ascii="Times New Roman" w:cs="Times New Roman" w:eastAsia="Times New Roman" w:hAnsi="Times New Roman"/>
          <w:sz w:val="17"/>
          <w:szCs w:val="17"/>
          <w:color w:val="auto"/>
        </w:rPr>
        <w:t>”) and TriSalus Life Sciences,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together with Acquiror and the Sponsor, each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4" w:lineRule="exact"/>
        <w:rPr>
          <w:sz w:val="20"/>
          <w:szCs w:val="20"/>
          <w:color w:val="auto"/>
        </w:rPr>
      </w:pPr>
    </w:p>
    <w:p>
      <w:pPr>
        <w:ind w:right="100" w:firstLine="640"/>
        <w:spacing w:after="0" w:line="257" w:lineRule="auto"/>
        <w:rPr>
          <w:sz w:val="20"/>
          <w:szCs w:val="20"/>
          <w:color w:val="auto"/>
        </w:rPr>
      </w:pPr>
      <w:r>
        <w:rPr>
          <w:rFonts w:ascii="Times New Roman" w:cs="Times New Roman" w:eastAsia="Times New Roman" w:hAnsi="Times New Roman"/>
          <w:sz w:val="18"/>
          <w:szCs w:val="18"/>
          <w:color w:val="auto"/>
        </w:rPr>
        <w:t>WHEREAS, the Company, Acquiror and MTAC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the Agreement and Plan of Merger, dated as of November 11, 2022 (as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which provides for the merger of Merger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wholly-owned subsidiary of Acquiror;</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WHEREAS, capitalized terms used but not otherwise defined in this Agreement shall have the meaning ascribed to them in the Merger Agreement;</w:t>
      </w:r>
    </w:p>
    <w:p>
      <w:pPr>
        <w:spacing w:after="0" w:line="231" w:lineRule="exact"/>
        <w:rPr>
          <w:sz w:val="20"/>
          <w:szCs w:val="20"/>
          <w:color w:val="auto"/>
        </w:rPr>
      </w:pPr>
    </w:p>
    <w:p>
      <w:pPr>
        <w:ind w:right="100" w:firstLine="640"/>
        <w:spacing w:after="0" w:line="262" w:lineRule="auto"/>
        <w:rPr>
          <w:sz w:val="20"/>
          <w:szCs w:val="20"/>
          <w:color w:val="auto"/>
        </w:rPr>
      </w:pPr>
      <w:r>
        <w:rPr>
          <w:rFonts w:ascii="Times New Roman" w:cs="Times New Roman" w:eastAsia="Times New Roman" w:hAnsi="Times New Roman"/>
          <w:sz w:val="18"/>
          <w:szCs w:val="18"/>
          <w:color w:val="auto"/>
        </w:rPr>
        <w:t>WHEREAS, as of the date of this Agreement, the Sponsor is the record holder and the “beneficial owner” (within the meaning of Rule 13d-3 promulgated under the Exchange Act) of (i) 6,250,000 shares of Acquiror Class B Common Stock (the “</w:t>
      </w:r>
      <w:r>
        <w:rPr>
          <w:rFonts w:ascii="Times New Roman" w:cs="Times New Roman" w:eastAsia="Times New Roman" w:hAnsi="Times New Roman"/>
          <w:sz w:val="18"/>
          <w:szCs w:val="18"/>
          <w:u w:val="single" w:color="auto"/>
          <w:color w:val="auto"/>
        </w:rPr>
        <w:t>Sponsor Shares</w:t>
      </w:r>
      <w:r>
        <w:rPr>
          <w:rFonts w:ascii="Times New Roman" w:cs="Times New Roman" w:eastAsia="Times New Roman" w:hAnsi="Times New Roman"/>
          <w:sz w:val="18"/>
          <w:szCs w:val="18"/>
          <w:color w:val="auto"/>
        </w:rPr>
        <w:t>”) and (ii) 4,933,333 warrants issued in a private placement simultaneously with the closing of the Acquiror’s initial public offering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firstLine="640"/>
        <w:spacing w:after="0" w:line="277" w:lineRule="auto"/>
        <w:rPr>
          <w:sz w:val="20"/>
          <w:szCs w:val="20"/>
          <w:color w:val="auto"/>
        </w:rPr>
      </w:pPr>
      <w:r>
        <w:rPr>
          <w:rFonts w:ascii="Times New Roman" w:cs="Times New Roman" w:eastAsia="Times New Roman" w:hAnsi="Times New Roman"/>
          <w:sz w:val="18"/>
          <w:szCs w:val="18"/>
          <w:color w:val="auto"/>
        </w:rPr>
        <w:t>WHEREAS, as a condition and inducement to the Company’s willingness to enter into the Merger Agreement and to consummate the transactions contemplated therein, the Parties desire to agree to certain matters as set forth herein.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NOW, THEREFORE, in consideration of the foregoing premises and the representations, warranties, covenants and agreements set forth in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Parties agree as follows: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TRANSFER OF SHARES; OTHER COVENANTS</w:t>
      </w:r>
    </w:p>
    <w:p>
      <w:pPr>
        <w:spacing w:after="0" w:line="224" w:lineRule="exact"/>
        <w:rPr>
          <w:sz w:val="20"/>
          <w:szCs w:val="20"/>
          <w:color w:val="auto"/>
        </w:rPr>
      </w:pPr>
    </w:p>
    <w:p>
      <w:pPr>
        <w:ind w:right="460" w:firstLine="640"/>
        <w:spacing w:after="0" w:line="257"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Binding Effect of Merger Agreement</w:t>
      </w:r>
      <w:r>
        <w:rPr>
          <w:rFonts w:ascii="Times New Roman" w:cs="Times New Roman" w:eastAsia="Times New Roman" w:hAnsi="Times New Roman"/>
          <w:sz w:val="18"/>
          <w:szCs w:val="18"/>
          <w:color w:val="auto"/>
        </w:rPr>
        <w:t>. The Sponsor hereby acknowledges that it has read the Merger Agreement and this Agreement and has had the opportunity to consult with its tax and legal advisors. The Sponsor shall be bound by and comply with Sections 9.04 (‘Exclusivity’), 9.07 (‘Confidentiality; Publicity’) and 9.08 (‘Cooperation; Further Assurances’) of the Merger Agreement (and any relevant definitions contained in any such Sections) as if the Sponsor was an original signatory to the Merger Agreement with respect to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1342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91" w:name="page292"/>
    <w:bookmarkEnd w:id="291"/>
    <w:p>
      <w:pPr>
        <w:ind w:left="60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u w:val="single" w:color="auto"/>
          <w:color w:val="auto"/>
        </w:rPr>
        <w:t>Voting; Waiver of Anti-Dilution Protection</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40" w:right="80" w:firstLine="647"/>
        <w:spacing w:after="0" w:line="251" w:lineRule="auto"/>
        <w:tabs>
          <w:tab w:leader="none" w:pos="1331"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Sponsor irrevocably and unconditionally agrees, during the period beginning on the date of this Agreement and ending on the earlier of (i) the Closing or (ii) the valid termination of this Agreement in accordance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at each meeting of the stockholders of Acquiror (whether annual or special, however called, a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and at each adjournment or postponement thereof, and in any other circumstance in which the vote, consent or other approval of the stockholders of Acquiror is sought (a “</w:t>
      </w:r>
      <w:r>
        <w:rPr>
          <w:rFonts w:ascii="Times New Roman" w:cs="Times New Roman" w:eastAsia="Times New Roman" w:hAnsi="Times New Roman"/>
          <w:sz w:val="18"/>
          <w:szCs w:val="18"/>
          <w:u w:val="single" w:color="auto"/>
          <w:color w:val="auto"/>
        </w:rPr>
        <w:t>Consent Solicitation</w:t>
      </w:r>
      <w:r>
        <w:rPr>
          <w:rFonts w:ascii="Times New Roman" w:cs="Times New Roman" w:eastAsia="Times New Roman" w:hAnsi="Times New Roman"/>
          <w:sz w:val="18"/>
          <w:szCs w:val="18"/>
          <w:color w:val="auto"/>
        </w:rPr>
        <w:t>”), to cause to be present in person or represented by proxy and to vote or cause to be voted (or validly execute and deliver and take all other action necessary to grant legally effective express consent or dissent in writing, as applicable) all of its Sponsor Shares and any New Securities that are owned as of the applicable record date by the Sponsor (or validly execute and deliver and take all other action necessary to grant legally effective express consent or dissent in writing, as applicable), in each case as follows:</w:t>
      </w:r>
    </w:p>
    <w:p>
      <w:pPr>
        <w:spacing w:after="0" w:line="189" w:lineRule="exact"/>
        <w:rPr>
          <w:rFonts w:ascii="Times New Roman" w:cs="Times New Roman" w:eastAsia="Times New Roman" w:hAnsi="Times New Roman"/>
          <w:sz w:val="18"/>
          <w:szCs w:val="18"/>
          <w:color w:val="auto"/>
        </w:rPr>
      </w:pPr>
    </w:p>
    <w:p>
      <w:pPr>
        <w:ind w:left="-40" w:right="480" w:firstLine="1288"/>
        <w:spacing w:after="0" w:line="277" w:lineRule="auto"/>
        <w:tabs>
          <w:tab w:leader="none" w:pos="1942"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each of the Acquiror Stockholder Matters and any other matters necessary for consummation of the transactions contemplated by the Merger Agreement, including the Merger;</w:t>
      </w:r>
    </w:p>
    <w:p>
      <w:pPr>
        <w:spacing w:after="0" w:line="162" w:lineRule="exact"/>
        <w:rPr>
          <w:rFonts w:ascii="Times New Roman" w:cs="Times New Roman" w:eastAsia="Times New Roman" w:hAnsi="Times New Roman"/>
          <w:sz w:val="18"/>
          <w:szCs w:val="18"/>
          <w:color w:val="auto"/>
        </w:rPr>
      </w:pPr>
    </w:p>
    <w:p>
      <w:pPr>
        <w:ind w:left="-40" w:right="100" w:firstLine="1288"/>
        <w:spacing w:after="0" w:line="262" w:lineRule="auto"/>
        <w:tabs>
          <w:tab w:leader="none" w:pos="1992"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proposal (i) providing for a Business Combination Proposal, (ii) any action that is likely to result in a breach of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of the Merger Agreement or (iii) the adoption of any agreement to enter into a Business Combination Proposal, in each case, other than with the Company pursuant to the Merger Agreement;</w:t>
      </w:r>
    </w:p>
    <w:p>
      <w:pPr>
        <w:spacing w:after="0" w:line="176" w:lineRule="exact"/>
        <w:rPr>
          <w:rFonts w:ascii="Times New Roman" w:cs="Times New Roman" w:eastAsia="Times New Roman" w:hAnsi="Times New Roman"/>
          <w:sz w:val="18"/>
          <w:szCs w:val="18"/>
          <w:color w:val="auto"/>
        </w:rPr>
      </w:pPr>
    </w:p>
    <w:p>
      <w:pPr>
        <w:jc w:val="both"/>
        <w:ind w:left="-40" w:firstLine="1288"/>
        <w:spacing w:after="0" w:line="262" w:lineRule="auto"/>
        <w:tabs>
          <w:tab w:leader="none" w:pos="204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merger agreement or merger (other than the Merger Agreement and the Merger), consolidation, combination, sale of substantial assets, reorganization, recapitalization, issuance of Acquiror Common Stock (other than pursuant to the PIPE Investment), dissolution, liquidation or winding up of or by Acquiror;</w:t>
      </w:r>
    </w:p>
    <w:p>
      <w:pPr>
        <w:spacing w:after="0" w:line="176" w:lineRule="exact"/>
        <w:rPr>
          <w:rFonts w:ascii="Times New Roman" w:cs="Times New Roman" w:eastAsia="Times New Roman" w:hAnsi="Times New Roman"/>
          <w:sz w:val="18"/>
          <w:szCs w:val="18"/>
          <w:color w:val="auto"/>
        </w:rPr>
      </w:pPr>
    </w:p>
    <w:p>
      <w:pPr>
        <w:ind w:left="-40" w:right="160" w:firstLine="1288"/>
        <w:spacing w:after="0" w:line="277" w:lineRule="auto"/>
        <w:tabs>
          <w:tab w:leader="none" w:pos="203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that would result in the change in the business, management or board of directors of Acquiror (other than in connection with the Acquiror Stockholder Matters); and</w:t>
      </w:r>
    </w:p>
    <w:p>
      <w:pPr>
        <w:spacing w:after="0" w:line="162" w:lineRule="exact"/>
        <w:rPr>
          <w:rFonts w:ascii="Times New Roman" w:cs="Times New Roman" w:eastAsia="Times New Roman" w:hAnsi="Times New Roman"/>
          <w:sz w:val="18"/>
          <w:szCs w:val="18"/>
          <w:color w:val="auto"/>
        </w:rPr>
      </w:pPr>
    </w:p>
    <w:p>
      <w:pPr>
        <w:ind w:left="-40" w:right="80" w:firstLine="1288"/>
        <w:spacing w:after="0" w:line="254" w:lineRule="auto"/>
        <w:tabs>
          <w:tab w:leader="none" w:pos="1982"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transaction or agreement that would reasonably be expected to (A) result in a breach of any representation or warranty or covenant of Acquiror or the Merger Sub under the Merger Agreement or this Agreement; (B) prevent, delay or impair (i) any of the Acquiror Stockholder Matters or (ii) consummation of the Transactions in any material respect; (C) result in any of the conditions set forth in Article X of the Merger Agreement not being fulfilled; or (D) change in any manner the dividend policy or capitalization of, including the voting rights of any class of capital stock of, Acquiror.</w:t>
      </w:r>
    </w:p>
    <w:p>
      <w:pPr>
        <w:spacing w:after="0" w:line="185" w:lineRule="exact"/>
        <w:rPr>
          <w:rFonts w:ascii="Times New Roman" w:cs="Times New Roman" w:eastAsia="Times New Roman" w:hAnsi="Times New Roman"/>
          <w:sz w:val="18"/>
          <w:szCs w:val="18"/>
          <w:color w:val="auto"/>
        </w:rPr>
      </w:pPr>
    </w:p>
    <w:p>
      <w:pPr>
        <w:ind w:left="-40" w:right="100" w:firstLine="647"/>
        <w:spacing w:after="0" w:line="254" w:lineRule="auto"/>
        <w:tabs>
          <w:tab w:leader="none" w:pos="1341"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vote required to be cast or consent or dissent in writing required to be expressed pursuant to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shall be cast or expressed in accordance with the applicable procedures relating thereto so as to ensure that it is duly counted for purposes of determining that a quorum is present (if applicable) and for purposes of recording the results of that vote or Consent Solicitation. For the avoidance of doubt, nothing contained herein requires the Sponsor (or entitles any proxy of the Sponsor) to convert, exercise or exchange any options, warrants or convertible securities in order to obtain any underlying shares of Acquiror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15875</wp:posOffset>
            </wp:positionV>
            <wp:extent cx="71342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sectPr>
      </w:pPr>
    </w:p>
    <w:bookmarkStart w:id="292" w:name="page293"/>
    <w:bookmarkEnd w:id="292"/>
    <w:p>
      <w:pPr>
        <w:ind w:left="-7" w:right="400" w:firstLine="647"/>
        <w:spacing w:after="0" w:line="262" w:lineRule="auto"/>
        <w:tabs>
          <w:tab w:leader="none" w:pos="136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Sponsor specified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will apply whether or not any of the Acquiror Stockholder Matters is recommended by the board of directors of Acquiror and whether or not the board of directors of Acquiror previously recommended any of the Acquiror Stockholder Matters but later changed such recommendation.</w:t>
      </w:r>
    </w:p>
    <w:p>
      <w:pPr>
        <w:spacing w:after="0" w:line="176" w:lineRule="exact"/>
        <w:rPr>
          <w:rFonts w:ascii="Times New Roman" w:cs="Times New Roman" w:eastAsia="Times New Roman" w:hAnsi="Times New Roman"/>
          <w:sz w:val="18"/>
          <w:szCs w:val="18"/>
          <w:color w:val="auto"/>
        </w:rPr>
      </w:pPr>
    </w:p>
    <w:p>
      <w:pPr>
        <w:jc w:val="both"/>
        <w:ind w:left="-7" w:right="260" w:firstLine="647"/>
        <w:spacing w:after="0" w:line="257" w:lineRule="auto"/>
        <w:tabs>
          <w:tab w:leader="none" w:pos="137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Sponsor agrees not to enter into any commitment, agreement, understanding or similar arrangement with any Person (i) to vote or give voting instructions or express consent or dissent in writing in any manner inconsistent with the terms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(ii) that would make any representation or warranty or obligation of Sponsor contained herein untrue or incorrect in any respect or have the effect of preventing Sponsor from performing its obligations hereunder.</w:t>
      </w:r>
    </w:p>
    <w:p>
      <w:pPr>
        <w:spacing w:after="0" w:line="181" w:lineRule="exact"/>
        <w:rPr>
          <w:sz w:val="20"/>
          <w:szCs w:val="20"/>
          <w:color w:val="auto"/>
        </w:rPr>
      </w:pPr>
    </w:p>
    <w:p>
      <w:pPr>
        <w:ind w:left="-7" w:firstLine="647"/>
        <w:spacing w:after="0" w:line="265" w:lineRule="auto"/>
        <w:tabs>
          <w:tab w:leader="none" w:pos="1374" w:val="left"/>
        </w:tabs>
        <w:numPr>
          <w:ilvl w:val="1"/>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shall comply with, and fully perform all of its obligations, covenants and agreements set forth in, that certain Letter Agreement, dated as of December 17, 2020, by and among the Sponsor, Acquiror and other parties thereto (the “</w:t>
      </w:r>
      <w:r>
        <w:rPr>
          <w:rFonts w:ascii="Times New Roman" w:cs="Times New Roman" w:eastAsia="Times New Roman" w:hAnsi="Times New Roman"/>
          <w:sz w:val="17"/>
          <w:szCs w:val="17"/>
          <w:u w:val="single" w:color="auto"/>
          <w:color w:val="auto"/>
        </w:rPr>
        <w:t>Letter Agreement</w:t>
      </w:r>
      <w:r>
        <w:rPr>
          <w:rFonts w:ascii="Times New Roman" w:cs="Times New Roman" w:eastAsia="Times New Roman" w:hAnsi="Times New Roman"/>
          <w:sz w:val="17"/>
          <w:szCs w:val="17"/>
          <w:color w:val="auto"/>
        </w:rPr>
        <w:t>”), including (but not limited to): (i) the obligations of the Sponsor pursuant to Section 1 therein to not redeem any shares of Acquiror Common Stock owned by the Sponsor, including its Sponsor Shares and any New Securities owned by it at any time, including in connection with (A) the transactions contemplated by the Merger Agreement or (B) any Extension and (ii) the obligations of Sponsor pursuant to Section 7 therein to not Transfer (as defined therein), except as otherwise permitted therein, (A) any Founder Shares (or shares of Common Stock issuable upon conversion thereof) until the earlier of (1) one year after the Closing or</w:t>
      </w:r>
    </w:p>
    <w:p>
      <w:pPr>
        <w:spacing w:after="0" w:line="4" w:lineRule="exact"/>
        <w:rPr>
          <w:rFonts w:ascii="Times New Roman" w:cs="Times New Roman" w:eastAsia="Times New Roman" w:hAnsi="Times New Roman"/>
          <w:sz w:val="17"/>
          <w:szCs w:val="17"/>
          <w:color w:val="auto"/>
        </w:rPr>
      </w:pPr>
    </w:p>
    <w:p>
      <w:pPr>
        <w:ind w:left="253" w:hanging="253"/>
        <w:spacing w:after="0"/>
        <w:tabs>
          <w:tab w:leader="none" w:pos="25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early-release provisions described in Section 7(a) therein and (B) any Private Placement Warrants until 30 days after the Closing.</w:t>
      </w:r>
    </w:p>
    <w:p>
      <w:pPr>
        <w:spacing w:after="0" w:line="200" w:lineRule="exact"/>
        <w:rPr>
          <w:rFonts w:ascii="Times New Roman" w:cs="Times New Roman" w:eastAsia="Times New Roman" w:hAnsi="Times New Roman"/>
          <w:sz w:val="18"/>
          <w:szCs w:val="18"/>
          <w:color w:val="auto"/>
        </w:rPr>
      </w:pPr>
    </w:p>
    <w:p>
      <w:pPr>
        <w:ind w:left="-7" w:right="20" w:firstLine="647"/>
        <w:spacing w:after="0" w:line="250" w:lineRule="auto"/>
        <w:tabs>
          <w:tab w:leader="none" w:pos="1364"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and conditioned upon the occurrence of and effective as of immediately prior to the Closing, the Sponsor (i) hereby irrevocably waives (for itself and for its successors and assigns), to the fullest extent permitted by law and the organizational documents of the Acquiror Parties, those certain anti-dilution protection provisions contained in Section 4.3(b)(ii) of the Acquiror Certificate of Incorporation, (ii) agrees to provide its consent, as the sole holder of Acquiror Class B Common Stock, to amend, alter or repeal Section 4.3(b)(ii) of the Acquiror Certificate of Incorporation to waive such anti-dilution protection provisions in accordance with Section 4.3(b)(iii) of the Acquiror Certificate of Incorporation, (iii) agrees not to assert or perfect, any other right to adjustment or other anti-dilution protections with respect to the conversion of its Sponsor Shares into shares of Class A Common Stock in connection with the transactions contemplated by the Merger Agreement and (iv) immediately prior to Closing, agrees to convert its Sponsor Shares into shares of Acquiror Class A Common Stock on a one-for-one basis. Sponsor acknowledges and agrees that in no event shall Sponsor convert its Sponsor Shares into shares of Class A Common Stock at a ratio of greater than one-for-one and agrees to take any and all actions necessary to carry out the intent of this </w:t>
      </w:r>
      <w:r>
        <w:rPr>
          <w:rFonts w:ascii="Times New Roman" w:cs="Times New Roman" w:eastAsia="Times New Roman" w:hAnsi="Times New Roman"/>
          <w:sz w:val="18"/>
          <w:szCs w:val="18"/>
          <w:u w:val="single" w:color="auto"/>
          <w:color w:val="auto"/>
        </w:rPr>
        <w:t>Section 1.02(f)</w:t>
      </w:r>
      <w:r>
        <w:rPr>
          <w:rFonts w:ascii="Times New Roman" w:cs="Times New Roman" w:eastAsia="Times New Roman" w:hAnsi="Times New Roman"/>
          <w:sz w:val="18"/>
          <w:szCs w:val="18"/>
          <w:color w:val="auto"/>
        </w:rPr>
        <w:t xml:space="preserve">. The waiver specified in this </w:t>
      </w:r>
      <w:r>
        <w:rPr>
          <w:rFonts w:ascii="Times New Roman" w:cs="Times New Roman" w:eastAsia="Times New Roman" w:hAnsi="Times New Roman"/>
          <w:sz w:val="18"/>
          <w:szCs w:val="18"/>
          <w:u w:val="single" w:color="auto"/>
          <w:color w:val="auto"/>
        </w:rPr>
        <w:t>Section 1.02(f)</w:t>
      </w:r>
      <w:r>
        <w:rPr>
          <w:rFonts w:ascii="Times New Roman" w:cs="Times New Roman" w:eastAsia="Times New Roman" w:hAnsi="Times New Roman"/>
          <w:sz w:val="18"/>
          <w:szCs w:val="18"/>
          <w:color w:val="auto"/>
        </w:rPr>
        <w:t xml:space="preserve"> shall be effective contingent upon the Closing and shall be void and of no further force and effect if this Agreement is validly terminated in accordance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342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93"/>
          </w:cols>
          <w:pgMar w:left="327" w:top="895" w:right="379" w:bottom="1440" w:gutter="0" w:footer="0" w:header="0"/>
        </w:sectPr>
      </w:pPr>
    </w:p>
    <w:bookmarkStart w:id="293" w:name="page294"/>
    <w:bookmarkEnd w:id="293"/>
    <w:p>
      <w:pPr>
        <w:ind w:firstLine="640"/>
        <w:spacing w:after="0" w:line="263" w:lineRule="auto"/>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No Transfers</w:t>
      </w:r>
      <w:r>
        <w:rPr>
          <w:rFonts w:ascii="Times New Roman" w:cs="Times New Roman" w:eastAsia="Times New Roman" w:hAnsi="Times New Roman"/>
          <w:sz w:val="17"/>
          <w:szCs w:val="17"/>
          <w:color w:val="auto"/>
        </w:rPr>
        <w:t>. During the Applicable Period and, in the case of Sponsor Earnout Shares, for so long as such Sponsor Earnout Shares are subject to vesting in accordance with Section 1.12, the Sponsor shall not, directly or indirectly: (a) sell, convey, assign, transfer (including by succession or otherwise by operation of Law), file or participate in the filing of a registration statement with the SEC, exchange, pledge, hypothecate or otherwise encumber or dispose of any of its Sponsor Shares, Sponsor Earnout Shares, New Securities or Warrants (or any right, title or interest therein) or any rights to acquire any securities or equity interests of Acquiror; (b) deposit any shares of its Sponsor Shares, Sponsor Earnout Shares, New Securities or Warrants or any rights to acquire any securities or equity interests of Acquiror into a voting trust or enter into a voting agreement or any other arrangement with respect to such securities or any rights to acquire any securities or equity interests of Acquiror or grant or purport to grant any proxy or power of attorney with respect thereto; (c) enter into any contract, option, call or other arrangement or undertaking, whether or not in writing, with respect to the sale, conveyance, assignment, transfer (including by succession or otherwise by operation of Law), exchange, pledge, hypothecation or other encumbrance or disposition, or limitation on the voting rights, of any of its Sponsor Shares, Sponsor Earnout Shares, New Securities or Warrants (or any right, title or interest therein) or any rights to acquire any securities or equity interests of Acquiror; (d) otherwise grant, permit or suffer the creation of any Encumbrances on any shares of its Sponsor Shares, Sponsor Earnout Shares, New Securities or Warrants (other than applicable restrictions on transfer under U.S. state or federal securities or “blue sky” Laws) or (e) commit or agree to take any of the foregoing actions or discuss, negotiate, publicly announce or make an offer to enter into a commitment, agreement, understanding or similar agreement to take any of the foregoing actions (any action described in clauses (a), (b), (c), (d) and (e), a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shall not prohibit (i) Transfers between the Sponsor and any Affiliate of the Sponsor so long as, prior to and as a condition to the effectiveness of any such Transfer, (A) Sponsor provides Acquiror and the Company with written notice prior to such Transfer and</w:t>
      </w:r>
    </w:p>
    <w:p>
      <w:pPr>
        <w:spacing w:after="0" w:line="7" w:lineRule="exact"/>
        <w:rPr>
          <w:sz w:val="20"/>
          <w:szCs w:val="20"/>
          <w:color w:val="auto"/>
        </w:rPr>
      </w:pPr>
    </w:p>
    <w:p>
      <w:pPr>
        <w:ind w:right="80" w:firstLine="7"/>
        <w:spacing w:after="0" w:line="248" w:lineRule="auto"/>
        <w:tabs>
          <w:tab w:leader="none" w:pos="281"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Affiliate or transferee executes and delivers to Acquiror and the Company a joinder to this Agreement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(ii) any Transfer by Sponsor in connection with any arrangement in connection with any forward purchase agreement, backstop agreement or similar arrangement in connection with the consummation of the Merger (as well as any commitment, agreement or understanding to Transfer such shares or Warrants (and the Transfer of such shares or Warrants) at the Closing in satisfaction of any Transaction Expenses of the Company that are to be paid by Sponsor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of this Agreement), so long as, prior to and as a condition to the effectiveness of any such Transfer or commitment, agreement or understanding to Transfer, such transferee executes and delivers to Acquiror and the Company a joinder to this Agreement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Any Transfer or action in violation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If any involuntary Transfer of any shares of Sponsor Shares, Sponsor Earnout Shares, New Securities or Warrants occurs, the transferee (and all transferees and subsequent transferees of such transferee) shall take and hold such shares of such Sponsor Shares, Sponsor Earnout Shares, New Securities or Warrants subject to all of the restrictions, liabilities and rights under this Agreement, which shall continue in full force and effect during the Applicable Period or in the case of Sponsor Earnout Shares, for so long as Sponsor Earnout Shares are subject to vesting in accordance with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80" w:firstLine="640"/>
        <w:spacing w:after="0" w:line="257"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Stop Transfer</w:t>
      </w:r>
      <w:r>
        <w:rPr>
          <w:rFonts w:ascii="Times New Roman" w:cs="Times New Roman" w:eastAsia="Times New Roman" w:hAnsi="Times New Roman"/>
          <w:sz w:val="18"/>
          <w:szCs w:val="18"/>
          <w:color w:val="auto"/>
        </w:rPr>
        <w:t xml:space="preserve">. The Sponsor shall not request that Acquiror register any transfer of any Certificate or other uncertificated interest representing any shares of its Sponsor Shares, Sponsor Earnout Shares, New Shares or Warrants made in violation of the restrictions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during the Applicable Period or in the case of Sponsor Earnout Shares, during the period which such Sponsor Earnout Shares are subject to vesting in accordance with Section 1.12.</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4" w:name="page295"/>
    <w:bookmarkEnd w:id="294"/>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The Sponsor hereby agrees not to (a) assert, exercise or perfect, directly or indirectly, and irrevocably and unconditionally waives, any appraisal rights (including under Section 262 of the DGCL) with respect to the Merger and any rights to dissent with respect to the Merger (collectively,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or (b) commence or participate in any claim, derivative or otherwise, against Acquiror, the board of directors of Acquiror or Acquiror’s management, the Company, the Board of Directors of the Company or the Company’s management, relating to the negotiation, execution or delivery of this Agreement or the Merger Agreement or the consummation of the Transactions, including any claim (i) challenging the validity of, or seeking to enjoin the operation of, any provision of this Agreement or the Merger Agreement, or challenging the validity of, or seeking to enjoin any of the Transactions, or (ii) alleging a breach of any fiduciary duty or any self-dealing of the board of directors of Acquiror in connection with this Agreement, the Merger Agreement or the Transactions.</w:t>
      </w:r>
    </w:p>
    <w:p>
      <w:pPr>
        <w:spacing w:after="0" w:line="190" w:lineRule="exact"/>
        <w:rPr>
          <w:sz w:val="20"/>
          <w:szCs w:val="20"/>
          <w:color w:val="auto"/>
        </w:rPr>
      </w:pPr>
    </w:p>
    <w:p>
      <w:pPr>
        <w:ind w:right="8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 Agreement as Director or Officer</w:t>
      </w:r>
      <w:r>
        <w:rPr>
          <w:rFonts w:ascii="Times New Roman" w:cs="Times New Roman" w:eastAsia="Times New Roman" w:hAnsi="Times New Roman"/>
          <w:sz w:val="18"/>
          <w:szCs w:val="18"/>
          <w:color w:val="auto"/>
        </w:rPr>
        <w:t>. The Sponsor is entering into this Agreement solely in the Sponsor’s capacity as record or beneficial owner of shares of Acquiror Common Stock and Warrants, and nothing herein is intended to or shall limit or affect any actions taken by any employee, officer, director (or person performing similar functions), partner or other Affiliate (including, for this purpose, any appointee or representative of the Sponsor to the board of directors of Acquiror) of the Sponsor, solely in his or her capacity as a director or officer of Acquiror (or a Subsidiary of Acquiror).</w:t>
      </w:r>
    </w:p>
    <w:p>
      <w:pPr>
        <w:spacing w:after="0" w:line="186"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1.07.</w:t>
      </w:r>
      <w:r>
        <w:rPr>
          <w:sz w:val="20"/>
          <w:szCs w:val="20"/>
          <w:color w:val="auto"/>
        </w:rPr>
        <w:tab/>
      </w:r>
      <w:r>
        <w:rPr>
          <w:rFonts w:ascii="Times New Roman" w:cs="Times New Roman" w:eastAsia="Times New Roman" w:hAnsi="Times New Roman"/>
          <w:sz w:val="17"/>
          <w:szCs w:val="17"/>
          <w:u w:val="single" w:color="auto"/>
          <w:color w:val="auto"/>
        </w:rPr>
        <w:t>New Securities</w:t>
      </w:r>
      <w:r>
        <w:rPr>
          <w:rFonts w:ascii="Times New Roman" w:cs="Times New Roman" w:eastAsia="Times New Roman" w:hAnsi="Times New Roman"/>
          <w:sz w:val="17"/>
          <w:szCs w:val="17"/>
          <w:color w:val="auto"/>
        </w:rPr>
        <w:t>. In the event that (a) any shares of Acquiror Preferred Stock, Acquiror Common Stock, Warrants or other equity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of Acquiror are issued to the Sponsor after the date of this Agreement pursuant to any stock dividend, stock split, recapitalization, reclassification,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combination or exchange of shares of Acquiror Common Stock or Warrants of, on or affecting the shares of Acquiror Common Stock or Warrants owned by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Sponsor or otherwise, (b) the Sponsor purchases or otherwise acquires beneficial ownership of any shares of Acquiror Preferred Stock, Acquiror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Warrants or other equity securities of Acquiror after the date of this Agreement, including warrants exercisable for shares of Acquiror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 that the Sponsor may receive upon conversion of the Convertible Sponsor Note, or (c) the Sponsor acquires the right to vote or share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voting of any shares of Acquiror Preferred Stock, Acquiror Common Stock or other equity securities of Acquiror after the date of this Agreement (such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Acquiror Preferred Stock, Acquiror Common Stock, Warrants or other equity securities of Acquiror, described collectively in the foregoing clauses</w:t>
      </w:r>
    </w:p>
    <w:p>
      <w:pPr>
        <w:spacing w:after="0" w:line="18" w:lineRule="exact"/>
        <w:rPr>
          <w:sz w:val="20"/>
          <w:szCs w:val="20"/>
          <w:color w:val="auto"/>
        </w:rPr>
      </w:pPr>
    </w:p>
    <w:p>
      <w:pPr>
        <w:ind w:right="440" w:firstLine="7"/>
        <w:spacing w:after="0" w:line="255" w:lineRule="auto"/>
        <w:tabs>
          <w:tab w:leader="none" w:pos="24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 the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then such New Securities issued to, or acquired or purchased by, the Sponsor shall be subject to the terms of this Agreement to the same extent as if they constituted the Sponsor Shares or Warrants owned by the Sponsor as of the date hereof.</w:t>
      </w:r>
    </w:p>
    <w:p>
      <w:pPr>
        <w:spacing w:after="0" w:line="182" w:lineRule="exact"/>
        <w:rPr>
          <w:sz w:val="20"/>
          <w:szCs w:val="20"/>
          <w:color w:val="auto"/>
        </w:rPr>
      </w:pPr>
    </w:p>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 Sponsor hereby agrees not to commence, maintain or participate in, or facilitate, assist or encourage, and agrees to take all actions necessary to opt out of any class in any class action with respect to, any claim, derivative or otherwise, suit, proceeding or cause of action, in law or in equity, in any court or before any Governmental Authority against the Company, the Company’s Affiliates, Acquiror or any of their respective successors and assigns (a) challenging the validity of, or seeking to enjoin or delay the operation of, any provision of this Agreement or the Merger Agreement (including (i) challenging the Closing Equity Value of the Company and resulting shares of Common Stock issued as Closing Merger Consideration or (ii) any claim seeking to enjoin or delay the consummation of the Merger in any respect), (b) alleging a breach of any fiduciary duty or self-dealing of any Person in connection with the Merger Agreement or the Transactions, or (c) seeking Appraisal Rights in connection with the Merger. Notwithstanding the foregoing, nothing herein shall be deemed to prohibit the Sponsor from enforcing the Sponsor’s rights under this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95" w:name="page296"/>
    <w:bookmarkEnd w:id="295"/>
    <w:p>
      <w:pPr>
        <w:ind w:right="22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Sponsor shall, without further consideration, execute and deliver, or cause to be executed and delivered, such further certificates, instruments and other documents and to take such further actions as Acquiror or the Company may reasonably request for the purpose of effectively carrying out the transactions contemplated by the Merger Agreement and this Agreement.</w:t>
      </w:r>
    </w:p>
    <w:p>
      <w:pPr>
        <w:spacing w:after="0" w:line="176" w:lineRule="exact"/>
        <w:rPr>
          <w:sz w:val="20"/>
          <w:szCs w:val="20"/>
          <w:color w:val="auto"/>
        </w:rPr>
      </w:pPr>
    </w:p>
    <w:p>
      <w:pPr>
        <w:ind w:right="100" w:firstLine="640"/>
        <w:spacing w:after="0" w:line="269" w:lineRule="auto"/>
        <w:rPr>
          <w:sz w:val="20"/>
          <w:szCs w:val="20"/>
          <w:color w:val="auto"/>
        </w:rPr>
      </w:pPr>
      <w:r>
        <w:rPr>
          <w:rFonts w:ascii="Times New Roman" w:cs="Times New Roman" w:eastAsia="Times New Roman" w:hAnsi="Times New Roman"/>
          <w:sz w:val="17"/>
          <w:szCs w:val="17"/>
          <w:color w:val="auto"/>
        </w:rPr>
        <w:t xml:space="preserve">Section 1.10. </w:t>
      </w:r>
      <w:r>
        <w:rPr>
          <w:rFonts w:ascii="Times New Roman" w:cs="Times New Roman" w:eastAsia="Times New Roman" w:hAnsi="Times New Roman"/>
          <w:sz w:val="17"/>
          <w:szCs w:val="17"/>
          <w:u w:val="single" w:color="auto"/>
          <w:color w:val="auto"/>
        </w:rPr>
        <w:t>Assumption of Acquiror Transaction Expenses</w:t>
      </w:r>
      <w:r>
        <w:rPr>
          <w:rFonts w:ascii="Times New Roman" w:cs="Times New Roman" w:eastAsia="Times New Roman" w:hAnsi="Times New Roman"/>
          <w:sz w:val="17"/>
          <w:szCs w:val="17"/>
          <w:color w:val="auto"/>
        </w:rPr>
        <w:t>. The Sponsor shall be solely responsible for the payment of (and neither the Acquiror, the Company, Merger Sub nor the Surviving Company shall have any obligation or liability with respect to) and pay or cause to be paid at Closing any Acquiror Transaction Expenses in excess of the applicable Acquiror Transaction Expenses Cap, either (a) in cash held outside of the Trust Account or</w:t>
      </w:r>
    </w:p>
    <w:p>
      <w:pPr>
        <w:spacing w:after="0" w:line="2" w:lineRule="exact"/>
        <w:rPr>
          <w:sz w:val="20"/>
          <w:szCs w:val="20"/>
          <w:color w:val="auto"/>
        </w:rPr>
      </w:pPr>
    </w:p>
    <w:p>
      <w:pPr>
        <w:ind w:right="40" w:firstLine="7"/>
        <w:spacing w:after="0" w:line="262" w:lineRule="auto"/>
        <w:tabs>
          <w:tab w:leader="none" w:pos="252"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via the Transfer of (i) Sponsor Shares held by Sponsor immediately prior to Closing, (ii) shares of Common Stock held by Sponsor immediately after Closing (which equals the number of shares of Sponsor Shares converted into shares of Acquiror Class A Common Stock on a one-for-one basis immediately prior to Closing and upon the filing of the Acquiror Charter, redesignated as Common Stock), in each case of clause (i) or (ii), excluding Forfeited Sponsor Shares and Sponsor Earnout Shares, or (iii) Warrants, to the applicable party to whom such Acquiror Transaction Expenses are payable; provided that, in lieu of direct Transfer of such securities by Sponsor, at the mutual agreement of the Sponsor and the Company, the Sponsor may instead, forfeit such number of shares of Sponsor Shares (if prior to Closing) or shares of Common Stock (if after Closing), in each case, excluding Forfeited Sponsor Shares and Sponsor Earnout Shares, or Warrants held by Sponsor for no consideration and the Acquiror, subject to compliance with applicable securities laws, shall issue, upon the forfeiture of such Sponsor Shares, shares of Common Stock or Warrants previously held by Sponsor, the corresponding number of shares of Acquiror Class A Common Stock (if prior to Closing), shares of Common Stock (if after Closing) or Warrants to the party to whom such Acquiror Transaction Expenses are payable; provided further, that, prior to the payment of such Acquiror Transaction Expenses pursuant to clause (b) of this </w:t>
      </w:r>
      <w:r>
        <w:rPr>
          <w:rFonts w:ascii="Times New Roman" w:cs="Times New Roman" w:eastAsia="Times New Roman" w:hAnsi="Times New Roman"/>
          <w:sz w:val="17"/>
          <w:szCs w:val="17"/>
          <w:u w:val="single" w:color="auto"/>
          <w:color w:val="auto"/>
        </w:rPr>
        <w:t>Section 1.10</w:t>
      </w:r>
      <w:r>
        <w:rPr>
          <w:rFonts w:ascii="Times New Roman" w:cs="Times New Roman" w:eastAsia="Times New Roman" w:hAnsi="Times New Roman"/>
          <w:sz w:val="17"/>
          <w:szCs w:val="17"/>
          <w:color w:val="auto"/>
        </w:rPr>
        <w:t>, Sponsor shall (i) provide Company with advanced written notice describing the terms of such arrangement, including amounts to be satisfied, the name of the proposed transferor and the number of shares of Common Stock or Warrants to be transferred in satisfaction of such Acquiror Transaction Expense and</w:t>
      </w:r>
    </w:p>
    <w:p>
      <w:pPr>
        <w:ind w:left="260" w:hanging="253"/>
        <w:spacing w:after="0"/>
        <w:tabs>
          <w:tab w:leader="none" w:pos="2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of Acquiror Transaction Expenses shall enter into a customary release agreement with Sponsor and the Acquiror.</w:t>
      </w:r>
    </w:p>
    <w:p>
      <w:pPr>
        <w:spacing w:after="0" w:line="201"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7"/>
          <w:szCs w:val="17"/>
          <w:u w:val="single" w:color="auto"/>
          <w:color w:val="auto"/>
        </w:rPr>
        <w:t>Founder Share Forfeiture</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firstLine="647"/>
        <w:spacing w:after="0" w:line="253" w:lineRule="auto"/>
        <w:tabs>
          <w:tab w:leader="none" w:pos="137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consummation of the Merger, the Sponsor agrees that, upon and subject to the occurrence of the Closing, (i) the Sponsor shall automatically forfeit and cancel, without any further action by the Sponsor or any other Person or any further consideration therefor, 2,187,500 shares of Common Stock held by Sponsor as of immediately after Closing (which such shares represents thirty-five percent (35%) of the total Sponsor Shares held by the Sponsor as of the date of this Agreement to be converted into shares of Class A Common Stock on a one-for-one basis immediately prior to Closing, and upon the filing of the Acquiror Charter, redesignated as Common Stock) (the “</w:t>
      </w:r>
      <w:r>
        <w:rPr>
          <w:rFonts w:ascii="Times New Roman" w:cs="Times New Roman" w:eastAsia="Times New Roman" w:hAnsi="Times New Roman"/>
          <w:sz w:val="18"/>
          <w:szCs w:val="18"/>
          <w:u w:val="single" w:color="auto"/>
          <w:color w:val="auto"/>
        </w:rPr>
        <w:t>Forfeited Sponsor Shares</w:t>
      </w:r>
      <w:r>
        <w:rPr>
          <w:rFonts w:ascii="Times New Roman" w:cs="Times New Roman" w:eastAsia="Times New Roman" w:hAnsi="Times New Roman"/>
          <w:sz w:val="18"/>
          <w:szCs w:val="18"/>
          <w:color w:val="auto"/>
        </w:rPr>
        <w:t>”) and (ii) Acquiror shall direct its Transfer Agent to take any and all such actions necessary to retire and cancel such Forfeited Sponsor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6" w:name="page297"/>
    <w:bookmarkEnd w:id="296"/>
    <w:p>
      <w:pPr>
        <w:ind w:left="640" w:right="600" w:firstLine="7"/>
        <w:spacing w:after="0" w:line="495" w:lineRule="auto"/>
        <w:tabs>
          <w:tab w:leader="none" w:pos="1381"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Section 1.11 shall be void and of no force and effect if this Agreement is validly terminated in accordance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Section 1.12. </w:t>
      </w:r>
      <w:r>
        <w:rPr>
          <w:rFonts w:ascii="Times New Roman" w:cs="Times New Roman" w:eastAsia="Times New Roman" w:hAnsi="Times New Roman"/>
          <w:sz w:val="18"/>
          <w:szCs w:val="18"/>
          <w:u w:val="single" w:color="auto"/>
          <w:color w:val="auto"/>
        </w:rPr>
        <w:t>Sponsor Earnout</w:t>
      </w:r>
    </w:p>
    <w:p>
      <w:pPr>
        <w:ind w:firstLine="647"/>
        <w:spacing w:after="0" w:line="249" w:lineRule="auto"/>
        <w:tabs>
          <w:tab w:leader="none" w:pos="137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3,125,000 of the shares of Common Stock held by Sponsor as of immediately after Closing (which such shares represents fifty percent (50%) of the total Sponsor Shares held by the Sponsor as of the date of this Agreement to be converted into shares of Class A Common Stock on a one-for-one basis immediately prior to Closing, and upon the filing of the Acquiror Charter, redesignated as Common Stock) (the “</w:t>
      </w:r>
      <w:r>
        <w:rPr>
          <w:rFonts w:ascii="Times New Roman" w:cs="Times New Roman" w:eastAsia="Times New Roman" w:hAnsi="Times New Roman"/>
          <w:sz w:val="18"/>
          <w:szCs w:val="18"/>
          <w:u w:val="single" w:color="auto"/>
          <w:color w:val="auto"/>
        </w:rPr>
        <w:t>Sponsor 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shall be unvested and subject to the vesting and forfeiture provisions set forth in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For the avoidance of doubt, immediately after Closing, all of the remaining shares of Common Stock held by Sponsor (as to which there are 937,500 of such shares as of the date of this Agreement and which such shares, as of the date of this Agreement, represent fifteen percent (15%) of the total Sponsor Shares held by the Sponsor to be converted into shares of Class A Common Stock on a one-for-one basis immediately prior to Closing, and upon the filing of the Acquiror Charter, redesignated as Common Stock) (other than such Sponsor Earnout Shares, Forfeited Shares and Sponsor Shares transferred to satisfy Acquiror Transaction Expenses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shall be fully vested and free from forfeiture. The Sponsor shall not (and will cause its Affiliates not to) Transfer any unvested Sponsor Earnout Shares prior to the later of (i) the expiration of the Earnout Period and (ii) the date such Sponsor Earnout Shares become vested pursuant to this Section 1.12, provided that the foregoing restriction on Transfers shall not restrict any Transfers of Sponsor Earnout Shares by Sponsor prior to the expiration of the Earnout Period to any Affiliate of the Sponsor so long as, prior to and as a condition to the effectiveness of any such Transfer, such Affiliate executes and delivers to Acquiror and the Company a joinder to this Agreement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Sponsor acknowledges and agrees that during the Earnout Period, until such Sponsor Earnout Shares become fully vested in accordance with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Acquiror shall issue stop-transfer instructions to its Transfer Agent with respect to the applicable Sponsor Earnout Shares and Acquiror shall not be required to (a) transfer on its books any Sponsor Earnout Shares that have been sold or otherwise transferred in violation of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including a transfer prior to an applicable Earnout Target is achieved or (b) treat as owner of such shares, or to accord the right to vote or pay dividends, to any purchaser or other transferee to whom such shares have been so transferred.</w:t>
      </w:r>
    </w:p>
    <w:p>
      <w:pPr>
        <w:spacing w:after="0" w:line="190" w:lineRule="exact"/>
        <w:rPr>
          <w:rFonts w:ascii="Times New Roman" w:cs="Times New Roman" w:eastAsia="Times New Roman" w:hAnsi="Times New Roman"/>
          <w:sz w:val="18"/>
          <w:szCs w:val="18"/>
          <w:color w:val="auto"/>
        </w:rPr>
      </w:pPr>
    </w:p>
    <w:p>
      <w:pPr>
        <w:ind w:firstLine="647"/>
        <w:spacing w:after="0" w:line="265" w:lineRule="auto"/>
        <w:tabs>
          <w:tab w:leader="none" w:pos="1381" w:val="left"/>
        </w:tabs>
        <w:numPr>
          <w:ilvl w:val="1"/>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Closing, if, at any time during the period following the Closing and expiring on the fifth anniversary of the Closing Date (the “</w:t>
      </w:r>
      <w:r>
        <w:rPr>
          <w:rFonts w:ascii="Times New Roman" w:cs="Times New Roman" w:eastAsia="Times New Roman" w:hAnsi="Times New Roman"/>
          <w:sz w:val="17"/>
          <w:szCs w:val="17"/>
          <w:u w:val="single" w:color="auto"/>
          <w:color w:val="auto"/>
        </w:rPr>
        <w:t>Earnout Period</w:t>
      </w:r>
      <w:r>
        <w:rPr>
          <w:rFonts w:ascii="Times New Roman" w:cs="Times New Roman" w:eastAsia="Times New Roman" w:hAnsi="Times New Roman"/>
          <w:sz w:val="17"/>
          <w:szCs w:val="17"/>
          <w:color w:val="auto"/>
        </w:rPr>
        <w:t>”), (i) the VWAP of the shares of Common Stock equals or exceeds $15 (as adjusted for stock splits, stock dividends, reorganizations, recapitalizations and the like) for any twenty (20) Trading Days within any period of thirty (30) consecutive Trading Days (the “</w:t>
      </w:r>
      <w:r>
        <w:rPr>
          <w:rFonts w:ascii="Times New Roman" w:cs="Times New Roman" w:eastAsia="Times New Roman" w:hAnsi="Times New Roman"/>
          <w:sz w:val="17"/>
          <w:szCs w:val="17"/>
          <w:u w:val="single" w:color="auto"/>
          <w:color w:val="auto"/>
        </w:rPr>
        <w:t>First Level Earnout Target</w:t>
      </w:r>
      <w:r>
        <w:rPr>
          <w:rFonts w:ascii="Times New Roman" w:cs="Times New Roman" w:eastAsia="Times New Roman" w:hAnsi="Times New Roman"/>
          <w:sz w:val="17"/>
          <w:szCs w:val="17"/>
          <w:color w:val="auto"/>
        </w:rPr>
        <w:t>”), 25% of the Sponsor Earnout Shares (the “</w:t>
      </w:r>
      <w:r>
        <w:rPr>
          <w:rFonts w:ascii="Times New Roman" w:cs="Times New Roman" w:eastAsia="Times New Roman" w:hAnsi="Times New Roman"/>
          <w:sz w:val="17"/>
          <w:szCs w:val="17"/>
          <w:u w:val="single" w:color="auto"/>
          <w:color w:val="auto"/>
        </w:rPr>
        <w:t>First Level Sponsor Earnout Shares</w:t>
      </w:r>
      <w:r>
        <w:rPr>
          <w:rFonts w:ascii="Times New Roman" w:cs="Times New Roman" w:eastAsia="Times New Roman" w:hAnsi="Times New Roman"/>
          <w:sz w:val="17"/>
          <w:szCs w:val="17"/>
          <w:color w:val="auto"/>
        </w:rPr>
        <w:t xml:space="preserve">”) shall no longer be subject to forfeiture pursuant to this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(ii) the VWAP of the shares of Common Stock equals or exceeds $20 (as adjusted for stock splits, stock dividends, reorganizations, recapitalizations and the like) for any twenty (20) Trading Days within any period of thirty (30) consecutive Trading Days (the “</w:t>
      </w:r>
      <w:r>
        <w:rPr>
          <w:rFonts w:ascii="Times New Roman" w:cs="Times New Roman" w:eastAsia="Times New Roman" w:hAnsi="Times New Roman"/>
          <w:sz w:val="17"/>
          <w:szCs w:val="17"/>
          <w:u w:val="single" w:color="auto"/>
          <w:color w:val="auto"/>
        </w:rPr>
        <w:t>Second Level Earnout Target</w:t>
      </w:r>
      <w:r>
        <w:rPr>
          <w:rFonts w:ascii="Times New Roman" w:cs="Times New Roman" w:eastAsia="Times New Roman" w:hAnsi="Times New Roman"/>
          <w:sz w:val="17"/>
          <w:szCs w:val="17"/>
          <w:color w:val="auto"/>
        </w:rPr>
        <w:t>”), 25% of the Sponsor Earnout Shares (the “</w:t>
      </w:r>
      <w:r>
        <w:rPr>
          <w:rFonts w:ascii="Times New Roman" w:cs="Times New Roman" w:eastAsia="Times New Roman" w:hAnsi="Times New Roman"/>
          <w:sz w:val="17"/>
          <w:szCs w:val="17"/>
          <w:u w:val="single" w:color="auto"/>
          <w:color w:val="auto"/>
        </w:rPr>
        <w:t>Second Level Sponsor Earnout Shares</w:t>
      </w:r>
      <w:r>
        <w:rPr>
          <w:rFonts w:ascii="Times New Roman" w:cs="Times New Roman" w:eastAsia="Times New Roman" w:hAnsi="Times New Roman"/>
          <w:sz w:val="17"/>
          <w:szCs w:val="17"/>
          <w:color w:val="auto"/>
        </w:rPr>
        <w:t xml:space="preserve">”) shall no longer be subject to forfeiture pursuant to this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(iii) the VWAP of the shares of Common Stock equals or exceeds $25 (as adjusted for stock splits, stock dividends, reorganizations, recapitalizations and the like) for any twenty</w:t>
      </w:r>
    </w:p>
    <w:p>
      <w:pPr>
        <w:ind w:left="340" w:hanging="333"/>
        <w:spacing w:after="0"/>
        <w:tabs>
          <w:tab w:leader="none" w:pos="3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any period of thirty (30) consecutive Trading Days (the “</w:t>
      </w:r>
      <w:r>
        <w:rPr>
          <w:rFonts w:ascii="Times New Roman" w:cs="Times New Roman" w:eastAsia="Times New Roman" w:hAnsi="Times New Roman"/>
          <w:sz w:val="18"/>
          <w:szCs w:val="18"/>
          <w:u w:val="single" w:color="auto"/>
          <w:color w:val="auto"/>
        </w:rPr>
        <w:t>Third Level Earnout Target</w:t>
      </w:r>
      <w:r>
        <w:rPr>
          <w:rFonts w:ascii="Times New Roman" w:cs="Times New Roman" w:eastAsia="Times New Roman" w:hAnsi="Times New Roman"/>
          <w:sz w:val="18"/>
          <w:szCs w:val="18"/>
          <w:color w:val="auto"/>
        </w:rPr>
        <w:t>”), 25% of the Sponsor Earnout Shares (the</w:t>
      </w:r>
    </w:p>
    <w:p>
      <w:pPr>
        <w:spacing w:after="0" w:line="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Level Sponsor Earnout Shares</w:t>
      </w:r>
      <w:r>
        <w:rPr>
          <w:rFonts w:ascii="Times New Roman" w:cs="Times New Roman" w:eastAsia="Times New Roman" w:hAnsi="Times New Roman"/>
          <w:sz w:val="18"/>
          <w:szCs w:val="18"/>
          <w:color w:val="auto"/>
        </w:rPr>
        <w:t xml:space="preserve">”) shall no longer be subject to forfeiture pursuant to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and (iv) the VWAP of the shares of Common Stock equals or exceeds $30 (as adjusted for stock splits, stock dividends, reorganizations, recapitalizations and the like) for any twenty (20) Trading Days within any period of thirty (30) consecutive Trading Days (the “</w:t>
      </w:r>
      <w:r>
        <w:rPr>
          <w:rFonts w:ascii="Times New Roman" w:cs="Times New Roman" w:eastAsia="Times New Roman" w:hAnsi="Times New Roman"/>
          <w:sz w:val="18"/>
          <w:szCs w:val="18"/>
          <w:u w:val="single" w:color="auto"/>
          <w:color w:val="auto"/>
        </w:rPr>
        <w:t>Fourth Level Earnout Target</w:t>
      </w:r>
      <w:r>
        <w:rPr>
          <w:rFonts w:ascii="Times New Roman" w:cs="Times New Roman" w:eastAsia="Times New Roman" w:hAnsi="Times New Roman"/>
          <w:sz w:val="18"/>
          <w:szCs w:val="18"/>
          <w:color w:val="auto"/>
        </w:rPr>
        <w:t>”), 25% of the Sponsor Earnout Shares (the “</w:t>
      </w:r>
      <w:r>
        <w:rPr>
          <w:rFonts w:ascii="Times New Roman" w:cs="Times New Roman" w:eastAsia="Times New Roman" w:hAnsi="Times New Roman"/>
          <w:sz w:val="18"/>
          <w:szCs w:val="18"/>
          <w:u w:val="single" w:color="auto"/>
          <w:color w:val="auto"/>
        </w:rPr>
        <w:t>Fourth Level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Sponsor Earnout Shares</w:t>
      </w:r>
      <w:r>
        <w:rPr>
          <w:rFonts w:ascii="Times New Roman" w:cs="Times New Roman" w:eastAsia="Times New Roman" w:hAnsi="Times New Roman"/>
          <w:sz w:val="18"/>
          <w:szCs w:val="18"/>
          <w:color w:val="auto"/>
        </w:rPr>
        <w:t xml:space="preserve">”) shall no longer be subject to forfeiture pursuant to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Each of the First Level Earnout Target, Second Level Earnout Target, Third Level Earnout Target and Fourth Level Earnout Target shall be referred to herein as an “</w:t>
      </w:r>
      <w:r>
        <w:rPr>
          <w:rFonts w:ascii="Times New Roman" w:cs="Times New Roman" w:eastAsia="Times New Roman" w:hAnsi="Times New Roman"/>
          <w:sz w:val="18"/>
          <w:szCs w:val="18"/>
          <w:u w:val="single" w:color="auto"/>
          <w:color w:val="auto"/>
        </w:rPr>
        <w:t>Earnout Target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97" w:name="page298"/>
    <w:bookmarkEnd w:id="297"/>
    <w:p>
      <w:pPr>
        <w:jc w:val="both"/>
        <w:ind w:left="-20" w:firstLine="647"/>
        <w:spacing w:after="0" w:line="257" w:lineRule="auto"/>
        <w:tabs>
          <w:tab w:leader="none" w:pos="1351"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one or more of the Earnout Targets in clause (b) above is, or if all Earnout Targets are, achieved on or prior to the last day of the Earnout Period, then, following the achievement of the applicable Earnout Target, the First Level Sponsor Earnout Shares, Second Level Sponsor Earnout Shares, Third Level Sponsor Earnout Shares or Fourth Level Sponsor Earnout Shares, as applicable, for the particular Earnout Targets or Earnout Targets that are so achieved, shall become fully vested and shall no longer be subject to forfeiture or the transfer restrictions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20" w:right="160" w:firstLine="647"/>
        <w:spacing w:after="0" w:line="262" w:lineRule="auto"/>
        <w:tabs>
          <w:tab w:leader="none" w:pos="1361"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Sponsor Earnout Shares remain unvested on the first Business Day after the expiration of the Earnout Period, (i) such unvested Sponsor Earnout Shares shall be forfeited immediately and shall be cancelled for no consideration and (ii) Acquiror shall direct its Transfer Agent to take any and all such actions necessary to retire and cancel such unvested Sponsor Earnout Shares.</w:t>
      </w:r>
    </w:p>
    <w:p>
      <w:pPr>
        <w:spacing w:after="0" w:line="176" w:lineRule="exact"/>
        <w:rPr>
          <w:rFonts w:ascii="Times New Roman" w:cs="Times New Roman" w:eastAsia="Times New Roman" w:hAnsi="Times New Roman"/>
          <w:sz w:val="18"/>
          <w:szCs w:val="18"/>
          <w:color w:val="auto"/>
        </w:rPr>
      </w:pPr>
    </w:p>
    <w:p>
      <w:pPr>
        <w:ind w:left="-20" w:right="40" w:firstLine="647"/>
        <w:spacing w:after="0" w:line="250" w:lineRule="auto"/>
        <w:tabs>
          <w:tab w:leader="none" w:pos="1351"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an Acquiror Change of Control occurs during the Earnout Period which results in the holders of Common Stock receiving a Company Sale Price equal to or in excess of the applicable Earnout Target, then immediately prior to the consummation of such Acquiror Change of Control any such Earnout Target that has not previously been satisfied shall be deemed to be satisfied and the related vesting conditions shall also be deemed to have occurred such that the holders of the Sponsor Earnout Shares corresponding to such previously unsatisfied Earnout Targets shall be eligible to participate in such Acquiror Change of Control. For avoidance of doubt, assuming no prior Earnout Targets have been achieved as of the date of the Acquiror Change of Control: (i) if the Company Sale Price is greater than or equal to the First Level Earnout Target, but less than the Second Level Earnout Target, the First Level Sponsor Earnout Shares shall be deemed to have fully vested; (ii) if the Company Sale Price is greater than or equal to the Second Level Earnout Target, but less than the Third Level Earnout Target, the First Level Sponsor Earnout Shares and Second Level Sponsor Earnout Shares shall be deemed to have fully vested; (iii) if the Company Sale Price is greater than or equal to the Third Earnout Target, but less than the Fourth Level Earnout Target, the First Level Sponsor Earnout Shares, the Second Level Sponsor Earnout Shares and the Third Level Sponsor Earnout Shares shall be deemed to have fully vested and (iv) if the Company Sale Price is greater than or equal to the Fourth Earnout Target, then all of the Sponsor Earnout Shares shall be deemed to have fully vested.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71342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298" w:name="page299"/>
    <w:bookmarkEnd w:id="298"/>
    <w:p>
      <w:pPr>
        <w:ind w:right="60" w:firstLine="647"/>
        <w:spacing w:after="0" w:line="268" w:lineRule="auto"/>
        <w:tabs>
          <w:tab w:leader="none" w:pos="1352"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Agreement, an “</w:t>
      </w:r>
      <w:r>
        <w:rPr>
          <w:rFonts w:ascii="Times New Roman" w:cs="Times New Roman" w:eastAsia="Times New Roman" w:hAnsi="Times New Roman"/>
          <w:sz w:val="17"/>
          <w:szCs w:val="17"/>
          <w:u w:val="single" w:color="auto"/>
          <w:color w:val="auto"/>
        </w:rPr>
        <w:t>Acquiror Change of Control</w:t>
      </w:r>
      <w:r>
        <w:rPr>
          <w:rFonts w:ascii="Times New Roman" w:cs="Times New Roman" w:eastAsia="Times New Roman" w:hAnsi="Times New Roman"/>
          <w:sz w:val="17"/>
          <w:szCs w:val="17"/>
          <w:color w:val="auto"/>
        </w:rPr>
        <w:t>” means (i) a merger, consolidation or other business combination of Acquiror in which any person or “group” (within the meaning of Rules 13d-3 and 13d-5 under the Exchange Act as in effect on the Closing Date) acquires more than fifty percent (50%) of the voting power of the then outstanding capital stock of the Acquiror entitled to vote for the election of directors of Acquiror or the surviving person outstanding immediately after such merger, consolidation or other business combination; (ii) any person or “group” (within the meaning of Rules 13d-3 and 13d-5 under the Exchange Act as in effect on the Closing Date) obtaining beneficial ownership (as defined in Rules 13d-3 and 13d-5 under the Exchange Act) of the voting stock of the Acquiror representing more than fifty percent (50%) of the voting power of the capital stock of the Acquiror entitled to vote for the election of directors of the Acquiror; or (iii) any sale, exclusive license or other disposition, in a single transaction or a series of related transactions, of all or substantially all of the assets of Acquiror and its subsidiaries, taken as a whole.</w:t>
      </w:r>
    </w:p>
    <w:p>
      <w:pPr>
        <w:spacing w:after="0" w:line="175" w:lineRule="exact"/>
        <w:rPr>
          <w:rFonts w:ascii="Times New Roman" w:cs="Times New Roman" w:eastAsia="Times New Roman" w:hAnsi="Times New Roman"/>
          <w:sz w:val="17"/>
          <w:szCs w:val="17"/>
          <w:color w:val="auto"/>
        </w:rPr>
      </w:pPr>
    </w:p>
    <w:p>
      <w:pPr>
        <w:ind w:firstLine="647"/>
        <w:spacing w:after="0" w:line="267" w:lineRule="auto"/>
        <w:tabs>
          <w:tab w:leader="none" w:pos="1381"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u w:val="single" w:color="auto"/>
          <w:color w:val="auto"/>
        </w:rPr>
        <w:t>Company Sale Price</w:t>
      </w:r>
      <w:r>
        <w:rPr>
          <w:rFonts w:ascii="Times New Roman" w:cs="Times New Roman" w:eastAsia="Times New Roman" w:hAnsi="Times New Roman"/>
          <w:sz w:val="17"/>
          <w:szCs w:val="17"/>
          <w:color w:val="auto"/>
        </w:rPr>
        <w:t>” means the price per share payable per share of Common Stock in an Acquiror Change of Control. If the consideration to be paid for Common Stock in an Acquiror Change of Control includes the issuance of securities to the Acquiror’s stockholders, for purposes of valuing such securities the value shall be computed based on the value of such Common Stock provided in the definitive acquisition agreement and to the extent such price per share is not included in the definitive acquisition agreement then, (i) if the securities are then traded on a national securities exchange or The Nasdaq Stock Market (or a similar national quotation system), then the value shall be computed based on the volume-weighted average dollar price of the securities on such exchange or system over the twenty-day period ending three days prior to the date of such Acquiror Change of Control, (ii) if the securities are actively traded over-the-counter, then the value shall be computed based on the average of the closing bid prices over the twenty-day period ending three days prior to the date of such Acquiror Change of Control and (iii) if there is no active public market, then the value shall be computed based on the fair market value thereof as determined by a third party valuation firm that is mutually agreeable to the Acquiror and Sponsor.</w:t>
      </w:r>
    </w:p>
    <w:p>
      <w:pPr>
        <w:spacing w:after="0" w:line="177" w:lineRule="exact"/>
        <w:rPr>
          <w:rFonts w:ascii="Times New Roman" w:cs="Times New Roman" w:eastAsia="Times New Roman" w:hAnsi="Times New Roman"/>
          <w:sz w:val="17"/>
          <w:szCs w:val="17"/>
          <w:color w:val="auto"/>
        </w:rPr>
      </w:pPr>
    </w:p>
    <w:p>
      <w:pPr>
        <w:ind w:right="100" w:firstLine="647"/>
        <w:spacing w:after="0" w:line="257" w:lineRule="auto"/>
        <w:tabs>
          <w:tab w:leader="none" w:pos="1381"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shares of Common Stock as of any Trading Day, the volume-weighted average dollar price for such shares traded on Nasdaq or another national securities exchange during the period beginning at 9:30:01 a.m. Eastern Time on each Trading Day during the applicable period and ending at 4:00:00 p.m. Eastern Time on each Trading Day during the applicable period and (ii)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shares of Common Stock are actually traded on Nasdaq or another national securities exchange.</w:t>
      </w:r>
    </w:p>
    <w:p>
      <w:pPr>
        <w:spacing w:after="0" w:line="180" w:lineRule="exact"/>
        <w:rPr>
          <w:rFonts w:ascii="Times New Roman" w:cs="Times New Roman" w:eastAsia="Times New Roman" w:hAnsi="Times New Roman"/>
          <w:sz w:val="18"/>
          <w:szCs w:val="18"/>
          <w:color w:val="auto"/>
        </w:rPr>
      </w:pPr>
    </w:p>
    <w:p>
      <w:pPr>
        <w:ind w:right="200" w:firstLine="647"/>
        <w:spacing w:after="0" w:line="277" w:lineRule="auto"/>
        <w:tabs>
          <w:tab w:leader="none" w:pos="1342"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and unless the Sponsor Earnout Shares are forfeited, subject to the provisions of this Agreement, Sponsor will have full ownership rights to the Sponsor Earnout Shares, including the right to vote such shares and to receive dividends and distributions thereon.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9" w:name="page300"/>
    <w:bookmarkEnd w:id="299"/>
    <w:p>
      <w:pPr>
        <w:ind w:right="120" w:firstLine="647"/>
        <w:spacing w:after="0" w:line="277" w:lineRule="auto"/>
        <w:tabs>
          <w:tab w:leader="none" w:pos="1342"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1.12 shall be void and of no force and effect if the Merger Agreement shall be terminated in accordance with its terms or the Closing shall not occur for any reason.</w:t>
      </w:r>
    </w:p>
    <w:p>
      <w:pPr>
        <w:spacing w:after="0" w:line="163"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7"/>
          <w:szCs w:val="17"/>
          <w:u w:val="single" w:color="auto"/>
          <w:color w:val="auto"/>
        </w:rPr>
        <w:t>Public Announcements; Filings; Disclosures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right="80" w:firstLine="647"/>
        <w:spacing w:after="0" w:line="251" w:lineRule="auto"/>
        <w:tabs>
          <w:tab w:leader="none" w:pos="137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its Affiliates) shall not issue any press release or make any other public announcement or public statement (a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xml:space="preserve">”) with respect to this Agreement, the Merger Agreement, or the transactions contemplated by this Agreement or the Merger Agreement, without the prior written consent of the Company (which consent may be withheld in Acquiror’s sole discretion), except (i) as required by applicable Law or court process, in which case Sponsor shall use its reasonable best efforts to provide Company, Company’s outside legal counsel, Acquiror and Acquiror’s outside legal counsel with a reasonable opportunity to review and comment on such Public Communication in advance of its issuance and shall give reasonable and good faith consideration to any such comments or (ii) with respect to a Public Communication that is consistent with prior disclosures made by Acquiror;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to any disclosure required to be made by Sponsor to a Governmental Authority so long as such disclosure is consistent with the terms of this Agreement and the Merger Agreement and the disclosures made by the Company and Acquiror pursuant to the terms of the Merger Agreement.</w:t>
      </w:r>
    </w:p>
    <w:p>
      <w:pPr>
        <w:spacing w:after="0" w:line="186" w:lineRule="exact"/>
        <w:rPr>
          <w:rFonts w:ascii="Times New Roman" w:cs="Times New Roman" w:eastAsia="Times New Roman" w:hAnsi="Times New Roman"/>
          <w:sz w:val="18"/>
          <w:szCs w:val="18"/>
          <w:color w:val="auto"/>
        </w:rPr>
      </w:pPr>
    </w:p>
    <w:p>
      <w:pPr>
        <w:ind w:firstLine="647"/>
        <w:spacing w:after="0" w:line="251" w:lineRule="auto"/>
        <w:tabs>
          <w:tab w:leader="none" w:pos="138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hereby consents to and authorizes Acquiror to (i) publish and disclose in any Public Communication or in any disclosure required by the SEC and in the Registration Statement, the Sponsor’s identity and ownership of Subject Shares and Sponsor’s obligations under this Agreement (the “</w:t>
      </w:r>
      <w:r>
        <w:rPr>
          <w:rFonts w:ascii="Times New Roman" w:cs="Times New Roman" w:eastAsia="Times New Roman" w:hAnsi="Times New Roman"/>
          <w:sz w:val="18"/>
          <w:szCs w:val="18"/>
          <w:u w:val="single" w:color="auto"/>
          <w:color w:val="auto"/>
        </w:rPr>
        <w:t>Sponsor Information</w:t>
      </w:r>
      <w:r>
        <w:rPr>
          <w:rFonts w:ascii="Times New Roman" w:cs="Times New Roman" w:eastAsia="Times New Roman" w:hAnsi="Times New Roman"/>
          <w:sz w:val="18"/>
          <w:szCs w:val="18"/>
          <w:color w:val="auto"/>
        </w:rPr>
        <w:t>”) and (ii) the filing of the form of this Agreement as attached as Exhibit A to the Merger Agreement to the extent required by applicable Law to be filed with the SEC or any regulatory authority relating to the Merger; provided that, with respect to the foregoing clause (i), Acquiror shall use its commercially reasonable efforts to provide Sponsor with a reasonable opportunity to review and comment on any Sponsor Information included in such disclosure in advance of its filing and as promptly as practicable thereafter, Sponsor shall notify Acquiror of any required corrections with respect to any Sponsor Information supplied by Sponsor, if and to the extent Sponsor becomes aware that any such Sponsor Information shall have become false or misleading in any material respect.</w:t>
      </w:r>
    </w:p>
    <w:p>
      <w:pPr>
        <w:spacing w:after="0" w:line="190" w:lineRule="exact"/>
        <w:rPr>
          <w:sz w:val="20"/>
          <w:szCs w:val="20"/>
          <w:color w:val="auto"/>
        </w:rPr>
      </w:pPr>
    </w:p>
    <w:p>
      <w:pPr>
        <w:ind w:right="2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Sponsor acknowledges that Sponsor has read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(‘Exclusivity’) of the Merger Agreement. In addition, Sponsor, solely in its capacity as a stockholder of Acquiror, agrees not to, directly or indirectly, take any action that would violate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of the Merger Agreement if Sponsor were deemed a “Representative” of Acquiror for purposes of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of the Merger Agreement.</w:t>
      </w:r>
    </w:p>
    <w:p>
      <w:pPr>
        <w:spacing w:after="0" w:line="176" w:lineRule="exact"/>
        <w:rPr>
          <w:sz w:val="20"/>
          <w:szCs w:val="20"/>
          <w:color w:val="auto"/>
        </w:rPr>
      </w:pPr>
    </w:p>
    <w:p>
      <w:pPr>
        <w:jc w:val="both"/>
        <w:ind w:right="48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No Adverse Act</w:t>
      </w:r>
      <w:r>
        <w:rPr>
          <w:rFonts w:ascii="Times New Roman" w:cs="Times New Roman" w:eastAsia="Times New Roman" w:hAnsi="Times New Roman"/>
          <w:sz w:val="18"/>
          <w:szCs w:val="18"/>
          <w:color w:val="auto"/>
        </w:rPr>
        <w:t xml:space="preserve">. Sponsor hereby agrees that, except as expressly provided or permitted by this Agreement, Sponsor shall not knowingly, and shall cause its Affiliates not to knowingly, without the prior written consent of Company (in the Company’s sole discretion), directly or indirectly, take or permit any action that would in any way (a) restrict, limit or interfere with the performance of Sponsor’s obligations contained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(b) make any representation or warranty of Sponsor herein materially untrue or inaccurate or (c) otherwise restrict, limit or interfere with Sponsor’s obligations contained under this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0" w:name="page301"/>
    <w:bookmarkEnd w:id="300"/>
    <w:p>
      <w:pPr>
        <w:jc w:val="both"/>
        <w:ind w:right="22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Satisfaction of Sponsor Notes</w:t>
      </w:r>
      <w:r>
        <w:rPr>
          <w:rFonts w:ascii="Times New Roman" w:cs="Times New Roman" w:eastAsia="Times New Roman" w:hAnsi="Times New Roman"/>
          <w:sz w:val="18"/>
          <w:szCs w:val="18"/>
          <w:color w:val="auto"/>
        </w:rPr>
        <w:t xml:space="preserve">. Sponsor acknowledges and agrees that,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attached hereto is a complete and accurate list of all outstanding loans, notes and any other amounts for borrowed money owed to it by Acquiror or which Acquiror may be liable as of the date hereof (the “</w:t>
      </w:r>
      <w:r>
        <w:rPr>
          <w:rFonts w:ascii="Times New Roman" w:cs="Times New Roman" w:eastAsia="Times New Roman" w:hAnsi="Times New Roman"/>
          <w:sz w:val="18"/>
          <w:szCs w:val="18"/>
          <w:u w:val="single" w:color="auto"/>
          <w:color w:val="auto"/>
        </w:rPr>
        <w:t>Sponsor Notes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SPONSOR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Sponsor hereby represents and warrants to Acquiror and the Company as follows:</w:t>
      </w:r>
    </w:p>
    <w:p>
      <w:pPr>
        <w:spacing w:after="0" w:line="220" w:lineRule="exact"/>
        <w:rPr>
          <w:sz w:val="20"/>
          <w:szCs w:val="20"/>
          <w:color w:val="auto"/>
        </w:rPr>
      </w:pPr>
    </w:p>
    <w:p>
      <w:pPr>
        <w:ind w:right="80"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Organization; Authorization</w:t>
      </w:r>
      <w:r>
        <w:rPr>
          <w:rFonts w:ascii="Times New Roman" w:cs="Times New Roman" w:eastAsia="Times New Roman" w:hAnsi="Times New Roman"/>
          <w:sz w:val="18"/>
          <w:szCs w:val="18"/>
          <w:color w:val="auto"/>
        </w:rPr>
        <w:t>. The Sponsor (a) is a legal entity duly organized, validly existing and in good standing under the Laws of the State of Delaware, (b) has all requisite corporate or similar power and authority and has taken all corporate or similar action necessary in order to execute and deliver this Agreement, to perform the Sponsor’s obligations under this Agreement and to consummate the transactions contemplated by this Agreement, and (c) no approval by any holder of the Sponsor’s equity interests is necessary to approve this Agreement. This Agreement has been duly executed and delivered by the Sponsor and this Agreement constitutes a valid and binding agreement of the Sponsor enforceable against the Sponsor in accordance with its terms, subject to the Enforceability Exceptions.</w:t>
      </w:r>
    </w:p>
    <w:p>
      <w:pPr>
        <w:spacing w:after="0" w:line="185"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Governmental Filings; No Violations; Certain Contracts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right="20" w:firstLine="647"/>
        <w:spacing w:after="0" w:line="253" w:lineRule="auto"/>
        <w:tabs>
          <w:tab w:leader="none" w:pos="1371"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filings with the SEC under the Exchange Act and such other reports under, and such other compliance with, the Exchange Act as may be required in connection with this Agreement, no filings, notices, reports, consents, registrations, approvals, permits or authorizations are required to be made by the Sponsor with, nor are any required to be made or obtained by the Sponsor with or from any Governmental Authority, in connection with the execution, delivery and performance of this Agreement by the Sponsor and the consummation of the transactions contemplated by this Agreement, except as would not, individually or in the aggregate, reasonably be expected to prevent, delay or impair the ability of the Sponsor to perform the Sponsor’s obligations under this Agreement or to consummate the transactions contemplated by this Agreement.</w:t>
      </w:r>
    </w:p>
    <w:p>
      <w:pPr>
        <w:spacing w:after="0" w:line="185" w:lineRule="exact"/>
        <w:rPr>
          <w:rFonts w:ascii="Times New Roman" w:cs="Times New Roman" w:eastAsia="Times New Roman" w:hAnsi="Times New Roman"/>
          <w:sz w:val="18"/>
          <w:szCs w:val="18"/>
          <w:color w:val="auto"/>
        </w:rPr>
      </w:pPr>
    </w:p>
    <w:p>
      <w:pPr>
        <w:ind w:firstLine="647"/>
        <w:spacing w:after="0" w:line="251" w:lineRule="auto"/>
        <w:tabs>
          <w:tab w:leader="none" w:pos="1381"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by the Sponsor does not, and the consummation of the transactions contemplated by this Agreement by the Sponsor shall not, constitute or result in (i) a breach or violation of, or a default under, the organizational documents of the Sponsor or (ii) with or without notice, lapse of time or both, a breach or violation of, a termination (or right of termination) of or default under, the creation or acceleration of any obligations under or the creation of an Encumbrance on any of the assets of the Sponsor pursuant to, any Contract binding upon the Sponsor or, assuming (solely with respect to performance of this Agreement and consummation of the transactions contemplated by this Agreement) compliance with the matters referred to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under any Law to which the Sponsor is subject, except, in each case, as would not, individually or in the aggregate, reasonably be expected to prevent, delay or impair the ability of the Sponsor to perform its obligations under this Agreement or consummate the transactions contemplated by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1" w:name="page302"/>
    <w:bookmarkEnd w:id="301"/>
    <w:p>
      <w:pPr>
        <w:ind w:right="120" w:firstLine="640"/>
        <w:spacing w:after="0" w:line="273"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As of the date of this Agreement, except as would not, individually or in the aggregate, reasonably be expected to prevent, delay or impair the ability of the Sponsor to perform its obligations under this Agreement or to consummate the transactions contemplated by this Agreement, (a) there are no Actions pending or, to the knowledge of the Sponsor, threatened against the Sponsor or any of its Affiliates or to which Sponsor or any of its Affiliates is otherwise a party, and (b) neither the Sponsor nor any of its Affiliates is a party to or subject to the provisions of any judgment, order, writ, injunction, decree or award of any Governmental Authority that challenges any part of this Agreement or the transactions contemplated hereby.</w:t>
      </w:r>
    </w:p>
    <w:p>
      <w:pPr>
        <w:spacing w:after="0" w:line="169"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Ownership of Acquiror Common Stock and Warrants; Voting Power</w:t>
      </w:r>
      <w:r>
        <w:rPr>
          <w:rFonts w:ascii="Times New Roman" w:cs="Times New Roman" w:eastAsia="Times New Roman" w:hAnsi="Times New Roman"/>
          <w:sz w:val="18"/>
          <w:szCs w:val="18"/>
          <w:color w:val="auto"/>
        </w:rPr>
        <w:t>. As of the date of this Agreement the Sponsor is the record and beneficial owner of (i) 6,250,000 Acquiror Class B Common Stock, (ii) 4,933,333 Warrants and (iii) a Convertible Sponsor Note in the amount of $1,500,000 that may be converted into additional warrants exercisable for shares of Acquiror Class A Common Stock (if exercised prior to Closing) at a price of $1.50 per warrant, and other than the Acquiror securities described in the immediately foregoing clauses (i) through (iii), as of the date of this Agreement, there are no other Acquiror securities (or any other securities convertible, exercisable or exchangeable for, or rights to purchase or acquire, any Acquiror securities of any kind) held of record or beneficially owned by the Sponsor or in respect of which the Sponsor has any voting power over. There are no other shares of Acquiror Class B Common Stock outstanding (other than the 6,250,000 shares of Acquiror Class B Common Stock held by Sponsor) and no other Person, other than the Sponsor, has any record or beneficial ownership or title to any shares of Acquiror Class B Common Stock outstanding. The Sponsor is the record holder and beneficial owner of all of its shares of Acquiror Common Stock and Warrants and has, and shall have throughout the Applicable Period, full voting power and power of disposition with respect to all of its Sponsor Shares and Warrants free and clear of any liens, claims, proxies, voting trusts or agreements, options or any other encumbrances or restrictions on title, transfer or exercise of any rights of a stockholder in respect of its Sponsor Shares and Warrants (collectively, “</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except for any such Encumbrance that may be imposed pursuant to (i) this Agreement, (ii) any applicable restrictions on transfer under U.S. federal securities or state securities or “blue sky” Laws, or (iii) the Acquiror Organizational Documents. No Person has any contractual or other right or obligation to purchase or otherwise acquire any of the Sponsor Shares, Convertible Sponsor Note or Warrants other than pursuant to the Merger Agreement.</w:t>
      </w:r>
    </w:p>
    <w:p>
      <w:pPr>
        <w:spacing w:after="0" w:line="195" w:lineRule="exact"/>
        <w:rPr>
          <w:sz w:val="20"/>
          <w:szCs w:val="20"/>
          <w:color w:val="auto"/>
        </w:rPr>
      </w:pPr>
    </w:p>
    <w:p>
      <w:pPr>
        <w:ind w:right="2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Sponsor understands and acknowledges that Acquiror and the Company are relying upon the Sponsor’s execution, delivery and performance of this Agreement and upon the representations and warranties and covenants of the Sponsor contained in this Agreement.</w:t>
      </w:r>
    </w:p>
    <w:p>
      <w:pPr>
        <w:spacing w:after="0" w:line="163"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As of the date of this Agreement, no agent, broker, investment banker, finder or other intermediary is or shall be entitled to any fee or commission or reimbursement of expenses from Acquiror, Merger Sub or the Company or any of their respective Affiliates in respect of this Agreement, the Merger Agreement or the Transaction Agreements based upon any arrangement or agreement made by or on behalf of the Sponsor, except as set forth in </w:t>
      </w: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 xml:space="preserve"> to the Merger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2" w:name="page303"/>
    <w:bookmarkEnd w:id="302"/>
    <w:p>
      <w:pPr>
        <w:ind w:right="10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Affiliate Arrangements</w:t>
      </w:r>
      <w:r>
        <w:rPr>
          <w:rFonts w:ascii="Times New Roman" w:cs="Times New Roman" w:eastAsia="Times New Roman" w:hAnsi="Times New Roman"/>
          <w:sz w:val="18"/>
          <w:szCs w:val="18"/>
          <w:color w:val="auto"/>
        </w:rPr>
        <w:t xml:space="preserve">. As of the date of this Agreement, neither the Sponsor nor any of its Affiliates or any member of its immediate family (i) is party to, or has any rights with respect to or arising from, any Acquiror Material Contract, except as listed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attached hereto or (ii) other than the Sponsor Notes, is (or will be) entitled to receive from Acquiror, the Company or any of their respective Subsidiaries any finder’s fee, reimbursement, consulting fee, monies or other consideration, in each case, regardless whether in the form of equity or cash or in respect of any repayment of a loan or other compensation prior to, or in connection with the consummation of the Merger.</w:t>
      </w:r>
    </w:p>
    <w:p>
      <w:pPr>
        <w:spacing w:after="0" w:line="186" w:lineRule="exact"/>
        <w:rPr>
          <w:sz w:val="20"/>
          <w:szCs w:val="20"/>
          <w:color w:val="auto"/>
        </w:rPr>
      </w:pPr>
    </w:p>
    <w:p>
      <w:pPr>
        <w:ind w:right="20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the Sponsor in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neither the Sponsor nor any other Person on behalf of the Sponsor makes any express or implied representation or warranty to Acquiror or the Company in connection with this Agreement, and the Sponsor expressly disclaims any such other representations or warranties.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ACQUIROR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Acquiror represents and warrants to the Sponsor and the Company as follows:</w:t>
      </w:r>
    </w:p>
    <w:p>
      <w:pPr>
        <w:spacing w:after="0" w:line="220"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Acquiror is a corporation duly organized, validly existing and in good standing under the Laws of Delaware.</w:t>
      </w:r>
    </w:p>
    <w:p>
      <w:pPr>
        <w:spacing w:after="0" w:line="220"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Acquiror has all requisite corporate power and authority and has taken all corporate or similar action necessary in order to execute and deliver this Agreement, to perform its obligations under this Agreement and to consummate the transactions contemplated by this Agreement. No approval by any holder of Acquiror’s equity interests is necessary to approve this Agreement. This Agreement has been duly executed and delivered by Acquiror and constitutes a valid and binding agreement of Acquiror enforceable against Acquiror in accordance with its terms, subject to the Enforceability Exceptions.</w:t>
      </w:r>
    </w:p>
    <w:p>
      <w:pPr>
        <w:spacing w:after="0" w:line="186" w:lineRule="exact"/>
        <w:rPr>
          <w:sz w:val="20"/>
          <w:szCs w:val="20"/>
          <w:color w:val="auto"/>
        </w:rPr>
      </w:pPr>
    </w:p>
    <w:p>
      <w:pPr>
        <w:jc w:val="both"/>
        <w:ind w:right="12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Acquiror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neither Acquiror nor any other Person on behalf of Acquiror makes any express or implied representation or warranty to the Sponsor or the Company in connection with this Agreement, and Acquiror expressly disclaims any such other representations or warranties.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03" w:name="page304"/>
    <w:bookmarkEnd w:id="3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represents and warrants to the Sponsor and the Acquiror as follows:</w:t>
      </w:r>
    </w:p>
    <w:p>
      <w:pPr>
        <w:spacing w:after="0" w:line="220"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The Company is a corporation duly organized, validly existing and in good standing under the Laws of Delaware.</w:t>
      </w:r>
    </w:p>
    <w:p>
      <w:pPr>
        <w:spacing w:after="0" w:line="220" w:lineRule="exact"/>
        <w:rPr>
          <w:sz w:val="20"/>
          <w:szCs w:val="20"/>
          <w:color w:val="auto"/>
        </w:rPr>
      </w:pPr>
    </w:p>
    <w:p>
      <w:pPr>
        <w:ind w:right="6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The Company has all requisite corporate power and authority and has taken all corporate or similar action necessary in order to execute and deliver this Agreement, to perform its obligations under this Agreement and to consummate the transactions contemplated by this Agreement. No approval by any holder of the Company’s equity interests is necessary to approve this Agreement. This Agreement has been duly executed and delivered by the Company and constitutes a valid and binding agreement of the Company enforceable against the Company in accordance with its terms, subject to the Enforceability Exceptions.</w:t>
      </w:r>
    </w:p>
    <w:p>
      <w:pPr>
        <w:spacing w:after="0" w:line="186" w:lineRule="exact"/>
        <w:rPr>
          <w:sz w:val="20"/>
          <w:szCs w:val="20"/>
          <w:color w:val="auto"/>
        </w:rPr>
      </w:pPr>
    </w:p>
    <w:p>
      <w:pPr>
        <w:ind w:right="8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the Company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neither the Company nor any other Person on behalf of the Company makes any express or implied representation or warranty to the Sponsor or Acquiror in connection with this Agreement, and the Company expressly disclaims any such other representations or warranties.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4"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be terminated at the earliest to occur of: (a) the termination of the Merger Agreement pursuant to Article XI thereof and (b) the effective date of a mutual written agreement duly executed and delivered by Acquiror, the Company and the Sponsor terminating this Agreement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any termination pursuant to clause (b) of this sentence,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(‘Waiver of Appraisal Rights’),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(‘No Litigation’),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(‘Further Assurances’), and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shall survive such termination. Nothing set forth in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elsewhere in this Agreement shall relieve any Party of any liability or damages to any other Party for any breach of this Agreement by such Party prior to such termination or fraud in connection with, arising out of or otherwise related to the express representations and warranties set forth in this Agreement or any instrument or other document delivered pursuant to this Agreement.</w:t>
      </w:r>
    </w:p>
    <w:p>
      <w:pPr>
        <w:spacing w:after="0" w:line="187" w:lineRule="exact"/>
        <w:rPr>
          <w:sz w:val="20"/>
          <w:szCs w:val="20"/>
          <w:color w:val="auto"/>
        </w:rPr>
      </w:pPr>
    </w:p>
    <w:p>
      <w:pPr>
        <w:ind w:right="40"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rights and remedies of the parties shall be cumulative with and not exclusive of any other remedy conferred hereby.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including Sponsor’s obligations to vote its Sponsor Shares and/or New Securities as provided in this Agreement (and each party hereby waives any requirement for the securing or posting of any bond in connection with such remedy), this being in addition to any other remedy to which they are entitled at law or in equity.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04" w:name="page305"/>
    <w:bookmarkEnd w:id="304"/>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among the Parties shall be in writing and shall be deemed to have been duly given</w:t>
      </w:r>
    </w:p>
    <w:p>
      <w:pPr>
        <w:spacing w:after="0" w:line="25" w:lineRule="exact"/>
        <w:rPr>
          <w:sz w:val="20"/>
          <w:szCs w:val="20"/>
          <w:color w:val="auto"/>
        </w:rPr>
      </w:pPr>
    </w:p>
    <w:p>
      <w:pPr>
        <w:jc w:val="both"/>
        <w:ind w:right="80" w:firstLine="7"/>
        <w:spacing w:after="0" w:line="251" w:lineRule="auto"/>
        <w:tabs>
          <w:tab w:leader="none" w:pos="212"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in person, (ii) when delivered after posting in the United States mail having been sent registered or certified mail return receipt requested, postage prepaid, (iii) when delivered by FedEx or other nationally recognized overnight delivery service or (iv) when e-mailed during normal business hours (and otherwise as of the immediately following Business Day), addressed as follows:</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If to the Acquiror or the Sponsor:</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MedTech Acquisition Sponsor LLC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48 Maple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Greenwich, Connecticut 06830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Christopher C. Dewey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ccdewey@gmail.com</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Foley &amp; Lardner LLP</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100 N. Tampa Street, Suite 2700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Tampa, FL 33602</w:t>
      </w:r>
    </w:p>
    <w:p>
      <w:pPr>
        <w:spacing w:after="0" w:line="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color w:val="auto"/>
        </w:rPr>
        <w:t>Attn:</w:t>
        <w:tab/>
        <w:t>Kevin Shuler</w:t>
      </w:r>
    </w:p>
    <w:p>
      <w:pPr>
        <w:spacing w:after="0" w:line="6" w:lineRule="exact"/>
        <w:rPr>
          <w:sz w:val="20"/>
          <w:szCs w:val="20"/>
          <w:color w:val="auto"/>
        </w:rPr>
      </w:pPr>
    </w:p>
    <w:p>
      <w:pPr>
        <w:ind w:left="12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tab/>
        <w:t>kshuler@foley.com</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TriSalus Life Sciences Inc.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6272 W. 91st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Westminster, CO 80031</w:t>
      </w:r>
    </w:p>
    <w:p>
      <w:pPr>
        <w:spacing w:after="0" w:line="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color w:val="auto"/>
        </w:rPr>
        <w:t>Attn:</w:t>
        <w:tab/>
        <w:t>Sean Murphy</w:t>
      </w:r>
    </w:p>
    <w:p>
      <w:pPr>
        <w:spacing w:after="0" w:line="6" w:lineRule="exact"/>
        <w:rPr>
          <w:sz w:val="20"/>
          <w:szCs w:val="20"/>
          <w:color w:val="auto"/>
        </w:rPr>
      </w:pPr>
    </w:p>
    <w:p>
      <w:pPr>
        <w:ind w:left="12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tab/>
        <w:t>sean.murphy@trisaluslifesci.com</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Cooley LLP</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10265 Science Center Drive</w:t>
      </w:r>
    </w:p>
    <w:p>
      <w:pPr>
        <w:spacing w:after="0" w:line="6" w:lineRule="exact"/>
        <w:rPr>
          <w:sz w:val="20"/>
          <w:szCs w:val="20"/>
          <w:color w:val="auto"/>
        </w:rPr>
      </w:pPr>
    </w:p>
    <w:p>
      <w:pPr>
        <w:ind w:left="1280"/>
        <w:spacing w:after="0"/>
        <w:tabs>
          <w:tab w:leader="none" w:pos="3520" w:val="left"/>
        </w:tabs>
        <w:rPr>
          <w:sz w:val="20"/>
          <w:szCs w:val="20"/>
          <w:color w:val="auto"/>
        </w:rPr>
      </w:pPr>
      <w:r>
        <w:rPr>
          <w:rFonts w:ascii="Times New Roman" w:cs="Times New Roman" w:eastAsia="Times New Roman" w:hAnsi="Times New Roman"/>
          <w:sz w:val="18"/>
          <w:szCs w:val="18"/>
          <w:color w:val="auto"/>
        </w:rPr>
        <w:t>San Diego, CA 92121 Attn:</w:t>
      </w:r>
      <w:r>
        <w:rPr>
          <w:sz w:val="20"/>
          <w:szCs w:val="20"/>
          <w:color w:val="auto"/>
        </w:rPr>
        <w:tab/>
      </w:r>
      <w:r>
        <w:rPr>
          <w:rFonts w:ascii="Times New Roman" w:cs="Times New Roman" w:eastAsia="Times New Roman" w:hAnsi="Times New Roman"/>
          <w:sz w:val="17"/>
          <w:szCs w:val="17"/>
          <w:color w:val="auto"/>
        </w:rPr>
        <w:t>Rama Padmanabhan; Matt Browne</w:t>
      </w:r>
    </w:p>
    <w:p>
      <w:pPr>
        <w:spacing w:after="0" w:line="6" w:lineRule="exact"/>
        <w:rPr>
          <w:sz w:val="20"/>
          <w:szCs w:val="20"/>
          <w:color w:val="auto"/>
        </w:rPr>
      </w:pPr>
    </w:p>
    <w:p>
      <w:pPr>
        <w:ind w:left="1280"/>
        <w:spacing w:after="0"/>
        <w:tabs>
          <w:tab w:leader="none" w:pos="2000" w:val="left"/>
        </w:tabs>
        <w:rPr>
          <w:sz w:val="20"/>
          <w:szCs w:val="20"/>
          <w:color w:val="auto"/>
        </w:rPr>
      </w:pPr>
      <w:r>
        <w:rPr>
          <w:rFonts w:ascii="Times New Roman" w:cs="Times New Roman" w:eastAsia="Times New Roman" w:hAnsi="Times New Roman"/>
          <w:sz w:val="18"/>
          <w:szCs w:val="18"/>
          <w:color w:val="auto"/>
        </w:rPr>
        <w:t>Email:</w:t>
        <w:tab/>
        <w:t>rama@cooley.com; mbrowne@cooley.com</w:t>
      </w:r>
    </w:p>
    <w:p>
      <w:pPr>
        <w:spacing w:after="0" w:line="199"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5.04.</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Article XII and</w:t>
      </w:r>
      <w:r>
        <w:rPr>
          <w:rFonts w:ascii="Times New Roman" w:cs="Times New Roman" w:eastAsia="Times New Roman" w:hAnsi="Times New Roman"/>
          <w:sz w:val="17"/>
          <w:szCs w:val="17"/>
          <w:u w:val="single" w:color="auto"/>
          <w:color w:val="auto"/>
        </w:rPr>
        <w:t xml:space="preserve"> Section 1.02 </w:t>
      </w:r>
      <w:r>
        <w:rPr>
          <w:rFonts w:ascii="Times New Roman" w:cs="Times New Roman" w:eastAsia="Times New Roman" w:hAnsi="Times New Roman"/>
          <w:sz w:val="17"/>
          <w:szCs w:val="17"/>
          <w:color w:val="auto"/>
        </w:rPr>
        <w:t>of the Merger Agreement shall apply to this Agreement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firstLine="640"/>
        <w:spacing w:after="0" w:line="307" w:lineRule="auto"/>
        <w:rPr>
          <w:sz w:val="20"/>
          <w:szCs w:val="20"/>
          <w:color w:val="auto"/>
        </w:rPr>
      </w:pPr>
      <w:r>
        <w:rPr>
          <w:rFonts w:ascii="Times New Roman" w:cs="Times New Roman" w:eastAsia="Times New Roman" w:hAnsi="Times New Roman"/>
          <w:sz w:val="17"/>
          <w:szCs w:val="17"/>
          <w:color w:val="auto"/>
        </w:rPr>
        <w:t xml:space="preserve">Section 5.05. </w:t>
      </w: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Nothing expressed or implied in this Agreement is intended or shall be construed to confer upon or give any Person, other than the Parties and their respective heirs, successors and permitted assigns, any right or remedy under or by reason of this Agreement.</w:t>
      </w:r>
    </w:p>
    <w:p>
      <w:pPr>
        <w:spacing w:after="0" w:line="140"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Merger Agreement constitute the entire agreement and understanding of the Parties with respect to the subject matter hereof and supersede all prior understandings, agreements and representations by or among the Parties hereto to the extent they relate in any way to the subject matter hereof.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MedTech Acquisition Sponsor LLC</w:t>
      </w:r>
    </w:p>
    <w:p>
      <w:pPr>
        <w:spacing w:after="0" w:line="200" w:lineRule="exact"/>
        <w:rPr>
          <w:sz w:val="20"/>
          <w:szCs w:val="20"/>
          <w:color w:val="auto"/>
        </w:rPr>
      </w:pPr>
    </w:p>
    <w:p>
      <w:pPr>
        <w:spacing w:after="0" w:line="233" w:lineRule="exact"/>
        <w:rPr>
          <w:sz w:val="20"/>
          <w:szCs w:val="20"/>
          <w:color w:val="auto"/>
        </w:rPr>
      </w:pPr>
    </w:p>
    <w:p>
      <w:pPr>
        <w:ind w:left="500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15875</wp:posOffset>
            </wp:positionV>
            <wp:extent cx="320294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Christopher Dewey</w:t>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288290</wp:posOffset>
            </wp:positionV>
            <wp:extent cx="71342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499"/>
          </w:cols>
          <w:pgMar w:left="960" w:top="895" w:right="1440"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as of the date first written above.</w:t>
      </w:r>
    </w:p>
    <w:p>
      <w:pPr>
        <w:spacing w:after="0" w:line="2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TriSalus Life Sciences, Inc.</w:t>
      </w:r>
    </w:p>
    <w:p>
      <w:pPr>
        <w:spacing w:after="0" w:line="200" w:lineRule="exact"/>
        <w:rPr>
          <w:sz w:val="20"/>
          <w:szCs w:val="20"/>
          <w:color w:val="auto"/>
        </w:rPr>
      </w:pPr>
    </w:p>
    <w:p>
      <w:pPr>
        <w:spacing w:after="0" w:line="233" w:lineRule="exact"/>
        <w:rPr>
          <w:sz w:val="20"/>
          <w:szCs w:val="20"/>
          <w:color w:val="auto"/>
        </w:rPr>
      </w:pPr>
    </w:p>
    <w:p>
      <w:pPr>
        <w:ind w:left="500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15875</wp:posOffset>
            </wp:positionV>
            <wp:extent cx="320294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Mary Szela</w:t>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Title: CEO and President, TriSalus Life Sciences</w:t>
      </w:r>
    </w:p>
    <w:p>
      <w:pPr>
        <w:spacing w:after="0" w:line="21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288290</wp:posOffset>
            </wp:positionV>
            <wp:extent cx="71342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499"/>
          </w:cols>
          <w:pgMar w:left="960" w:top="894" w:right="1440"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MedTech Acquisition Corporation</w:t>
      </w:r>
    </w:p>
    <w:p>
      <w:pPr>
        <w:spacing w:after="0" w:line="200" w:lineRule="exact"/>
        <w:rPr>
          <w:sz w:val="20"/>
          <w:szCs w:val="20"/>
          <w:color w:val="auto"/>
        </w:rPr>
      </w:pPr>
    </w:p>
    <w:p>
      <w:pPr>
        <w:spacing w:after="0" w:line="233" w:lineRule="exact"/>
        <w:rPr>
          <w:sz w:val="20"/>
          <w:szCs w:val="20"/>
          <w:color w:val="auto"/>
        </w:rPr>
      </w:pPr>
    </w:p>
    <w:p>
      <w:pPr>
        <w:ind w:left="500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15875</wp:posOffset>
            </wp:positionV>
            <wp:extent cx="320294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Christopher Dewey</w:t>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288290</wp:posOffset>
            </wp:positionV>
            <wp:extent cx="71342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499"/>
          </w:cols>
          <w:pgMar w:left="960" w:top="895" w:right="1440"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JOINDER</w:t>
      </w:r>
    </w:p>
    <w:p>
      <w:pPr>
        <w:spacing w:after="0" w:line="224" w:lineRule="exact"/>
        <w:rPr>
          <w:sz w:val="20"/>
          <w:szCs w:val="20"/>
          <w:color w:val="auto"/>
        </w:rPr>
      </w:pPr>
    </w:p>
    <w:p>
      <w:pPr>
        <w:ind w:right="260" w:firstLine="640"/>
        <w:spacing w:after="0" w:line="257"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made as of the date written below by the undersigned (the “</w:t>
      </w:r>
      <w:r>
        <w:rPr>
          <w:rFonts w:ascii="Times New Roman" w:cs="Times New Roman" w:eastAsia="Times New Roman" w:hAnsi="Times New Roman"/>
          <w:sz w:val="18"/>
          <w:szCs w:val="18"/>
          <w:u w:val="single" w:color="auto"/>
          <w:color w:val="auto"/>
        </w:rPr>
        <w:t>Joining Party</w:t>
      </w:r>
      <w:r>
        <w:rPr>
          <w:rFonts w:ascii="Times New Roman" w:cs="Times New Roman" w:eastAsia="Times New Roman" w:hAnsi="Times New Roman"/>
          <w:sz w:val="18"/>
          <w:szCs w:val="18"/>
          <w:color w:val="auto"/>
        </w:rPr>
        <w:t>”) in accordance with the Sponsor Support Agreement dated as of November 11, 2022 (the “</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by and among Acquiror, the Company and the Sponsor that are party thereto as the same may be amended, supplemented or otherwise modified from time to time. Capitalized terms used herein and not otherwise defined shall have the meaning ascribed to them in the Sponsor Support Agreement.</w:t>
      </w:r>
    </w:p>
    <w:p>
      <w:pPr>
        <w:spacing w:after="0" w:line="181"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The Joining Party hereby acknowledges, agrees and confirms that, by its execution of this Joinder Agreement, the Joining Party shall be deemed to be a “Sponsor” under, this Sponsor Support Agreement as of the date hereof and shall have all of the rights and obligations of a Sponsor as if he, she or it had executed the Sponsor Support Agreement as “Sponsor”. The Joining Party hereby ratifies, as of the date hereof, and agrees to be bound by, all of the terms, provisions and conditions contained in the Sponsor Support Agreement applicable to “Sponsor.”</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duly executed this Joinder Agreement as of the date written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 20[●]</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Email Address:</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18"/>
          <w:szCs w:val="18"/>
          <w:u w:val="single" w:color="auto"/>
          <w:color w:val="auto"/>
        </w:rPr>
        <w:t>Annex B</w:t>
      </w:r>
    </w:p>
    <w:p>
      <w:pPr>
        <w:spacing w:after="0" w:line="21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Sponsor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289560</wp:posOffset>
            </wp:positionV>
            <wp:extent cx="71342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4" w:right="33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18"/>
          <w:szCs w:val="18"/>
          <w:u w:val="single" w:color="auto"/>
          <w:color w:val="auto"/>
        </w:rPr>
        <w:t>Annex C</w:t>
      </w:r>
    </w:p>
    <w:p>
      <w:pPr>
        <w:spacing w:after="0" w:line="2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Acquiror 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289560</wp:posOffset>
            </wp:positionV>
            <wp:extent cx="71342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5" w:right="33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SUPPORT AGREEMENT</w:t>
      </w:r>
    </w:p>
    <w:p>
      <w:pPr>
        <w:spacing w:after="0" w:line="224" w:lineRule="exact"/>
        <w:rPr>
          <w:sz w:val="20"/>
          <w:szCs w:val="20"/>
          <w:color w:val="auto"/>
        </w:rPr>
      </w:pPr>
    </w:p>
    <w:p>
      <w:pPr>
        <w:ind w:right="180" w:firstLine="640"/>
        <w:spacing w:after="0" w:line="253" w:lineRule="auto"/>
        <w:rPr>
          <w:sz w:val="20"/>
          <w:szCs w:val="20"/>
          <w:color w:val="auto"/>
        </w:rPr>
      </w:pPr>
      <w:r>
        <w:rPr>
          <w:rFonts w:ascii="Times New Roman" w:cs="Times New Roman" w:eastAsia="Times New Roman" w:hAnsi="Times New Roman"/>
          <w:sz w:val="18"/>
          <w:szCs w:val="18"/>
          <w:color w:val="auto"/>
        </w:rPr>
        <w:t>This STOCKHOLDER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11, 2022, is entered into by and between MedTech Acquisition Corporation, a Delaware corporation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TriSalus Life Sciences,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stockholder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together with Acquiror and the Company,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herein and not otherwise defined shall have the meaning ascribed to them in the Agreement and Plan of Merger, dated as of November 11, 2022 (as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Acquiror and MTAC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4" w:lineRule="exact"/>
        <w:rPr>
          <w:sz w:val="20"/>
          <w:szCs w:val="20"/>
          <w:color w:val="auto"/>
        </w:rPr>
      </w:pPr>
    </w:p>
    <w:p>
      <w:pPr>
        <w:jc w:val="both"/>
        <w:ind w:right="120" w:firstLine="640"/>
        <w:spacing w:after="0" w:line="262" w:lineRule="auto"/>
        <w:rPr>
          <w:sz w:val="20"/>
          <w:szCs w:val="20"/>
          <w:color w:val="auto"/>
        </w:rPr>
      </w:pPr>
      <w:r>
        <w:rPr>
          <w:rFonts w:ascii="Times New Roman" w:cs="Times New Roman" w:eastAsia="Times New Roman" w:hAnsi="Times New Roman"/>
          <w:sz w:val="18"/>
          <w:szCs w:val="18"/>
          <w:color w:val="auto"/>
        </w:rPr>
        <w:t>WHEREAS, as of the date of this Agreement, the Stockholder is the record holder and the beneficial owner (as such term is defined in Rule 13d-3 under the Exchange Act), of, and has full voting power over, (a) the number of Company Common Shares and (b) the number of Company Preferred Shares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set forth on the Stockholder’s signature page hereto;</w:t>
      </w:r>
    </w:p>
    <w:p>
      <w:pPr>
        <w:spacing w:after="0" w:line="176" w:lineRule="exact"/>
        <w:rPr>
          <w:sz w:val="20"/>
          <w:szCs w:val="20"/>
          <w:color w:val="auto"/>
        </w:rPr>
      </w:pPr>
    </w:p>
    <w:p>
      <w:pPr>
        <w:ind w:right="180" w:firstLine="640"/>
        <w:spacing w:after="0" w:line="277" w:lineRule="auto"/>
        <w:rPr>
          <w:sz w:val="20"/>
          <w:szCs w:val="20"/>
          <w:color w:val="auto"/>
        </w:rPr>
      </w:pPr>
      <w:r>
        <w:rPr>
          <w:rFonts w:ascii="Times New Roman" w:cs="Times New Roman" w:eastAsia="Times New Roman" w:hAnsi="Times New Roman"/>
          <w:sz w:val="18"/>
          <w:szCs w:val="18"/>
          <w:color w:val="auto"/>
        </w:rPr>
        <w:t>WHEREAS, the Company, Acquiror and Merger Sub have entered into the Merger Agreement, which provides for the merger of Merger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being the surviving corporation of the Merger, pursuant to the provisions of the DGCL;</w:t>
      </w:r>
    </w:p>
    <w:p>
      <w:pPr>
        <w:spacing w:after="0" w:line="163" w:lineRule="exact"/>
        <w:rPr>
          <w:sz w:val="20"/>
          <w:szCs w:val="20"/>
          <w:color w:val="auto"/>
        </w:rPr>
      </w:pPr>
    </w:p>
    <w:p>
      <w:pPr>
        <w:ind w:right="80" w:firstLine="640"/>
        <w:spacing w:after="0" w:line="254" w:lineRule="auto"/>
        <w:rPr>
          <w:sz w:val="20"/>
          <w:szCs w:val="20"/>
          <w:color w:val="auto"/>
        </w:rPr>
      </w:pPr>
      <w:r>
        <w:rPr>
          <w:rFonts w:ascii="Times New Roman" w:cs="Times New Roman" w:eastAsia="Times New Roman" w:hAnsi="Times New Roman"/>
          <w:sz w:val="18"/>
          <w:szCs w:val="18"/>
          <w:color w:val="auto"/>
        </w:rPr>
        <w:t>WHEREAS, the Stockholder acknowledges that, as a condition and material inducement to Acquiror and Merger Sub’s willingness to enter into the Merger Agreement, Acquiror has required that certain Company Stockholders constituting the Company Requisite Stockholders, concurrently with the execution of the Merger Agreement, execute and deliver Support Agreements, and, in order to induce Acquiror and Merger Sub to enter into the Merger Agreement and consummate the Merger and the other transactions contemplated by the Merger Agreement, the Stockholder is willing to enter into this Agreement;</w:t>
      </w:r>
    </w:p>
    <w:p>
      <w:pPr>
        <w:spacing w:after="0" w:line="186"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WHEREAS, Acquiror desires that the Stockholder agree, and the Stockholder is willing to agree, subject to the limitations herein, not to Transfer (as defined below) any of its Shares, to vote its Shares in favor of the Merger (either at a duly called meeting of the Company or by a written consent action) and to facilitate consummation of the Merger and the other transactions contemplated by the Merger Agreement, and to undertake certain additional obligations pursuant to this Agreement; and</w:t>
      </w:r>
    </w:p>
    <w:p>
      <w:pPr>
        <w:spacing w:after="0" w:line="181" w:lineRule="exact"/>
        <w:rPr>
          <w:sz w:val="20"/>
          <w:szCs w:val="20"/>
          <w:color w:val="auto"/>
        </w:rPr>
      </w:pPr>
    </w:p>
    <w:p>
      <w:pPr>
        <w:ind w:right="360" w:firstLine="640"/>
        <w:spacing w:after="0" w:line="277" w:lineRule="auto"/>
        <w:rPr>
          <w:sz w:val="20"/>
          <w:szCs w:val="20"/>
          <w:color w:val="auto"/>
        </w:rPr>
      </w:pPr>
      <w:r>
        <w:rPr>
          <w:rFonts w:ascii="Times New Roman" w:cs="Times New Roman" w:eastAsia="Times New Roman" w:hAnsi="Times New Roman"/>
          <w:sz w:val="18"/>
          <w:szCs w:val="18"/>
          <w:color w:val="auto"/>
        </w:rPr>
        <w:t>WHEREAS, Acquiror and the Stockholder desire to make certain representations, warranties, covenants and agreements in connection with this Agreement.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NOW, THEREFORE, in consideration of the foregoing premises and the representations, warranties, covenants and agreements set forth in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312" w:name="page313"/>
    <w:bookmarkEnd w:id="312"/>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TRANSFER OF SHARES</w:t>
      </w:r>
    </w:p>
    <w:p>
      <w:pPr>
        <w:spacing w:after="0" w:line="224" w:lineRule="exact"/>
        <w:rPr>
          <w:sz w:val="20"/>
          <w:szCs w:val="20"/>
          <w:color w:val="auto"/>
        </w:rPr>
      </w:pPr>
    </w:p>
    <w:p>
      <w:pPr>
        <w:ind w:left="58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60" w:right="80" w:firstLine="647"/>
        <w:spacing w:after="0" w:line="252" w:lineRule="auto"/>
        <w:tabs>
          <w:tab w:leader="none" w:pos="131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irrevocably and unconditionally agrees, during the period beginning on the date of this Agreement and ending on the earlier of (i) the Closing or (ii) the valid termination of this Agreement in accordance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at each meeting of the stockholders of the Company (a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and at each adjournment or postponement thereof, and in any other circumstance in which the vote, consent or other approval of the stockholders of the Company is sought (a “</w:t>
      </w:r>
      <w:r>
        <w:rPr>
          <w:rFonts w:ascii="Times New Roman" w:cs="Times New Roman" w:eastAsia="Times New Roman" w:hAnsi="Times New Roman"/>
          <w:sz w:val="18"/>
          <w:szCs w:val="18"/>
          <w:u w:val="single" w:color="auto"/>
          <w:color w:val="auto"/>
        </w:rPr>
        <w:t>Consent Solicitation</w:t>
      </w:r>
      <w:r>
        <w:rPr>
          <w:rFonts w:ascii="Times New Roman" w:cs="Times New Roman" w:eastAsia="Times New Roman" w:hAnsi="Times New Roman"/>
          <w:sz w:val="18"/>
          <w:szCs w:val="18"/>
          <w:color w:val="auto"/>
        </w:rPr>
        <w:t>”), to cause to be present in person or represented by proxy and to vote or cause to be voted (or validly execute and deliver and take all other action necessary to grant legally effective express consent or dissent in writing, as applicable) that number of Shares set forth on the Stockholder’s signature page hereto and any New Securities (collectively,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that are entitled to vote (or express consent or dissent in writing, as applicable), in each case as follows:</w:t>
      </w:r>
    </w:p>
    <w:p>
      <w:pPr>
        <w:spacing w:after="0" w:line="186" w:lineRule="exact"/>
        <w:rPr>
          <w:rFonts w:ascii="Times New Roman" w:cs="Times New Roman" w:eastAsia="Times New Roman" w:hAnsi="Times New Roman"/>
          <w:sz w:val="18"/>
          <w:szCs w:val="18"/>
          <w:color w:val="auto"/>
        </w:rPr>
      </w:pPr>
    </w:p>
    <w:p>
      <w:pPr>
        <w:ind w:left="-60" w:right="620" w:firstLine="1288"/>
        <w:spacing w:after="0" w:line="307" w:lineRule="auto"/>
        <w:tabs>
          <w:tab w:leader="none" w:pos="1922" w:val="left"/>
        </w:tabs>
        <w:numPr>
          <w:ilvl w:val="1"/>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favor of any proposal for stockholders of the Company to adopt the Merger Agreement and approve any other matters necessary for consummation of the transactions contemplated by the Merger Agreement, including the Merger and the Preferred Conversion;</w:t>
      </w:r>
    </w:p>
    <w:p>
      <w:pPr>
        <w:spacing w:after="0" w:line="140" w:lineRule="exact"/>
        <w:rPr>
          <w:rFonts w:ascii="Times New Roman" w:cs="Times New Roman" w:eastAsia="Times New Roman" w:hAnsi="Times New Roman"/>
          <w:sz w:val="17"/>
          <w:szCs w:val="17"/>
          <w:color w:val="auto"/>
        </w:rPr>
      </w:pPr>
    </w:p>
    <w:p>
      <w:pPr>
        <w:jc w:val="both"/>
        <w:ind w:left="-60" w:right="40" w:firstLine="1288"/>
        <w:spacing w:after="0" w:line="262" w:lineRule="auto"/>
        <w:tabs>
          <w:tab w:leader="none" w:pos="1972"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to adjourn a Meeting at which there is a proposal for stockholders of the Company to adopt the Merger Agreement to a later date if there are not sufficient votes to adopt the Merger Agreement or if there are not sufficient Shares present in person or represented by proxy at such Meeting to constitute a quorum;</w:t>
      </w:r>
    </w:p>
    <w:p>
      <w:pPr>
        <w:spacing w:after="0" w:line="176" w:lineRule="exact"/>
        <w:rPr>
          <w:rFonts w:ascii="Times New Roman" w:cs="Times New Roman" w:eastAsia="Times New Roman" w:hAnsi="Times New Roman"/>
          <w:sz w:val="18"/>
          <w:szCs w:val="18"/>
          <w:color w:val="auto"/>
        </w:rPr>
      </w:pPr>
    </w:p>
    <w:p>
      <w:pPr>
        <w:ind w:left="-60" w:right="700" w:firstLine="1288"/>
        <w:spacing w:after="0" w:line="277" w:lineRule="auto"/>
        <w:tabs>
          <w:tab w:leader="none" w:pos="2021"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providing for an Acquisition Transaction (other than matters related to the Contemplated Interim Financing) or the adoption of an agreement to enter into an Acquisition Transaction;</w:t>
      </w:r>
    </w:p>
    <w:p>
      <w:pPr>
        <w:spacing w:after="0" w:line="162" w:lineRule="exact"/>
        <w:rPr>
          <w:rFonts w:ascii="Times New Roman" w:cs="Times New Roman" w:eastAsia="Times New Roman" w:hAnsi="Times New Roman"/>
          <w:sz w:val="18"/>
          <w:szCs w:val="18"/>
          <w:color w:val="auto"/>
        </w:rPr>
      </w:pPr>
    </w:p>
    <w:p>
      <w:pPr>
        <w:ind w:left="-60" w:right="40" w:firstLine="1288"/>
        <w:spacing w:after="0" w:line="262" w:lineRule="auto"/>
        <w:tabs>
          <w:tab w:leader="none" w:pos="2011"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for any amendment or modification of the Company’s organizational documents that would change the voting rights of any Shares or the number of votes required to approval any proposal, including the vote required to adopt the Merger Agreement (other than in connection with the Contemplated Interim Financing); and</w:t>
      </w:r>
    </w:p>
    <w:p>
      <w:pPr>
        <w:spacing w:after="0" w:line="176" w:lineRule="exact"/>
        <w:rPr>
          <w:rFonts w:ascii="Times New Roman" w:cs="Times New Roman" w:eastAsia="Times New Roman" w:hAnsi="Times New Roman"/>
          <w:sz w:val="18"/>
          <w:szCs w:val="18"/>
          <w:color w:val="auto"/>
        </w:rPr>
      </w:pPr>
    </w:p>
    <w:p>
      <w:pPr>
        <w:ind w:left="-60" w:right="280" w:firstLine="1288"/>
        <w:spacing w:after="0" w:line="262" w:lineRule="auto"/>
        <w:tabs>
          <w:tab w:leader="none" w:pos="1962"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transaction or agreement that would, or would reasonably be expected to, (A) result in a breach of any representation or warranty or covenant of the Stockholder under this Agreement or (B) prevent, delay or impair consummation of the Transactions in any material respect, except, for the avoidance of doubt, any Contemplated Interim Financing.</w:t>
      </w:r>
    </w:p>
    <w:p>
      <w:pPr>
        <w:spacing w:after="0" w:line="176" w:lineRule="exact"/>
        <w:rPr>
          <w:rFonts w:ascii="Times New Roman" w:cs="Times New Roman" w:eastAsia="Times New Roman" w:hAnsi="Times New Roman"/>
          <w:sz w:val="18"/>
          <w:szCs w:val="18"/>
          <w:color w:val="auto"/>
        </w:rPr>
      </w:pPr>
    </w:p>
    <w:p>
      <w:pPr>
        <w:ind w:left="-60" w:firstLine="647"/>
        <w:spacing w:after="0" w:line="254" w:lineRule="auto"/>
        <w:tabs>
          <w:tab w:leader="none" w:pos="132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vote required to be cast or consent or dissent in writing required to be expressed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be cast or expressed in accordance with the applicable procedures relating thereto so as to ensure that it is duly counted for purposes of determining that a quorum is present (if applicable) and for purposes of recording the results of that vote or Consent Solicitation. For the avoidance of doubt, nothing contained herein requires the Stockholder (or entitles any proxy of the Stockholder) to convert, exercise or exchange any options, warrants or convertible securities in order to obtain any underlying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15875</wp:posOffset>
            </wp:positionV>
            <wp:extent cx="71342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20"/>
          </w:cols>
          <w:pgMar w:left="380" w:top="891" w:right="399" w:bottom="1440" w:gutter="0" w:footer="0" w:header="0"/>
        </w:sectPr>
      </w:pPr>
    </w:p>
    <w:bookmarkStart w:id="313" w:name="page314"/>
    <w:bookmarkEnd w:id="313"/>
    <w:p>
      <w:pPr>
        <w:ind w:left="-20" w:right="240" w:firstLine="647"/>
        <w:spacing w:after="0" w:line="277" w:lineRule="auto"/>
        <w:tabs>
          <w:tab w:leader="none" w:pos="135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agrees not to enter into any commitment, agreement, understanding or similar arrangement with any Person to vote or give voting instructions or express consent or dissent in writing in any manner inconsistent with the terms of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62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20" w:firstLine="647"/>
        <w:spacing w:after="0" w:line="249" w:lineRule="auto"/>
        <w:tabs>
          <w:tab w:leader="none" w:pos="1351"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Stockholder, with respect to the Subject Shares, irrevocably grants a proxy appointing the Company and any designee of the Company, and each of them individually and with full power of substitution, as the Stockholder’s true and lawful attorney-in-fact and proxy, for and in the Stockholder’s name, place and stead, to be counted as represented by proxy and vote, at any time during the Applicable Period, each Subject Share as the Stockholder’s proxy, at every Meeting (including at any adjournment or postponement thereof) and to execute and deliver on behalf of the Stockholder any written expression of consent or dissent relating to the Subject Shares in order to cause the Stockholder to perform the covenants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provided, however, that the Stockholder’s grant of the proxy and power of attorney contemplated by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will be effective with respect to a Meeting or Consent Solicitation if, and only if, the Stockholder has not delivered or caused to be delivered to the Secretary of the Company (or the Person undertaking the Consent Solicitation, as applicable), at least two (2) Business Days’ prior to the Meeting or deadline for the Consent Solicitation, as applicable, a duly executed irrevocable proxy directing that the Subject Shares be voted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a duly executed irrevocable expression of consent or dissent in writing to be delivered in accordance with Section 7.07 of the Merger Agreement and with respect to the Subject Shares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as applicable. The proxy described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if it becomes effective, is limited solely to the voting of Subject Shares (or expressing consent or dissent in writing with respect thereto) during the Applicable Period solely in order to cause the Stockholder to perform the covenants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The Stockholder hereby affirms that the irrevocable proxy set forth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if it becomes effective, is given in connection with the execution of the Merger Agreement and such irrevocable proxy is given to secure the performance of the obligations of the Stockholder under this Agreement. The proxy described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if it becomes effective, is coupled with an interest, including for the purposes of Section 212 of the DGCL, revokes all prior proxies granted by the Stockholder with respect to the Subject Shares and is irrevocable, provided that this proxy shall automatically terminate upon the last day of the Applicable Period. The power of attorney granted by the Stockholder, if it becomes effective, is a durable power of attorney and, subject to its automatic termination at the end of the Applicable Period, shall survive the bankruptcy, dissolution, death or incapacity of the Stockholder. For Subject Shares as to which the Stockholder is the beneficial owner but not the holder of record, the Stockholder shall cause any holder of record of such Subject Shares to grant to Acquiror a proxy to the same effect as that described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Acquiror may terminate this proxy with respect to the Stockholder at any time at its sole election by written notice provided to the Stockholder.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71342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314" w:name="page315"/>
    <w:bookmarkEnd w:id="314"/>
    <w:p>
      <w:pPr>
        <w:ind w:right="80" w:firstLine="647"/>
        <w:spacing w:after="0" w:line="257" w:lineRule="auto"/>
        <w:tabs>
          <w:tab w:leader="none" w:pos="138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including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shall be deemed to vest in the Company any direct or indirect ownership or incidence of ownership of or with respect to the Subject Shares of the Stockholder. All rights, ownership and economic benefits of and relating to the Subject Shares of the Stockholder shall remain vested in and belong to the Stockholder, and Acquiror shall have no authority to direct the Stockholder in the voting or disposition of any of the Stockholder’s Subject Shares, except as otherwise provided in </w:t>
      </w:r>
      <w:r>
        <w:rPr>
          <w:rFonts w:ascii="Times New Roman" w:cs="Times New Roman" w:eastAsia="Times New Roman" w:hAnsi="Times New Roman"/>
          <w:sz w:val="18"/>
          <w:szCs w:val="18"/>
          <w:u w:val="single" w:color="auto"/>
          <w:color w:val="auto"/>
        </w:rPr>
        <w:t>Section 1.02(a).</w:t>
      </w:r>
    </w:p>
    <w:p>
      <w:pPr>
        <w:spacing w:after="0" w:line="181" w:lineRule="exact"/>
        <w:rPr>
          <w:sz w:val="20"/>
          <w:szCs w:val="20"/>
          <w:color w:val="auto"/>
        </w:rPr>
      </w:pPr>
    </w:p>
    <w:p>
      <w:pPr>
        <w:ind w:firstLine="640"/>
        <w:spacing w:after="0" w:line="248"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No Transfers</w:t>
      </w:r>
      <w:r>
        <w:rPr>
          <w:rFonts w:ascii="Times New Roman" w:cs="Times New Roman" w:eastAsia="Times New Roman" w:hAnsi="Times New Roman"/>
          <w:sz w:val="18"/>
          <w:szCs w:val="18"/>
          <w:color w:val="auto"/>
        </w:rPr>
        <w:t xml:space="preserve">. During the Applicable Period, the Stockholder shall not, directly or indirectly: (a) sell, convey, assign, transfer (including by succession or otherwise by operation of Law), exchange, pledge, hypothecate or otherwise encumber or dispose of any Subject Shares (or any right, title or interest therein) or any rights to acquire any securities or equity interests of the Company; (b) deposit any Subject Shares or any rights to acquire any securities or equity interests of the Company into a voting trust or enter into a voting agreement or any other arrangement with respect to any Subject Shares or grant or purport to grant any proxy or power of attorney with respect thereto (except as otherwise expressly provided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in each case that is inconsistent with this Agreement; (c) enter into any contract, option, call or other arrangement or undertaking, whether or not in writing, with respect to the sale, conveyance, assignment, transfer (including by succession or otherwise by operation of Law), exchange, pledge, hypothecation or other encumbrance (other than Permitted Encumbrances) or disposition, or limitation on the voting rights, of any Subject Shares (or any right, title or interest therein); (d) otherwise grant, permit or suffer the creation of any Encumbrances on any Subject Shares (other than Permitted Encumbrances, applicable restrictions on transfer under U.S. state or federal securities or “blue sky” Laws) or (e) commit or agree to take any of the foregoing actions or discuss, negotiate or make an offer or enter into a commitment, agreement, understanding or similar agreement to take any of the foregoing actions (any action described in clauses (a), (b), (c), (d) and (e),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Transfers (i) if the stockholder is an entity, between the Stockholder and any Affiliate of the Stockholder, including any of its partners or members or (ii) if the Stockholder is an individual, (A) between the Stockholder and any of its immediately family members, (B) to a trust for the benefit of the Stockholder or to any member of a Stockholder’s immediate family or a trust for the benefit of such immediate family member or (C) by will, other testamentary document or under the laws of intestacy upon the death of Stockholder; provided, further, that a Transfer referred to in subsections (i) or (ii) of the immediately preceding proviso shall be permitted only if, prior to and as a condition to the effectiveness of any such Transfer, such Affiliate or transferee executes and delivers to Acquiror a joinder to this Agreement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Any Transfer or action in violation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If any involuntary Transfer of any of the Subject Shares occurs, the transferee (and all transferees and subsequent transferees of such transferee) shall take and hold such Subject Shares subject to all of the restrictions, liabilities and rights under this Agreement, which shall continue in full force and effect during the Applicable Period. For the avoidance of doubt, nothing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prevent entry into or performance of any obligations pursuant to the Amended and Restated Registration Rights Agreement.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5" w:name="page316"/>
    <w:bookmarkEnd w:id="315"/>
    <w:p>
      <w:pPr>
        <w:ind w:right="2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Stop Transfer</w:t>
      </w:r>
      <w:r>
        <w:rPr>
          <w:rFonts w:ascii="Times New Roman" w:cs="Times New Roman" w:eastAsia="Times New Roman" w:hAnsi="Times New Roman"/>
          <w:sz w:val="18"/>
          <w:szCs w:val="18"/>
          <w:color w:val="auto"/>
        </w:rPr>
        <w:t xml:space="preserve">. The Stockholder shall not request that the Company register any transfer of any Certificate or other uncertificated interest representing any Subject Shares made in violation of the restrictions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during the Applicable Period.</w:t>
      </w:r>
    </w:p>
    <w:p>
      <w:pPr>
        <w:spacing w:after="0" w:line="163" w:lineRule="exact"/>
        <w:rPr>
          <w:sz w:val="20"/>
          <w:szCs w:val="20"/>
          <w:color w:val="auto"/>
        </w:rPr>
      </w:pPr>
    </w:p>
    <w:p>
      <w:pPr>
        <w:jc w:val="both"/>
        <w:ind w:right="680" w:firstLine="640"/>
        <w:spacing w:after="0" w:line="269" w:lineRule="auto"/>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Waiver of Appraisal Rights</w:t>
      </w:r>
      <w:r>
        <w:rPr>
          <w:rFonts w:ascii="Times New Roman" w:cs="Times New Roman" w:eastAsia="Times New Roman" w:hAnsi="Times New Roman"/>
          <w:sz w:val="17"/>
          <w:szCs w:val="17"/>
          <w:color w:val="auto"/>
        </w:rPr>
        <w:t>. The Stockholder hereby agrees not to (a) assert, exercise or perfect, directly or indirectly, and irrevocably and unconditionally waives, any appraisal rights (including under Section 262 of the DGCL) that the Stockholder may have by virtue of ownership of the Subject Shares with respect to the Merger and any rights to dissent with respect to the Merger (collectively, “</w:t>
      </w:r>
      <w:r>
        <w:rPr>
          <w:rFonts w:ascii="Times New Roman" w:cs="Times New Roman" w:eastAsia="Times New Roman" w:hAnsi="Times New Roman"/>
          <w:sz w:val="17"/>
          <w:szCs w:val="17"/>
          <w:u w:val="single" w:color="auto"/>
          <w:color w:val="auto"/>
        </w:rPr>
        <w:t>Appraisal Rights</w:t>
      </w:r>
      <w:r>
        <w:rPr>
          <w:rFonts w:ascii="Times New Roman" w:cs="Times New Roman" w:eastAsia="Times New Roman" w:hAnsi="Times New Roman"/>
          <w:sz w:val="17"/>
          <w:szCs w:val="17"/>
          <w:color w:val="auto"/>
        </w:rPr>
        <w:t>”) or</w:t>
      </w:r>
    </w:p>
    <w:p>
      <w:pPr>
        <w:spacing w:after="0" w:line="2" w:lineRule="exact"/>
        <w:rPr>
          <w:sz w:val="20"/>
          <w:szCs w:val="20"/>
          <w:color w:val="auto"/>
        </w:rPr>
      </w:pPr>
    </w:p>
    <w:p>
      <w:pPr>
        <w:ind w:right="340" w:firstLine="7"/>
        <w:spacing w:after="0" w:line="249" w:lineRule="auto"/>
        <w:tabs>
          <w:tab w:leader="none" w:pos="252"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or participate in any claim, derivative or otherwise, against the Company, the Board of Directors of the Company or the Company’s management, relating to the negotiation, execution or delivery of this Agreement or the Merger Agreement or the consummation of the Transactions, including any claim (i) challenging the validity of, or seeking to enjoin the operation of, any provision of this Agreement or the Merger Agreement, or challenging the validity of, or seeking to enjoin any of the Transactions, or (ii) alleging a breach of any fiduciary duty or any self-dealing of the Board of Directors of the Company in connection with this Agreement, the Merger Agreement or the Transactions.</w:t>
      </w:r>
    </w:p>
    <w:p>
      <w:pPr>
        <w:spacing w:after="0" w:line="188"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7"/>
          <w:szCs w:val="17"/>
          <w:u w:val="single" w:color="auto"/>
          <w:color w:val="auto"/>
        </w:rPr>
        <w:t>Public Announcements; Filings; Disclosures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firstLine="647"/>
        <w:spacing w:after="0" w:line="265" w:lineRule="auto"/>
        <w:tabs>
          <w:tab w:leader="none" w:pos="1371"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(and the Stockholder’s controlled Affiliates) shall not issue any press release or make any other public announcement or public statement (a “</w:t>
      </w:r>
      <w:r>
        <w:rPr>
          <w:rFonts w:ascii="Times New Roman" w:cs="Times New Roman" w:eastAsia="Times New Roman" w:hAnsi="Times New Roman"/>
          <w:sz w:val="17"/>
          <w:szCs w:val="17"/>
          <w:u w:val="single" w:color="auto"/>
          <w:color w:val="auto"/>
        </w:rPr>
        <w:t>Public Communication</w:t>
      </w:r>
      <w:r>
        <w:rPr>
          <w:rFonts w:ascii="Times New Roman" w:cs="Times New Roman" w:eastAsia="Times New Roman" w:hAnsi="Times New Roman"/>
          <w:sz w:val="17"/>
          <w:szCs w:val="17"/>
          <w:color w:val="auto"/>
        </w:rPr>
        <w:t xml:space="preserve">”) with respect to this Agreement, the Merger Agreement, or the transactions contemplated by this Agreement or the Merger Agreement, without the prior written consent of Acquiror (which consent may be withheld in Acquiror’s sole discretion), except (i) as required by applicable Law or court process, in which case the Stockholder shall use its reasonable best efforts to provide Company, Company’s outside legal counsel, Acquiror and Acquiror’s outside legal counsel with a reasonable opportunity to review and comment on such Public Communication in advance of its issuance and shall give reasonable and good faith consideration to any such comments or (ii) with respect to a Public Communication that is consistent with prior disclosures made by Acquiror;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apply to any disclosure required to be made by the Stockholder to a Governmental Authority so long as such disclosure is consistent with the terms of this Agreement and the Merger Agreement and the disclosures made by the Company and Acquiror pursuant to the terms of the Merger Agreement. For the avoidance of doubt, notwithstanding anything to the contrary in this </w:t>
      </w:r>
      <w:r>
        <w:rPr>
          <w:rFonts w:ascii="Times New Roman" w:cs="Times New Roman" w:eastAsia="Times New Roman" w:hAnsi="Times New Roman"/>
          <w:sz w:val="17"/>
          <w:szCs w:val="17"/>
          <w:u w:val="single" w:color="auto"/>
          <w:color w:val="auto"/>
        </w:rPr>
        <w:t>Section 1.06(a)</w:t>
      </w:r>
      <w:r>
        <w:rPr>
          <w:rFonts w:ascii="Times New Roman" w:cs="Times New Roman" w:eastAsia="Times New Roman" w:hAnsi="Times New Roman"/>
          <w:sz w:val="17"/>
          <w:szCs w:val="17"/>
          <w:color w:val="auto"/>
        </w:rPr>
        <w:t>, (i) if the Stockholder is a director or officer of the Company, in his, her or their capacity as a director or officer of the Company, he, she or they may make public statements in such capacity to the extent permitted under the Merger Agreement and (ii) if the Stockholder is an entity, the Stockholder may make announcements and provide information regarding this Agreement, the Merger Agreement and the transactions contemplated hereby and thereby to its owners, Affiliates and its and their respective directors, officers, managers, advisors and investors without the consent of any party hereto.</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16" w:name="page317"/>
    <w:bookmarkEnd w:id="316"/>
    <w:p>
      <w:pPr>
        <w:ind w:right="40" w:firstLine="647"/>
        <w:spacing w:after="0" w:line="251" w:lineRule="auto"/>
        <w:tabs>
          <w:tab w:leader="none" w:pos="138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hereby consents to and authorizes the Company and Acquiror to (i) publish and disclose in any Public Communication or in any disclosure required by the SEC and in the Registration Statement, the Stockholder’s identity and ownership of Subject Shares and the Stockholder’s obligations under this Agreement (the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 and (ii) the filing of the form of this Agreement as attached as Exhibit B to the Merger Agreement to the extent required by applicable Law to be filed with the SEC or any regulatory authority relating to the Merger; provided that, with respect to the foregoing clause (i), Acquiror shall use its commercially reasonable efforts to provide the Stockholder with a reasonable opportunity to review and comment on any Stockholder Information included in such disclosure in advance of its filing and as promptly as practicable thereafter, the Stockholder shall notify Acquiror of any required corrections with respect to any Stockholder Information supplied by the Stockholder, if and to the extent the Stockholder becomes aware that any such Stockholder Information shall have become false or misleading in any material respect.</w:t>
      </w:r>
    </w:p>
    <w:p>
      <w:pPr>
        <w:spacing w:after="0" w:line="190"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1.07.</w:t>
      </w:r>
      <w:r>
        <w:rPr>
          <w:sz w:val="20"/>
          <w:szCs w:val="20"/>
          <w:color w:val="auto"/>
        </w:rPr>
        <w:tab/>
      </w:r>
      <w:r>
        <w:rPr>
          <w:rFonts w:ascii="Times New Roman" w:cs="Times New Roman" w:eastAsia="Times New Roman" w:hAnsi="Times New Roman"/>
          <w:sz w:val="17"/>
          <w:szCs w:val="17"/>
          <w:u w:val="single" w:color="auto"/>
          <w:color w:val="auto"/>
        </w:rPr>
        <w:t>Release of Claims.</w:t>
      </w:r>
    </w:p>
    <w:p>
      <w:pPr>
        <w:spacing w:after="0" w:line="220" w:lineRule="exact"/>
        <w:rPr>
          <w:sz w:val="20"/>
          <w:szCs w:val="20"/>
          <w:color w:val="auto"/>
        </w:rPr>
      </w:pPr>
    </w:p>
    <w:p>
      <w:pPr>
        <w:ind w:firstLine="647"/>
        <w:spacing w:after="0" w:line="264" w:lineRule="auto"/>
        <w:tabs>
          <w:tab w:leader="none" w:pos="1371" w:val="left"/>
        </w:tabs>
        <w:numPr>
          <w:ilvl w:val="1"/>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and contingent upon the Effective Time, the Stockholder, and, if the Stockholder is a legal entity, together with the Stockholder’s officers, directors, stockholders, Subsidiaries and Affiliates, and each of their respective heirs, beneficiaries, trustees, executors, administrators, Representatives, successors and assigns (such persons, the “</w:t>
      </w:r>
      <w:r>
        <w:rPr>
          <w:rFonts w:ascii="Times New Roman" w:cs="Times New Roman" w:eastAsia="Times New Roman" w:hAnsi="Times New Roman"/>
          <w:sz w:val="17"/>
          <w:szCs w:val="17"/>
          <w:u w:val="single" w:color="auto"/>
          <w:color w:val="auto"/>
        </w:rPr>
        <w:t>Releasors</w:t>
      </w:r>
      <w:r>
        <w:rPr>
          <w:rFonts w:ascii="Times New Roman" w:cs="Times New Roman" w:eastAsia="Times New Roman" w:hAnsi="Times New Roman"/>
          <w:sz w:val="17"/>
          <w:szCs w:val="17"/>
          <w:color w:val="auto"/>
        </w:rPr>
        <w:t>”), hereby fully and unconditionally releases, acquits and forever discharges, to the fullest extent permitted by Law, each of Acquiror, Merger Sub, the Company, the Surviving Company, each of their Subsidiaries and Affiliates and their respective past, present or future officers, directors, employees, counsel and agents, and the Company Stockholders prior to Closing (such persons, the “</w:t>
      </w:r>
      <w:r>
        <w:rPr>
          <w:rFonts w:ascii="Times New Roman" w:cs="Times New Roman" w:eastAsia="Times New Roman" w:hAnsi="Times New Roman"/>
          <w:sz w:val="17"/>
          <w:szCs w:val="17"/>
          <w:u w:val="single" w:color="auto"/>
          <w:color w:val="auto"/>
        </w:rPr>
        <w:t>Releasees</w:t>
      </w:r>
      <w:r>
        <w:rPr>
          <w:rFonts w:ascii="Times New Roman" w:cs="Times New Roman" w:eastAsia="Times New Roman" w:hAnsi="Times New Roman"/>
          <w:sz w:val="17"/>
          <w:szCs w:val="17"/>
          <w:color w:val="auto"/>
        </w:rPr>
        <w:t xml:space="preserve">”), from and against any and all liabilities, actions, causes of action, claims, demands, damages, judgments, debts, dues and suits of every kind, nature and description whatsoever, whether known or unknown, asserted or unasserted, suspected or unsuspected, absolute or contingent, unmatured or inchoate, both at law and in equity, which the Stockholder or any of the Releasors ever had, now has or may hereafter have against any of the Releasees, on or by reason of any matter, cause or thing whatsoever that arose prior to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nothing herein shall be deemed to release</w:t>
      </w:r>
    </w:p>
    <w:p>
      <w:pPr>
        <w:spacing w:after="0" w:line="5" w:lineRule="exact"/>
        <w:rPr>
          <w:rFonts w:ascii="Times New Roman" w:cs="Times New Roman" w:eastAsia="Times New Roman" w:hAnsi="Times New Roman"/>
          <w:sz w:val="17"/>
          <w:szCs w:val="17"/>
          <w:color w:val="auto"/>
        </w:rPr>
      </w:pPr>
    </w:p>
    <w:p>
      <w:pPr>
        <w:ind w:firstLine="7"/>
        <w:spacing w:after="0" w:line="249" w:lineRule="auto"/>
        <w:tabs>
          <w:tab w:leader="none" w:pos="242"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of the Stockholder expressly set forth in this Agreement, any Transaction Document to which such Stockholder is a party and the Merger Agreement, including the right to receive the Closing Merger Consideration to which it may be entitled pursuant to the Merger Agreement in accordance with the terms thereof, (b) any claims that are not permitted to be released under applicable Law or applicable public policy and (c) any employment compensation, benefits matter or right to indemnification affecting any Releasor in his or her capacity as a director, manager, officer or employee of the Company, its Affiliates or its Subsidiaries (collectively, the “</w:t>
      </w:r>
      <w:r>
        <w:rPr>
          <w:rFonts w:ascii="Times New Roman" w:cs="Times New Roman" w:eastAsia="Times New Roman" w:hAnsi="Times New Roman"/>
          <w:sz w:val="18"/>
          <w:szCs w:val="18"/>
          <w:u w:val="single" w:color="auto"/>
          <w:color w:val="auto"/>
        </w:rPr>
        <w:t>Retained Claims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420" w:firstLine="647"/>
        <w:spacing w:after="0" w:line="262" w:lineRule="auto"/>
        <w:tabs>
          <w:tab w:leader="none" w:pos="1381"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acknowledges and agrees that it, he or she is familiar with Section 1542 of the Civil Code of California, as set forth below, and having so reviewed, specifically waives the benefit of the provisions of Section 1542 of the Civil Code of California, if and to the extent applicable, which provides as follows:</w:t>
      </w:r>
    </w:p>
    <w:p>
      <w:pPr>
        <w:spacing w:after="0" w:line="176" w:lineRule="exact"/>
        <w:rPr>
          <w:sz w:val="20"/>
          <w:szCs w:val="20"/>
          <w:color w:val="auto"/>
        </w:rPr>
      </w:pPr>
    </w:p>
    <w:p>
      <w:pPr>
        <w:ind w:left="640" w:right="160"/>
        <w:spacing w:after="0" w:line="262"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317" w:name="page318"/>
    <w:bookmarkEnd w:id="317"/>
    <w:p>
      <w:pPr>
        <w:jc w:val="both"/>
        <w:ind w:right="60"/>
        <w:spacing w:after="0" w:line="277" w:lineRule="auto"/>
        <w:rPr>
          <w:sz w:val="20"/>
          <w:szCs w:val="20"/>
          <w:color w:val="auto"/>
        </w:rPr>
      </w:pPr>
      <w:r>
        <w:rPr>
          <w:rFonts w:ascii="Times New Roman" w:cs="Times New Roman" w:eastAsia="Times New Roman" w:hAnsi="Times New Roman"/>
          <w:sz w:val="17"/>
          <w:szCs w:val="17"/>
          <w:color w:val="auto"/>
        </w:rPr>
        <w:t>The Stockholder also specifically waives any right or benefits that it has or may have under any similar provision of the statutory or non-statutory law of any other jurisdiction. The Stockholder acknowledges that the Releasors may hereafter discover facts different from or in addition to the facts the Releasors now know or believe to be true with respect to the subject matter of this Agreement; however, the Releasors intend that the general releases herein given shall be and remain in full force and effect, notwithstanding the discovery or existence of any such different or additional facts (other than the Retained Claims).</w:t>
      </w:r>
    </w:p>
    <w:p>
      <w:pPr>
        <w:spacing w:after="0" w:line="165" w:lineRule="exact"/>
        <w:rPr>
          <w:sz w:val="20"/>
          <w:szCs w:val="20"/>
          <w:color w:val="auto"/>
        </w:rPr>
      </w:pPr>
    </w:p>
    <w:p>
      <w:pPr>
        <w:ind w:right="80"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The Stockholder acknowledges that the Stockholder has read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(‘Exclusivity’) of the Merger Agreement. During the Applicable Period, the Stockholder, solely in the Stockholder’s capacity as a stockholder of the Company, agrees not to, directly or indirectly, take any action that would violate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of the Merger Agreement if such Stockholder were deemed a “Representative” of the Company for purposes of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of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serve to limit or restrict any actions taken by such Stockholder in any capacity other than as a stockholder of the Company, to the extent such actions are in compliance with or required under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 xml:space="preserve"> of the Merger Agreement.</w:t>
      </w:r>
    </w:p>
    <w:p>
      <w:pPr>
        <w:spacing w:after="0" w:line="185" w:lineRule="exact"/>
        <w:rPr>
          <w:sz w:val="20"/>
          <w:szCs w:val="20"/>
          <w:color w:val="auto"/>
        </w:rPr>
      </w:pPr>
    </w:p>
    <w:p>
      <w:pPr>
        <w:ind w:right="12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No Agreement as Director or Officer</w:t>
      </w:r>
      <w:r>
        <w:rPr>
          <w:rFonts w:ascii="Times New Roman" w:cs="Times New Roman" w:eastAsia="Times New Roman" w:hAnsi="Times New Roman"/>
          <w:sz w:val="18"/>
          <w:szCs w:val="18"/>
          <w:color w:val="auto"/>
        </w:rPr>
        <w:t>. The Stockholder is entering into this Agreement solely in the Stockholder’s capacity as record or beneficial owner of Subject Shares and nothing herein is intended to or shall limit or affect any actions taken by the Stockholder or any employee, officer, director (or person performing similar functions), partner or other Affiliate (including, for this purpose, any appointee or representative of the Stockholder to the board of directors of the Company) of the Stockholder, solely in his or her capacity as a director or officer of the Company (or a Subsidiary of the Company) or other fiduciary capacity for the Company’s stockholders.</w:t>
      </w:r>
    </w:p>
    <w:p>
      <w:pPr>
        <w:spacing w:after="0" w:line="186" w:lineRule="exact"/>
        <w:rPr>
          <w:sz w:val="20"/>
          <w:szCs w:val="20"/>
          <w:color w:val="auto"/>
        </w:rPr>
      </w:pPr>
    </w:p>
    <w:p>
      <w:pPr>
        <w:ind w:right="100"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In the event that (a) any shares of Company Common Shares or Company Preferred Shares are issued to the Stockholder after the date of this Agreement pursuant to any stock dividend, stock split, recapitalization, reclassification, combination or exchange of shares of Company Common Shares or Company Preferred Shares, (b) the Stockholder purchases or otherwise acquires beneficial ownership of any shares of Company Common Shares or Company Preferred Shares after the date of this Agreement or (c) the Stockholder acquires the right to vote or share in the voting of any shares of Company Common Shares or Company Preferred Shares after the date of this Agreement (such shares of Company Common Shares or Company Preferred Shares described collectively in the foregoing clauses (a) through (c), the “</w:t>
      </w:r>
      <w:r>
        <w:rPr>
          <w:rFonts w:ascii="Times New Roman" w:cs="Times New Roman" w:eastAsia="Times New Roman" w:hAnsi="Times New Roman"/>
          <w:sz w:val="18"/>
          <w:szCs w:val="18"/>
          <w:u w:val="single" w:color="auto"/>
          <w:color w:val="auto"/>
        </w:rPr>
        <w:t>New Securities</w:t>
      </w:r>
      <w:r>
        <w:rPr>
          <w:rFonts w:ascii="Times New Roman" w:cs="Times New Roman" w:eastAsia="Times New Roman" w:hAnsi="Times New Roman"/>
          <w:sz w:val="18"/>
          <w:szCs w:val="18"/>
          <w:color w:val="auto"/>
        </w:rPr>
        <w:t>”), then such New Securities issued to, or acquired or purchased by, the Stockholder shall be subject to the terms of this Agreement to the same extent as if they constituted the shares of Company Common Shares or Company Preferred Shares owned by the Stockholder as of the date hereof.</w:t>
      </w:r>
    </w:p>
    <w:p>
      <w:pPr>
        <w:spacing w:after="0" w:line="190"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No Adverse Act</w:t>
      </w:r>
      <w:r>
        <w:rPr>
          <w:rFonts w:ascii="Times New Roman" w:cs="Times New Roman" w:eastAsia="Times New Roman" w:hAnsi="Times New Roman"/>
          <w:sz w:val="18"/>
          <w:szCs w:val="18"/>
          <w:color w:val="auto"/>
        </w:rPr>
        <w:t xml:space="preserve">. The Stockholder hereby agrees that, except as expressly provided or permitted by this Agreement, the Stockholder shall not knowingly, and shall cause its Affiliates not to knowingly, without the prior written consent of Acquiror (in Acquiror’s sole discretion), directly or indirectly, take or permit any action that would in any way (a) restrict, limit or interfere with the performance of the Stockholder’s obligations contained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(b) make any representation or warranty of the Stockholder herein materially untrue or inaccurate or (c) otherwise restrict, limit or interfere with the Stockholder’s obligations contained under this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18" w:name="page319"/>
    <w:bookmarkEnd w:id="318"/>
    <w:p>
      <w:pPr>
        <w:ind w:right="20" w:firstLine="640"/>
        <w:spacing w:after="0" w:line="265"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No Litigation</w:t>
      </w:r>
      <w:r>
        <w:rPr>
          <w:rFonts w:ascii="Times New Roman" w:cs="Times New Roman" w:eastAsia="Times New Roman" w:hAnsi="Times New Roman"/>
          <w:sz w:val="17"/>
          <w:szCs w:val="17"/>
          <w:color w:val="auto"/>
        </w:rPr>
        <w:t>. The Stockholder hereby agrees not to commence, maintain or participate in, or facilitate, assist or encourage, and agrees to take all actions necessary to opt out of any class in any class action with respect to, any claim, derivative or otherwise, suit, proceeding or cause of action, in law or in equity, in any court or before any Governmental Authority against the Company, the Company’s Affiliates, the Acquiror, the Acquiror’s Affiliates or any of their respective successors and assigns (a) challenging the validity of, or seeking to enjoin or delay the operation of, any provision of this Agreement or the Merger Agreement (including (i) challenging the Closing Equity Value and resulting shares of Common Stock issued as Closing Merger Consideration or (ii) any claim seeking to enjoin or delay the consummation of the Merger in any respect), (b) alleging a breach of any fiduciary duty or self-dealing of any Person in connection with the Merger Agreement or the Transactions, (c) seeking Appraisal Rights in connection with the Merger or</w:t>
      </w:r>
    </w:p>
    <w:p>
      <w:pPr>
        <w:spacing w:after="0" w:line="2" w:lineRule="exact"/>
        <w:rPr>
          <w:sz w:val="20"/>
          <w:szCs w:val="20"/>
          <w:color w:val="auto"/>
        </w:rPr>
      </w:pPr>
    </w:p>
    <w:p>
      <w:pPr>
        <w:ind w:right="320" w:firstLine="7"/>
        <w:spacing w:after="0" w:line="250" w:lineRule="auto"/>
        <w:tabs>
          <w:tab w:leader="none" w:pos="252"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relating to the Merger Agreement or the Merger or other transactions contemplated by the Merger Agreement (other than the Stockholder’s right to receive the Closing Merger Consideration to which it may be entitled pursuant to the Merger Agreement in accordance with the terms thereof). Notwithstanding the foregoing, nothing herein shall be deemed to prohibit the Stockholder from enforcing the Stockholder’s rights under this Agreement (including, for the avoidance of doubt, pursuant to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Termination of Investment Agreements</w:t>
      </w:r>
      <w:r>
        <w:rPr>
          <w:rFonts w:ascii="Times New Roman" w:cs="Times New Roman" w:eastAsia="Times New Roman" w:hAnsi="Times New Roman"/>
          <w:sz w:val="18"/>
          <w:szCs w:val="18"/>
          <w:color w:val="auto"/>
        </w:rPr>
        <w:t>. Stockholder hereby acknowledges and agrees that, with effect from the Effective Time, the following agreements shall automatically terminate without any action on the part of the parties thereto pursuant to their respective terms and will be of no further force or effect: (i) Series B-2 and B-3 Amended and Restated Investor Rights Agreement, dated October 5, 2022, by and between Company and the investors named therein, (ii) Series B-2 and B-3 Amended and Restated Right of First Refusal and Co-Sale Agreement, dated October 5, 2022, by and between Company and the investors named therein and (iii) Series B-2 and B-3 Amended and Restated Voting Agreement, dated October 5, 2022, by and between Company and the investors named therein (clause (i) through (iii) collectively, the “</w:t>
      </w:r>
      <w:r>
        <w:rPr>
          <w:rFonts w:ascii="Times New Roman" w:cs="Times New Roman" w:eastAsia="Times New Roman" w:hAnsi="Times New Roman"/>
          <w:sz w:val="18"/>
          <w:szCs w:val="18"/>
          <w:u w:val="single" w:color="auto"/>
          <w:color w:val="auto"/>
        </w:rPr>
        <w:t>Investor Agreements</w:t>
      </w:r>
      <w:r>
        <w:rPr>
          <w:rFonts w:ascii="Times New Roman" w:cs="Times New Roman" w:eastAsia="Times New Roman" w:hAnsi="Times New Roman"/>
          <w:sz w:val="18"/>
          <w:szCs w:val="18"/>
          <w:color w:val="auto"/>
        </w:rPr>
        <w:t>”), in each case, other than the provisions of such Investor Agreements that are intended to survive its termination in accordance with its terms.</w:t>
      </w:r>
    </w:p>
    <w:p>
      <w:pPr>
        <w:spacing w:after="0" w:line="187" w:lineRule="exact"/>
        <w:rPr>
          <w:sz w:val="20"/>
          <w:szCs w:val="20"/>
          <w:color w:val="auto"/>
        </w:rPr>
      </w:pPr>
    </w:p>
    <w:p>
      <w:pPr>
        <w:ind w:right="36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Stockholder shall execute and deliver, or cause to be executed and delivered, such further certificates, instruments and other documents and to take such further actions as Acquiror may reasonably request for the purpose of effectively carrying out the transactions contemplated by this Agreement.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19" w:name="page320"/>
    <w:bookmarkEnd w:id="3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Stockholder hereby represents and warrants to Acquiror and the Company as follows:</w:t>
      </w:r>
    </w:p>
    <w:p>
      <w:pPr>
        <w:spacing w:after="0" w:line="220" w:lineRule="exact"/>
        <w:rPr>
          <w:sz w:val="20"/>
          <w:szCs w:val="20"/>
          <w:color w:val="auto"/>
        </w:rPr>
      </w:pPr>
    </w:p>
    <w:p>
      <w:pPr>
        <w:ind w:right="40"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Organization; Authorization</w:t>
      </w:r>
      <w:r>
        <w:rPr>
          <w:rFonts w:ascii="Times New Roman" w:cs="Times New Roman" w:eastAsia="Times New Roman" w:hAnsi="Times New Roman"/>
          <w:sz w:val="18"/>
          <w:szCs w:val="18"/>
          <w:color w:val="auto"/>
        </w:rPr>
        <w:t xml:space="preserve">. In the event the Stockholder is an individual, the Stockholder has full power, right and legal capacity to execute and deliver this Agreement, to grant the proxy described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and to perform his or her obligations hereunder. In the event the Stockholder is a legal entity, (a) the Stockholder is a legal entity duly organized and validly existing under the Laws of the Stockholder’s jurisdiction of organization, (b) the Stockholder has all requisite corporate or similar power and authority and has taken all corporate or similar action necessary in order to execute and deliver this Agreement, to grant the proxy described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to perform the Stockholder’s obligations under this Agreement and to consummate the transactions contemplated by this Agreement and (c) no approval by any holder of the Stockholder’s equity interests is necessary to approve this Agreement. This Agreement has been duly executed and delivered by the Stockholder and, in the event the Stockholder is an individual and is married and any of the Stockholder’s Subject Shares constitute community property or spousal approval is otherwise required in order for this Agreement to be a valid and binding obligation of the Stockholder, this Agreement has been duly executed and delivered by or on behalf of the Stockholder’s spouse, and this Agreement constitutes a valid and binding agreement of the Stockholder enforceable against the Stockholder in accordance with its terms, subject to the Enforceability Exceptions. If the Stockholder is a trust, no consent of any beneficiary is required for the execution and delivery of this Agreement or the consummation of the transactions contemplated hereby.</w:t>
      </w:r>
    </w:p>
    <w:p>
      <w:pPr>
        <w:spacing w:after="0" w:line="188"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Governmental Filings; No Violations; Certain Contracts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firstLine="647"/>
        <w:spacing w:after="0" w:line="253" w:lineRule="auto"/>
        <w:tabs>
          <w:tab w:leader="none" w:pos="1371"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filings with the SEC under the Exchange Act and such other reports under, and such other compliance with, the Exchange Act as may be required in connection with this Agreement, no filings, notices, reports, consents, registrations, approvals, permits or authorizations are required to be made by the Stockholder with, nor are any required to be made or obtained by the Stockholder with or from any Governmental Authority, in connection with the execution, delivery and performance of this Agreement by the Stockholder and the consummation of the transactions contemplated by this Agreement, except as would not, individually or in the aggregate, reasonably be expected to prevent, delay or impair the ability of the Stockholder to perform the Stockholder’s obligations under this Agreement or to consummate the transactions contemplated by this Agreement.</w:t>
      </w:r>
    </w:p>
    <w:p>
      <w:pPr>
        <w:spacing w:after="0" w:line="185" w:lineRule="exact"/>
        <w:rPr>
          <w:rFonts w:ascii="Times New Roman" w:cs="Times New Roman" w:eastAsia="Times New Roman" w:hAnsi="Times New Roman"/>
          <w:sz w:val="18"/>
          <w:szCs w:val="18"/>
          <w:color w:val="auto"/>
        </w:rPr>
      </w:pPr>
    </w:p>
    <w:p>
      <w:pPr>
        <w:ind w:right="80" w:firstLine="647"/>
        <w:spacing w:after="0" w:line="251" w:lineRule="auto"/>
        <w:tabs>
          <w:tab w:leader="none" w:pos="1381"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by the Stockholder does not, and the consummation of the transactions contemplated by this Agreement by the Stockholder shall not, constitute or result in (i) a breach or violation of, or a default under, the organizational documents of the Stockholder, if applicable or (ii) with or without notice, lapse of time or both, a breach or violation of, a termination (or right of termination) of or default under, the creation or acceleration of any obligations under or the creation of an Encumbrance on any of the assets of the Stockholder pursuant to, any Contract binding upon the Stockholder or, assuming (solely with respect to performance of this Agreement and consummation of the transactions contemplated by this Agreement) compliance with the matters referred to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under any Law to which the Stockholder is subject, except, in each case, as would not, individually or in the aggregate, reasonably be expected to prevent, delay or impair the ability of the Stockholder to perform its obligations under this Agreement or consummate the transactions contemplated by this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0" w:name="page321"/>
    <w:bookmarkEnd w:id="320"/>
    <w:p>
      <w:pPr>
        <w:ind w:right="12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except as would not, individually or in the aggregate, reasonably be expected to prevent, delay or impair the ability of the Stockholder perform its obligations under this Agreement or to consummate the transactions contemplated by this Agreement, (a) there are no Actions pending or, to the knowledge of the Stockholder, threatened against the Stockholder in writing and (b) neither the Stockholder nor any of its Affiliates is a party to or subject to the provisions of any judgment, order, writ, injunction, decree or award of any Governmental Authority, in each case of clause (a) or (b) that challenges any part of this Agreement or the transactions contemplated hereby.</w:t>
      </w:r>
    </w:p>
    <w:p>
      <w:pPr>
        <w:spacing w:after="0" w:line="186"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Ownership of Company Stock; Voting Power</w:t>
      </w:r>
      <w:r>
        <w:rPr>
          <w:rFonts w:ascii="Times New Roman" w:cs="Times New Roman" w:eastAsia="Times New Roman" w:hAnsi="Times New Roman"/>
          <w:sz w:val="18"/>
          <w:szCs w:val="18"/>
          <w:color w:val="auto"/>
        </w:rPr>
        <w:t>. The Stockholder’s signature page hereto correctly sets forth the number of the Stockholder’s Subject Shares as of the date of this Agreement and, other than such Subject Shares, as of the date of this Agreement, there are no other shares of Company Common Stock or Company Preferred Stock held of record or beneficially owned by the Stockholder or in respect of which the Stockholder has full voting power. The Stockholder is the record holder and beneficial owner of all of its Subject Shares and has, and shall have throughout the Applicable Period, full voting power and power of disposition with respect to all such Subject Shares free and clear of any liens, claims, proxies, voting trusts or agreements, options or any other encumbrances (other than Permitted Encumbrances) or restrictions on title, transfer or exercise of any rights of a stockholder in respect of such Subject Shares (collectively, “</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except for any such Encumbrance that (a) may be imposed pursuant to (i) this Agreement, (ii) any applicable restrictions on transfer under U.S. federal securities or state securities or “blue sky” Laws, or (iii) may be included in the Company’s organizational documents, the financing agreements pursuant to any Contemplated Interim Financing, or the terms of any customary custody or similar agreement applicable to Subject Shares held in brokerage accounts or (b) would not, individually or in the aggregate, reasonably be expected to prevent, delay or impair the ability of the Stockholder perform its obligations under this Agreement or to consummate the transactions contemplated by this Agreement. No Person has any contractual or other right or obligation to purchase or otherwise acquire any of the Stockholder’s Subject Shares other than pursuant to the Merger Agreement or as set forth in the Company’s organizational documents.</w:t>
      </w:r>
    </w:p>
    <w:p>
      <w:pPr>
        <w:spacing w:after="0" w:line="197" w:lineRule="exact"/>
        <w:rPr>
          <w:sz w:val="20"/>
          <w:szCs w:val="20"/>
          <w:color w:val="auto"/>
        </w:rPr>
      </w:pPr>
    </w:p>
    <w:p>
      <w:pPr>
        <w:ind w:right="54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Stockholder understands and acknowledges that the Company, Acquiror and Merger Sub are relying upon the Stockholder’s execution, delivery and performance of this Agreement and upon the representations and warranties and covenants of the Stockholder contained in this Agreement.</w:t>
      </w:r>
    </w:p>
    <w:p>
      <w:pPr>
        <w:spacing w:after="0" w:line="176" w:lineRule="exact"/>
        <w:rPr>
          <w:sz w:val="20"/>
          <w:szCs w:val="20"/>
          <w:color w:val="auto"/>
        </w:rPr>
      </w:pPr>
    </w:p>
    <w:p>
      <w:pPr>
        <w:ind w:right="100" w:firstLine="640"/>
        <w:spacing w:after="0" w:line="262"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No agent, broker, investment banker, finder or other intermediary is or shall be entitled to any fee or commission or reimbursement of expenses from Acquiror, Merger Sub or the Company or any of their respective Affiliates in respect of this Agreement, the Merger Agreement or the Transaction Agreements based upon any arrangement or agreement made by or on behalf of such Stockholder.</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21" w:name="page322"/>
    <w:bookmarkEnd w:id="321"/>
    <w:p>
      <w:pPr>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Stockholder Has Adequate Information</w:t>
      </w:r>
      <w:r>
        <w:rPr>
          <w:rFonts w:ascii="Times New Roman" w:cs="Times New Roman" w:eastAsia="Times New Roman" w:hAnsi="Times New Roman"/>
          <w:sz w:val="18"/>
          <w:szCs w:val="18"/>
          <w:color w:val="auto"/>
        </w:rPr>
        <w:t>. The Stockholder acknowledges that the Stockholder is a sophisticated investor with respect to the Stockholder’s Subject Shares and has adequate information concerning the business and financial condition of the Company to make an informed decision regarding the transactions contemplated by this Agreement and has, independently and without reliance upon Acquiror, the Company or any Affiliate of Acquiror and the Company, and based on such information as the Stockholder has deemed appropriate, made the Stockholder’s own analysis and decision to enter into this Agreement. The Stockholder acknowledges that the Stockholder has had the opportunity to seek independent legal advice prior to executing this Agreement.</w:t>
      </w:r>
    </w:p>
    <w:p>
      <w:pPr>
        <w:spacing w:after="0" w:line="185" w:lineRule="exact"/>
        <w:rPr>
          <w:sz w:val="20"/>
          <w:szCs w:val="20"/>
          <w:color w:val="auto"/>
        </w:rPr>
      </w:pPr>
    </w:p>
    <w:p>
      <w:pPr>
        <w:ind w:right="220" w:firstLine="640"/>
        <w:spacing w:after="0" w:line="25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the Stockholder in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neither the Stockholder nor any other Person on behalf of the Stockholder makes any express or implied representation or warranty to Acquiror or the Company in connection with this Agreement or the transactions contemplated by this Agreement, and the Stockholder expressly disclaims any such other representations or warranties.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ACQUIROR</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Acquiror represents and warrants to the Stockholder and the Company as follows:</w:t>
      </w:r>
    </w:p>
    <w:p>
      <w:pPr>
        <w:spacing w:after="0" w:line="220" w:lineRule="exact"/>
        <w:rPr>
          <w:sz w:val="20"/>
          <w:szCs w:val="20"/>
          <w:color w:val="auto"/>
        </w:rPr>
      </w:pPr>
    </w:p>
    <w:p>
      <w:pPr>
        <w:jc w:val="center"/>
        <w:ind w:right="20"/>
        <w:spacing w:after="0"/>
        <w:tabs>
          <w:tab w:leader="none" w:pos="24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Acquiror is a corporation duly organized, validly existing and in good standing under the Laws of Delaware.</w:t>
      </w:r>
    </w:p>
    <w:p>
      <w:pPr>
        <w:spacing w:after="0" w:line="220"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Acquiror has all requisite corporate power and authority and has taken all corporate or similar action necessary in order to execute and deliver this Agreement, to perform its obligations under this Agreement and to consummate the transactions contemplated by this Agreement. No approval by any holder of Acquiror’s equity interests is necessary to approve this Agreement. This Agreement has been duly executed and delivered by Acquiror and constitutes a valid and binding agreement of Acquiror enforceable against Acquiror in accordance with its terms, subject to the Enforceability Exceptions.</w:t>
      </w:r>
    </w:p>
    <w:p>
      <w:pPr>
        <w:spacing w:after="0" w:line="186" w:lineRule="exact"/>
        <w:rPr>
          <w:sz w:val="20"/>
          <w:szCs w:val="20"/>
          <w:color w:val="auto"/>
        </w:rPr>
      </w:pPr>
    </w:p>
    <w:p>
      <w:pPr>
        <w:ind w:right="160" w:firstLine="640"/>
        <w:spacing w:after="0" w:line="257"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made by Acquiror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neither Acquiror nor any other Person on behalf of Acquiror makes any express or implied representation or warranty to the Stockholder or the Company in connection with this Agreement or the transactions contemplated by this Agreement, and Acquiror expressly disclaims any such other representations or warranties.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2" w:name="page323"/>
    <w:bookmarkEnd w:id="3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4"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be terminated at the earliest to occur of: (a) the Effective Time; (b) the termination of the Merger Agreement pursuant to Article XI thereof and (c) the effective date of a written agreement duly executed and delivered by Acquiror and the Stockholder terminating this Agreement in accordance with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any termination pursuant to clauses (a) or (c) of this sentence,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(‘Waiver of Appraisal Rights’),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(‘Public Announcements; Filings; Disclosures’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(‘Release of Claims’),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(‘No Litigation’) and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(‘Further Assurances’) and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survive such termination.</w:t>
      </w:r>
    </w:p>
    <w:p>
      <w:pPr>
        <w:spacing w:after="0" w:line="186" w:lineRule="exact"/>
        <w:rPr>
          <w:sz w:val="20"/>
          <w:szCs w:val="20"/>
          <w:color w:val="auto"/>
        </w:rPr>
      </w:pPr>
    </w:p>
    <w:p>
      <w:pPr>
        <w:ind w:right="20"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rights and remedies of the parties shall be cumulative with and not exclusive of any other remedy conferred hereby.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including the Stockholder’s obligations to vote its Subject Shares as provided in this Agreement (and each party hereby waives any requirement for the securing or posting of any bond in connection with such remedy), this being in addition to any other remedy to which they are entitled at law or in equity.</w:t>
      </w:r>
    </w:p>
    <w:p>
      <w:pPr>
        <w:spacing w:after="0" w:line="187"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among the Parties shall be in writing and shall be deemed to have been duly given</w:t>
      </w:r>
    </w:p>
    <w:p>
      <w:pPr>
        <w:spacing w:after="0" w:line="25" w:lineRule="exact"/>
        <w:rPr>
          <w:sz w:val="20"/>
          <w:szCs w:val="20"/>
          <w:color w:val="auto"/>
        </w:rPr>
      </w:pPr>
    </w:p>
    <w:p>
      <w:pPr>
        <w:jc w:val="both"/>
        <w:ind w:right="60" w:firstLine="7"/>
        <w:spacing w:after="0" w:line="251" w:lineRule="auto"/>
        <w:tabs>
          <w:tab w:leader="none" w:pos="212"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in person, (ii) when delivered after posting in the United States mail having been sent registered or certified mail return receipt requested, postage prepaid, (iii) when delivered by FedEx or other nationally recognized overnight delivery service or (iv) when e-mailed during normal business hours (and otherwise as of the immediately following Business Day), addressed as follows:</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If to Acquiror:</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MedTech Acquisition Corporation</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48 Maple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Greenwich, Connecticut 06830</w:t>
      </w:r>
    </w:p>
    <w:p>
      <w:pPr>
        <w:spacing w:after="0" w:line="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8"/>
          <w:szCs w:val="18"/>
          <w:color w:val="auto"/>
        </w:rPr>
        <w:t>Attn:</w:t>
        <w:tab/>
        <w:t>Christopher C. Dewey</w:t>
      </w:r>
    </w:p>
    <w:p>
      <w:pPr>
        <w:spacing w:after="0" w:line="6"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ccdewey@gmail.com</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3" w:name="page324"/>
    <w:bookmarkEnd w:id="323"/>
    <w:p>
      <w:pPr>
        <w:ind w:left="6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Foley &amp; Lardner LLP</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100 N. Tampa Street, Suite 2700</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Tampa, FL 33602</w:t>
      </w:r>
    </w:p>
    <w:p>
      <w:pPr>
        <w:spacing w:after="0" w:line="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Attn:</w:t>
        <w:tab/>
        <w:t>Kevin Shuler</w:t>
      </w:r>
    </w:p>
    <w:p>
      <w:pPr>
        <w:spacing w:after="0" w:line="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kshuler@foley.com</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TriSalus Life Sciences, Inc.</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6272 W. 91st Avenue</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Westminster, CO 80031</w:t>
      </w:r>
    </w:p>
    <w:p>
      <w:pPr>
        <w:spacing w:after="0" w:line="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Attn:</w:t>
        <w:tab/>
        <w:t>Sean Murphy</w:t>
      </w:r>
    </w:p>
    <w:p>
      <w:pPr>
        <w:spacing w:after="0" w:line="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sean.murphy@trisaluslifesci.com</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Cooley LLP</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10265 Science Center Drive</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Attn:</w:t>
        <w:tab/>
        <w:t>Rama Padmanabhan; Matt Browne</w:t>
      </w:r>
    </w:p>
    <w:p>
      <w:pPr>
        <w:spacing w:after="0" w:line="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rama@cooley.com; mbrowne@cooley.com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Stockholder, to the Stockholder’s address set forth on a signature page hereto.</w:t>
      </w:r>
    </w:p>
    <w:p>
      <w:pPr>
        <w:spacing w:after="0" w:line="218" w:lineRule="exact"/>
        <w:rPr>
          <w:sz w:val="20"/>
          <w:szCs w:val="20"/>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Article XII and</w:t>
      </w:r>
      <w:r>
        <w:rPr>
          <w:rFonts w:ascii="Times New Roman" w:cs="Times New Roman" w:eastAsia="Times New Roman" w:hAnsi="Times New Roman"/>
          <w:sz w:val="17"/>
          <w:szCs w:val="17"/>
          <w:u w:val="single" w:color="auto"/>
          <w:color w:val="auto"/>
        </w:rPr>
        <w:t xml:space="preserve"> Section 1.02 </w:t>
      </w:r>
      <w:r>
        <w:rPr>
          <w:rFonts w:ascii="Times New Roman" w:cs="Times New Roman" w:eastAsia="Times New Roman" w:hAnsi="Times New Roman"/>
          <w:sz w:val="17"/>
          <w:szCs w:val="17"/>
          <w:color w:val="auto"/>
        </w:rPr>
        <w:t>of the Merger Agreement shall apply to this Agreement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640"/>
          </w:cols>
          <w:pgMar w:left="960" w:top="895" w:right="12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2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MedTech Acquisition Corporation</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15875</wp:posOffset>
            </wp:positionV>
            <wp:extent cx="320294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TriSalus Life Sciences, Inc.</w:t>
      </w: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15875</wp:posOffset>
            </wp:positionV>
            <wp:extent cx="320294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288290</wp:posOffset>
            </wp:positionV>
            <wp:extent cx="71342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499"/>
          </w:cols>
          <w:pgMar w:left="960" w:top="895" w:right="1440" w:bottom="1440" w:gutter="0" w:footer="0" w:header="0"/>
        </w:sectPr>
      </w:pPr>
    </w:p>
    <w:bookmarkStart w:id="325" w:name="page326"/>
    <w:bookmarkEnd w:id="325"/>
    <w:p>
      <w:pPr>
        <w:ind w:left="64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2111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321119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Stockholder’s Spouse (if spousal approval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32111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44310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431030" cy="8255"/>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15875</wp:posOffset>
            </wp:positionV>
            <wp:extent cx="393128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931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Name of Person Signing for the Stockholder (If signing in a representative capacity for a corporation, trust, partnership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-426720</wp:posOffset>
            </wp:positionV>
            <wp:extent cx="320294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Title of Person Signing for the Stockholder (If signing in a representative capacity for a corporation, trust, partnership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-426720</wp:posOffset>
            </wp:positionV>
            <wp:extent cx="32029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18"/>
          <w:szCs w:val="18"/>
          <w:color w:val="auto"/>
        </w:rPr>
        <w:t>[Printed Name of Stockholder’s Spouse (if spousal approval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-299720</wp:posOffset>
            </wp:positionV>
            <wp:extent cx="320294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809" w:lineRule="exact"/>
        <w:rPr>
          <w:sz w:val="20"/>
          <w:szCs w:val="20"/>
          <w:color w:val="auto"/>
        </w:rPr>
      </w:pPr>
    </w:p>
    <w:p>
      <w:pPr>
        <w:sectPr>
          <w:pgSz w:w="11900" w:h="16838" w:orient="portrait"/>
          <w:cols w:equalWidth="0" w:num="2">
            <w:col w:w="5480" w:space="720"/>
            <w:col w:w="5040"/>
          </w:cols>
          <w:pgMar w:left="320" w:top="895" w:right="339" w:bottom="1440" w:gutter="0" w:footer="0" w:header="0"/>
          <w:type w:val="continuous"/>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15875</wp:posOffset>
            </wp:positionV>
            <wp:extent cx="2236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23647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40" w:type="dxa"/>
            <w:vAlign w:val="bottom"/>
          </w:tcPr>
          <w:p>
            <w:pPr>
              <w:spacing w:after="0"/>
              <w:rPr>
                <w:sz w:val="20"/>
                <w:szCs w:val="20"/>
                <w:color w:val="auto"/>
              </w:rPr>
            </w:pPr>
          </w:p>
        </w:tc>
        <w:tc>
          <w:tcPr>
            <w:tcW w:w="8300" w:type="dxa"/>
            <w:vAlign w:val="bottom"/>
            <w:gridSpan w:val="3"/>
          </w:tcPr>
          <w:p>
            <w:pPr>
              <w:jc w:val="center"/>
              <w:ind w:right="568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7"/>
                <w:szCs w:val="17"/>
                <w:color w:val="auto"/>
              </w:rPr>
            </w:pPr>
          </w:p>
        </w:tc>
        <w:tc>
          <w:tcPr>
            <w:tcW w:w="26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6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4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8"/>
              </w:rPr>
              <w:t>Company Common Stock:</w:t>
            </w:r>
          </w:p>
        </w:tc>
        <w:tc>
          <w:tcPr>
            <w:tcW w:w="26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w:t>
            </w:r>
          </w:p>
        </w:tc>
        <w:tc>
          <w:tcPr>
            <w:tcW w:w="5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shd w:val="clear" w:color="auto" w:fill="CCEEFF"/>
          </w:tcPr>
          <w:p>
            <w:pPr>
              <w:jc w:val="center"/>
              <w:ind w:right="71"/>
              <w:spacing w:after="0"/>
              <w:rPr>
                <w:sz w:val="20"/>
                <w:szCs w:val="20"/>
                <w:color w:val="auto"/>
              </w:rPr>
            </w:pPr>
            <w:r>
              <w:rPr>
                <w:rFonts w:ascii="Times New Roman" w:cs="Times New Roman" w:eastAsia="Times New Roman" w:hAnsi="Times New Roman"/>
                <w:sz w:val="18"/>
                <w:szCs w:val="18"/>
                <w:color w:val="auto"/>
                <w:w w:val="99"/>
              </w:rPr>
              <w:t>Company Preferred Shares:</w:t>
            </w:r>
          </w:p>
        </w:tc>
        <w:tc>
          <w:tcPr>
            <w:tcW w:w="26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w:t>
            </w:r>
          </w:p>
        </w:tc>
        <w:tc>
          <w:tcPr>
            <w:tcW w:w="5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2940" w:type="dxa"/>
            <w:vAlign w:val="bottom"/>
          </w:tcPr>
          <w:p>
            <w:pPr>
              <w:spacing w:after="0"/>
              <w:rPr>
                <w:sz w:val="24"/>
                <w:szCs w:val="24"/>
                <w:color w:val="auto"/>
              </w:rPr>
            </w:pPr>
          </w:p>
        </w:tc>
        <w:tc>
          <w:tcPr>
            <w:tcW w:w="83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Stockholder Support Agreement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6"/>
        </w:trPr>
        <w:tc>
          <w:tcPr>
            <w:tcW w:w="29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type w:val="continuous"/>
        </w:sectPr>
      </w:pPr>
    </w:p>
    <w:bookmarkStart w:id="326" w:name="page327"/>
    <w:bookmarkEnd w:id="326"/>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JOINDER</w:t>
      </w:r>
    </w:p>
    <w:p>
      <w:pPr>
        <w:spacing w:after="0" w:line="220" w:lineRule="exact"/>
        <w:rPr>
          <w:sz w:val="20"/>
          <w:szCs w:val="20"/>
          <w:color w:val="auto"/>
        </w:rPr>
      </w:pPr>
    </w:p>
    <w:p>
      <w:pPr>
        <w:ind w:right="60" w:firstLine="640"/>
        <w:spacing w:after="0" w:line="258"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b w:val="1"/>
          <w:bCs w:val="1"/>
          <w:u w:val="single" w:color="auto"/>
          <w:color w:val="auto"/>
        </w:rPr>
        <w:t>Joinder Agreement</w:t>
      </w:r>
      <w:r>
        <w:rPr>
          <w:rFonts w:ascii="Times New Roman" w:cs="Times New Roman" w:eastAsia="Times New Roman" w:hAnsi="Times New Roman"/>
          <w:sz w:val="18"/>
          <w:szCs w:val="18"/>
          <w:color w:val="auto"/>
        </w:rPr>
        <w:t>”) is made as of the date written below by the undersigned (the “</w:t>
      </w:r>
      <w:r>
        <w:rPr>
          <w:rFonts w:ascii="Times New Roman" w:cs="Times New Roman" w:eastAsia="Times New Roman" w:hAnsi="Times New Roman"/>
          <w:sz w:val="18"/>
          <w:szCs w:val="18"/>
          <w:b w:val="1"/>
          <w:bCs w:val="1"/>
          <w:u w:val="single" w:color="auto"/>
          <w:color w:val="auto"/>
        </w:rPr>
        <w:t>Joining Party</w:t>
      </w:r>
      <w:r>
        <w:rPr>
          <w:rFonts w:ascii="Times New Roman" w:cs="Times New Roman" w:eastAsia="Times New Roman" w:hAnsi="Times New Roman"/>
          <w:sz w:val="18"/>
          <w:szCs w:val="18"/>
          <w:color w:val="auto"/>
        </w:rPr>
        <w:t>”) in accordance with the Stockholder Support Agreement dated as of November 11, 2022 (the “</w:t>
      </w:r>
      <w:r>
        <w:rPr>
          <w:rFonts w:ascii="Times New Roman" w:cs="Times New Roman" w:eastAsia="Times New Roman" w:hAnsi="Times New Roman"/>
          <w:sz w:val="18"/>
          <w:szCs w:val="18"/>
          <w:b w:val="1"/>
          <w:bCs w:val="1"/>
          <w:u w:val="single" w:color="auto"/>
          <w:color w:val="auto"/>
        </w:rPr>
        <w:t>Support Agreement</w:t>
      </w:r>
      <w:r>
        <w:rPr>
          <w:rFonts w:ascii="Times New Roman" w:cs="Times New Roman" w:eastAsia="Times New Roman" w:hAnsi="Times New Roman"/>
          <w:sz w:val="18"/>
          <w:szCs w:val="18"/>
          <w:color w:val="auto"/>
        </w:rPr>
        <w:t>”) by and between Acquiror and the stockholder of the Company that is party thereto as the same may be amended, supplemented or otherwise modified from time to time. Capitalized terms used herein and not otherwise defined shall have the meaning ascribed to them in the Support Agreement.</w:t>
      </w:r>
    </w:p>
    <w:p>
      <w:pPr>
        <w:spacing w:after="0" w:line="181"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The Joining Party hereby acknowledges, agrees and confirms that, by its execution of this Joinder Agreement, the Joining Party shall be deemed to be a party to, and a “Stockholder” under, the Support Agreement as of the date hereof and shall have all of the rights and obligations of a Stockholder as if it had executed the Support Agreement. The Joining Party hereby ratifies, as of the date hereof, and agrees to be bound by, all of the terms, provisions and conditions contained in the Support Agreement.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duly executed this Joinder Agreement as of the date written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 20[●]</w:t>
      </w:r>
    </w:p>
    <w:p>
      <w:pPr>
        <w:spacing w:after="0" w:line="200" w:lineRule="exact"/>
        <w:rPr>
          <w:sz w:val="20"/>
          <w:szCs w:val="20"/>
          <w:color w:val="auto"/>
        </w:rPr>
      </w:pPr>
    </w:p>
    <w:p>
      <w:pPr>
        <w:spacing w:after="0" w:line="2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Email Address:</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UNDERWRITING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is made and entered into this 11th day of November, 2022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by and between Raymond James &amp; Associates,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Raymond James</w:t>
      </w:r>
      <w:r>
        <w:rPr>
          <w:rFonts w:ascii="Times New Roman" w:cs="Times New Roman" w:eastAsia="Times New Roman" w:hAnsi="Times New Roman"/>
          <w:sz w:val="18"/>
          <w:szCs w:val="18"/>
          <w:color w:val="auto"/>
        </w:rPr>
        <w:t>”) and MedTech Acquisition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0" w:lineRule="exact"/>
        <w:rPr>
          <w:sz w:val="20"/>
          <w:szCs w:val="20"/>
          <w:color w:val="auto"/>
        </w:rPr>
      </w:pPr>
    </w:p>
    <w:p>
      <w:pPr>
        <w:ind w:right="200"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Raymond James and the Company entered into that certain Underwriting Agreement dated December 17, 2020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capitalized terms used herein and not otherwise defined herein shall have the meaning ascribed to them in the Underwriting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Raymond James served as the sole underwriter with respect to the offer and sale of Units by the Company pursuant to its initial public offering, with each Unit consisting of one share of Common Stock and one-third of one Warrant.</w:t>
      </w:r>
    </w:p>
    <w:p>
      <w:pPr>
        <w:spacing w:after="0" w:line="177" w:lineRule="exact"/>
        <w:rPr>
          <w:sz w:val="20"/>
          <w:szCs w:val="20"/>
          <w:color w:val="auto"/>
        </w:rPr>
      </w:pPr>
    </w:p>
    <w:p>
      <w:pPr>
        <w:ind w:right="260"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and delivery of this Amendment, the Company is entering into that certain Agreement and Plan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(as may be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Company, MTAC Merger Sub, Inc., a Delaware corporation and wholly-owned subsidiary of the Company (the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TriSalus Life Sciences, Inc., a Delaware corporation (the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pursuant to which the Merger Sub shall merge with and into Target, with Target continuing as the surviving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20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consummation of the Merger would constitute a Business Combination for purposes of the Underwriting Agreement and, absent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would entitle Raymond James to receive payment of the Deferred Discount pursuant to the Underwriting Agreement.</w:t>
      </w:r>
    </w:p>
    <w:p>
      <w:pPr>
        <w:spacing w:after="0" w:line="156" w:lineRule="exact"/>
        <w:rPr>
          <w:sz w:val="20"/>
          <w:szCs w:val="20"/>
          <w:color w:val="auto"/>
        </w:rPr>
      </w:pPr>
    </w:p>
    <w:p>
      <w:pPr>
        <w:ind w:right="340" w:firstLine="640"/>
        <w:spacing w:after="0" w:line="312"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has engaged Raymond James as a placement agent in connection with the potential financing relating to the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whereby Raymond James will be paid customary fees and expenses upon the terms and conditions of such engagement (the “</w:t>
      </w:r>
      <w:r>
        <w:rPr>
          <w:rFonts w:ascii="Times New Roman" w:cs="Times New Roman" w:eastAsia="Times New Roman" w:hAnsi="Times New Roman"/>
          <w:sz w:val="17"/>
          <w:szCs w:val="17"/>
          <w:b w:val="1"/>
          <w:bCs w:val="1"/>
          <w:color w:val="auto"/>
        </w:rPr>
        <w:t>Placement Agent Fees</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right="340"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to the Underwriting Agreement wish to amend certain provisions of the Underwriting Agreement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This Amendment constitutes a written agreement signed by the necessary parties in order to effectuate the amendments to the Underwriting Agreement specified below.</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covenants and agreements set forth herein, the parties hereto agree 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 of Deferred Underwriting Commission</w:t>
      </w:r>
      <w:r>
        <w:rPr>
          <w:rFonts w:ascii="Times New Roman" w:cs="Times New Roman" w:eastAsia="Times New Roman" w:hAnsi="Times New Roman"/>
          <w:sz w:val="18"/>
          <w:szCs w:val="18"/>
          <w:color w:val="auto"/>
        </w:rPr>
        <w:t>. The parties affirm and agree that, pursuant to the Underwriting Agreement, the total aggregate deferred underwriting commission, including the Deferred Discount and all related fees, that would be payable to Raymond James upon the occurrence of a Business Combination is equal to $8,750,000 (the “</w:t>
      </w:r>
      <w:r>
        <w:rPr>
          <w:rFonts w:ascii="Times New Roman" w:cs="Times New Roman" w:eastAsia="Times New Roman" w:hAnsi="Times New Roman"/>
          <w:sz w:val="18"/>
          <w:szCs w:val="18"/>
          <w:b w:val="1"/>
          <w:bCs w:val="1"/>
          <w:color w:val="auto"/>
        </w:rPr>
        <w:t>Commission Payment</w:t>
      </w:r>
      <w:r>
        <w:rPr>
          <w:rFonts w:ascii="Times New Roman" w:cs="Times New Roman" w:eastAsia="Times New Roman" w:hAnsi="Times New Roman"/>
          <w:sz w:val="18"/>
          <w:szCs w:val="18"/>
          <w:color w:val="auto"/>
        </w:rPr>
        <w:t>”). Notwithstanding the foregoing, the parties agree that the Merger will constitute a Business Combination and, subject to the payment of the Placement Agent Fees, Raymond James hereby irrevocably waives its right to the Commission Payment that would otherwise be payable to Raymond James by the Company upon the consummation of the Merger, and that no deferred underwriting commission of any kind or amount shall be owed or paid to Raymond James or payable by the Company or any of its successors or affiliates if the Merger is consummated. The foregoing waiver shall only constitute a waiver of Raymond James’ rights to receive the Commission Payment solely as to the Merger (and if the Merger is not consummated, shall not constitute a waiver of such right to the Commission Payment should the Company consummate an initial Business Combination with another party), and shall not constitute a waiver of, or otherwise affect, any of Raymond James’ other rights under the Underwriting Agreement or any rights to remuneration pursuant to any other written agreement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342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In furtherance of Section 1.1, the parties hereto agree that, effective immediately prior to the consummation of the Merger and without any further notice or action by the parties hereto, the Underwriting Agreement shall be automatically amended as set forth in this Section 1.2.</w:t>
      </w:r>
    </w:p>
    <w:p>
      <w:pPr>
        <w:spacing w:after="0" w:line="163" w:lineRule="exact"/>
        <w:rPr>
          <w:sz w:val="20"/>
          <w:szCs w:val="20"/>
          <w:color w:val="auto"/>
        </w:rPr>
      </w:pPr>
    </w:p>
    <w:p>
      <w:pPr>
        <w:ind w:left="1280" w:hanging="633"/>
        <w:spacing w:after="0"/>
        <w:tabs>
          <w:tab w:leader="none" w:pos="12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paragraph of Section 1 of the Underwriting Agreement is hereby deleted in its entirety.</w:t>
      </w:r>
    </w:p>
    <w:p>
      <w:pPr>
        <w:spacing w:after="0" w:line="219" w:lineRule="exact"/>
        <w:rPr>
          <w:rFonts w:ascii="Times New Roman" w:cs="Times New Roman" w:eastAsia="Times New Roman" w:hAnsi="Times New Roman"/>
          <w:sz w:val="18"/>
          <w:szCs w:val="18"/>
          <w:color w:val="auto"/>
        </w:rPr>
      </w:pPr>
    </w:p>
    <w:p>
      <w:pPr>
        <w:ind w:left="1280" w:right="360" w:hanging="633"/>
        <w:spacing w:after="0" w:line="277" w:lineRule="auto"/>
        <w:tabs>
          <w:tab w:leader="none" w:pos="12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the “Deferred Discount” in Section 2 of the Underwriting Agreement, including, without limitation, those references included below, are hereby deleted:</w:t>
      </w:r>
    </w:p>
    <w:p>
      <w:pPr>
        <w:spacing w:after="0" w:line="162" w:lineRule="exact"/>
        <w:rPr>
          <w:rFonts w:ascii="Times New Roman" w:cs="Times New Roman" w:eastAsia="Times New Roman" w:hAnsi="Times New Roman"/>
          <w:sz w:val="18"/>
          <w:szCs w:val="18"/>
          <w:color w:val="auto"/>
        </w:rPr>
      </w:pPr>
    </w:p>
    <w:p>
      <w:pPr>
        <w:ind w:left="1280" w:right="6520"/>
        <w:spacing w:after="0" w:line="5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“(including the Deferred Discount)” “(including $7,700,000 of Deferred Discount)”</w:t>
      </w: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$0.35 per Additional Unit of Deferred Discount)”</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4(oo) of the Underwriting Agreement is hereby amended and restated in its entirety as follows:</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“[Reserved.]”</w:t>
      </w:r>
    </w:p>
    <w:p>
      <w:pPr>
        <w:spacing w:after="0" w:line="2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along with the Underwriting Agreement, contains the entire understanding of the parties with respect to the subject matter hereof and supersedes all prior agreements, understandings, discussions and representations, oral or written, with respect to such matters, which the parties acknowledge have been merged into this Amendment.</w:t>
      </w:r>
    </w:p>
    <w:p>
      <w:pPr>
        <w:spacing w:after="0" w:line="176" w:lineRule="exact"/>
        <w:rPr>
          <w:sz w:val="20"/>
          <w:szCs w:val="20"/>
          <w:color w:val="auto"/>
        </w:rPr>
      </w:pPr>
    </w:p>
    <w:p>
      <w:pPr>
        <w:ind w:right="440"/>
        <w:spacing w:after="0" w:line="257"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Effect; Termination</w:t>
      </w:r>
      <w:r>
        <w:rPr>
          <w:rFonts w:ascii="Times New Roman" w:cs="Times New Roman" w:eastAsia="Times New Roman" w:hAnsi="Times New Roman"/>
          <w:sz w:val="18"/>
          <w:szCs w:val="18"/>
          <w:color w:val="auto"/>
        </w:rPr>
        <w:t>. Except for the amendments expressly set forth in this Amendment, all other terms, conditions, and provisions of the Underwriting Agreement not in conflict with the Amendment, shall remain in full force and effect. In the event the Merger Agreement is terminated in accordance with its terms, this Amendment shall automatically terminate and be of no further force and effect, and the Underwriting Agreement shall continue in accordance with its original terms.</w:t>
      </w:r>
    </w:p>
    <w:p>
      <w:pPr>
        <w:spacing w:after="0" w:line="181"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two or more counterparts, each of which shall be deemed an original, but all of which together shall constitute one and the same instrument.</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329" w:name="page330"/>
    <w:bookmarkEnd w:id="329"/>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Amendment as of the day and year first above written.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MEDTECH ACQUISITION CORPORATION</w:t>
            </w:r>
          </w:p>
        </w:tc>
        <w:tc>
          <w:tcPr>
            <w:tcW w:w="212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RAYMOND JAMES &amp; ASSOCIATES, INC.</w:t>
            </w:r>
          </w:p>
        </w:tc>
      </w:tr>
      <w:tr>
        <w:trPr>
          <w:trHeight w:val="42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Christopher C. Dewey</w:t>
            </w:r>
          </w:p>
        </w:tc>
        <w:tc>
          <w:tcPr>
            <w:tcW w:w="212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Ed Newman</w:t>
            </w:r>
          </w:p>
        </w:tc>
      </w:tr>
      <w:tr>
        <w:trPr>
          <w:trHeight w:val="188"/>
        </w:trPr>
        <w:tc>
          <w:tcPr>
            <w:tcW w:w="460" w:type="dxa"/>
            <w:vAlign w:val="bottom"/>
          </w:tcPr>
          <w:p>
            <w:pPr>
              <w:spacing w:after="0"/>
              <w:rPr>
                <w:sz w:val="16"/>
                <w:szCs w:val="16"/>
                <w:color w:val="auto"/>
              </w:rPr>
            </w:pPr>
          </w:p>
        </w:tc>
        <w:tc>
          <w:tcPr>
            <w:tcW w:w="29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 Christopher C. Dewey</w:t>
            </w:r>
          </w:p>
        </w:tc>
        <w:tc>
          <w:tcPr>
            <w:tcW w:w="212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50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 Ed Newman</w:t>
            </w:r>
          </w:p>
        </w:tc>
      </w:tr>
      <w:tr>
        <w:trPr>
          <w:trHeight w:val="232"/>
        </w:trPr>
        <w:tc>
          <w:tcPr>
            <w:tcW w:w="4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2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427"/>
        </w:trPr>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840" w:type="dxa"/>
            <w:vAlign w:val="bottom"/>
            <w:gridSpan w:val="3"/>
          </w:tcPr>
          <w:p>
            <w:pPr>
              <w:jc w:val="center"/>
              <w:ind w:right="3291"/>
              <w:spacing w:after="0"/>
              <w:rPr>
                <w:sz w:val="20"/>
                <w:szCs w:val="20"/>
                <w:color w:val="auto"/>
              </w:rPr>
            </w:pPr>
            <w:r>
              <w:rPr>
                <w:rFonts w:ascii="Times New Roman" w:cs="Times New Roman" w:eastAsia="Times New Roman" w:hAnsi="Times New Roman"/>
                <w:sz w:val="18"/>
                <w:szCs w:val="18"/>
                <w:i w:val="1"/>
                <w:iCs w:val="1"/>
                <w:color w:val="auto"/>
                <w:w w:val="98"/>
              </w:rPr>
              <w:t>[Signature Page to Amendment to Underwriting Agreement]</w:t>
            </w:r>
          </w:p>
        </w:tc>
      </w:tr>
      <w:tr>
        <w:trPr>
          <w:trHeight w:val="640"/>
        </w:trPr>
        <w:tc>
          <w:tcPr>
            <w:tcW w:w="4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ind w:right="451"/>
              <w:spacing w:after="0"/>
              <w:rPr>
                <w:sz w:val="20"/>
                <w:szCs w:val="20"/>
                <w:color w:val="auto"/>
              </w:rPr>
            </w:pPr>
            <w:r>
              <w:rPr>
                <w:rFonts w:ascii="Times New Roman" w:cs="Times New Roman" w:eastAsia="Times New Roman" w:hAnsi="Times New Roman"/>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Sheet between</w:t>
      </w:r>
    </w:p>
    <w:p>
      <w:pPr>
        <w:spacing w:after="0" w:line="220" w:lineRule="exact"/>
        <w:rPr>
          <w:sz w:val="20"/>
          <w:szCs w:val="20"/>
          <w:color w:val="auto"/>
        </w:rPr>
      </w:pPr>
    </w:p>
    <w:p>
      <w:pPr>
        <w:jc w:val="center"/>
        <w:ind w:left="340" w:right="2520"/>
        <w:spacing w:after="0" w:line="264" w:lineRule="auto"/>
        <w:rPr>
          <w:sz w:val="20"/>
          <w:szCs w:val="20"/>
          <w:color w:val="auto"/>
        </w:rPr>
      </w:pPr>
      <w:r>
        <w:rPr>
          <w:rFonts w:ascii="Times New Roman" w:cs="Times New Roman" w:eastAsia="Times New Roman" w:hAnsi="Times New Roman"/>
          <w:sz w:val="18"/>
          <w:szCs w:val="18"/>
          <w:b w:val="1"/>
          <w:bCs w:val="1"/>
          <w:color w:val="auto"/>
        </w:rPr>
        <w:t>MedTech Acquisition Corporation (the “Issuer”), TriSalus Life Sciences, Inc. (the “Target”) and Magnetar Capital LLC, on behalf of one or more affiliates (the “Purchaser”)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11, 2022</w:t>
      </w:r>
    </w:p>
    <w:p>
      <w:pPr>
        <w:spacing w:after="0" w:line="22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SUMMARY OF TERMS IS FOR DISCUSSION PURPOSES ONLY. OTHER THAN THE SECTIONS OF THIS TERM SHEET TITLED “CONFIDENTIALITY”, “EXPENSES”, “GUARANTY”, “INDEMNIFICATION”, “EXCLUSIVITY”, “TERMINATION”, “WAIVER AGAINST TRUST ACCOUNT”, AND “GOVERNING LAW”, EACH OF WHICH SHALL BE BINDING ON THE PARTIES HERETO. NOTHING HEREIN IS INTENDED TO OR SHALL CONSTITUTE OR EVIDENCE A BINDING OFFER OR AGREEMENT AMONG THE PARTIES, BUT RATHER FORMS THE GENERAL BASIS FOR DISCUSSIONS RELATING TO SUCH FINANCING AND THE GENERAL BASIS ON WHICH THE PURCHASER IS PREPARED TO CONTINUE NEGOTIATIONS AND DUE DILIGENCE, AND NO OBLIGATION AMONG THE PARTIES SHALL ARISE UNLESS AND UNTIL ALL NECESSARY CONSENTS AND APPROVALS HAVE BEEN OBTAINED AND MUTUALLY SATISFACTORY DEFINITIVE WRITTEN AGREEMENTS HAVE BEEN PREPARED AND EXECUTED.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MedTech Acquisition Corporation, a Delaware corporation.</w:t>
            </w:r>
          </w:p>
        </w:tc>
      </w:tr>
      <w:tr>
        <w:trPr>
          <w:trHeight w:val="427"/>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Senior secured convertible notes (the “Notes”).</w:t>
            </w:r>
          </w:p>
        </w:tc>
      </w:tr>
      <w:tr>
        <w:trPr>
          <w:trHeight w:val="427"/>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Issuance Amount:</w:t>
            </w: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Up to $50,000,000 total principal amount, not including the Greenshoe.</w:t>
            </w:r>
          </w:p>
        </w:tc>
      </w:tr>
      <w:tr>
        <w:trPr>
          <w:trHeight w:val="40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Funded Indebtedness Amount</w:t>
            </w: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 the event that legislative inclusion is received on or before January 31, 2023, resulting in either (i) a</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permanent code (to take effect no later than April 1, 2023) is established in respect of the TriNav Infusion</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System that results in a payment amount to the provider that is equal to or higher than the current amount that</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providers are reimbursed by Medicare in respect of the TriNav Infusion System, then the “Funded Indebtedness</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Amount” (i.e., the Issuance Amount excluding the Greenshoe) shall equal $50,000,000 principal amount; or</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(ii) the TPP in respect of the TriNav Infusion System is extended for a period of not less than one year (i.e. to at</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least through December 31, 2023) and such extension results in a payment amount to the provider that is equal</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to or higher than the current amount that providers are reimbursed by Medicare, then, the Funded Indebtedness</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Amount shall equal $25,000,000 principal amount. Notwithstanding the foregoing, solely in respect of clause</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(ii) of the immediately preceding sentence, if, following the closing but prior to December 31, 2023, a</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permanent code (to take effect no later than January 1, 2024) is established in respect of the TriNav Infusion</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System that results in a payment amount to the provider that is equal to or higher than the current amount that</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providers are reimbursed by Medicare, then, subject to the satisfaction of customary bringdown conditions, the</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Funded Indebtedness Amount shall be increased by $25,000,000 principal amount (i.e., the Purchaser shall</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fund an additional $25,000,000 principal amount of Notes beyond the $25,000,000 principal amount of Notes</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initially funded by the Purchaser pursuant to clause (ii) of the immediately preceding sentence). If the payment</w:t>
            </w:r>
          </w:p>
        </w:tc>
      </w:tr>
      <w:tr>
        <w:trPr>
          <w:trHeight w:val="213"/>
        </w:trPr>
        <w:tc>
          <w:tcPr>
            <w:tcW w:w="2780" w:type="dxa"/>
            <w:vAlign w:val="bottom"/>
          </w:tcPr>
          <w:p>
            <w:pPr>
              <w:spacing w:after="0"/>
              <w:rPr>
                <w:sz w:val="18"/>
                <w:szCs w:val="18"/>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amount is unknown, the Purchaser may elect to delay funding until it is known or may elect to terminate this</w:t>
            </w:r>
          </w:p>
        </w:tc>
      </w:tr>
      <w:tr>
        <w:trPr>
          <w:trHeight w:val="232"/>
        </w:trPr>
        <w:tc>
          <w:tcPr>
            <w:tcW w:w="2780" w:type="dxa"/>
            <w:vAlign w:val="bottom"/>
          </w:tcPr>
          <w:p>
            <w:pPr>
              <w:spacing w:after="0"/>
              <w:rPr>
                <w:sz w:val="20"/>
                <w:szCs w:val="20"/>
                <w:color w:val="auto"/>
              </w:rPr>
            </w:pPr>
          </w:p>
        </w:tc>
        <w:tc>
          <w:tcPr>
            <w:tcW w:w="8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Term Sheet.</w:t>
            </w:r>
          </w:p>
        </w:tc>
      </w:tr>
      <w:tr>
        <w:trPr>
          <w:trHeight w:val="667"/>
        </w:trPr>
        <w:tc>
          <w:tcPr>
            <w:tcW w:w="278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31" w:name="page332"/>
    <w:bookmarkEnd w:id="3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Greenshoe:</w:t>
            </w: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For the two year period following the Closing Date, the Purchaser will have the option to purchase from, and</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Issuer will issue upon exercise of such option, additional convertible promissory notes in the aggregate</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principal amount up to the aggregate Funded Indebtedness Amount (“Second Tranche Notes”) (e.g., if the</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Purchaser has only become obligated to fund $25,000,000 principal amount of Notes, then the foregoing</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Greenshoe will be exercisable only for up to $25,000,000 principal amount). The terms of the Second Tranche</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Notes will be identical to those of the initial Notes issued to Purchaser, except that (i) in a situation where the</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Greenshoe is exercised following the one-year anniversary of the Closing Date, the Second Tranche Notes will,</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at the option of the Purchaser, have a Maturity Date (which will be either the 15th day or the last day of a</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calendar month) that approximates as closely as possible the three-year anniversary of the issuance date of the</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Second Tranche Notes, and (ii) the Conversion Price of such Second Tranche Notes shall be equal to the then-</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applicable Conversion Price of the initial Notes issued to Purchaser and such Conversion Price shall only reset</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(if ever) to the same Conversion Price of the initial Notes issued to Purchaser when the Conversion Price of the</w:t>
            </w:r>
          </w:p>
        </w:tc>
      </w:tr>
      <w:tr>
        <w:trPr>
          <w:trHeight w:val="232"/>
        </w:trPr>
        <w:tc>
          <w:tcPr>
            <w:tcW w:w="2260" w:type="dxa"/>
            <w:vAlign w:val="bottom"/>
          </w:tcPr>
          <w:p>
            <w:pPr>
              <w:spacing w:after="0"/>
              <w:rPr>
                <w:sz w:val="20"/>
                <w:szCs w:val="20"/>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initial Notes is reset as set forth below.</w:t>
            </w:r>
          </w:p>
        </w:tc>
      </w:tr>
      <w:tr>
        <w:trPr>
          <w:trHeight w:val="427"/>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$1,000 per Note.</w:t>
            </w:r>
          </w:p>
        </w:tc>
      </w:tr>
      <w:tr>
        <w:trPr>
          <w:trHeight w:val="427"/>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100% of Par.</w:t>
            </w:r>
          </w:p>
        </w:tc>
      </w:tr>
      <w:tr>
        <w:trPr>
          <w:trHeight w:val="40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Closing Date:</w:t>
            </w: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Substantially concurrent with the closing of the Issuer’s business combination with TriSalus Life Sciences, Inc.</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“Target”, and such transaction, the “Business Combination”). The Business Combination is expected to</w:t>
            </w:r>
          </w:p>
        </w:tc>
      </w:tr>
      <w:tr>
        <w:trPr>
          <w:trHeight w:val="232"/>
        </w:trPr>
        <w:tc>
          <w:tcPr>
            <w:tcW w:w="2260" w:type="dxa"/>
            <w:vAlign w:val="bottom"/>
          </w:tcPr>
          <w:p>
            <w:pPr>
              <w:spacing w:after="0"/>
              <w:rPr>
                <w:sz w:val="20"/>
                <w:szCs w:val="20"/>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close in the first quarter of 2023.</w:t>
            </w:r>
          </w:p>
        </w:tc>
      </w:tr>
      <w:tr>
        <w:trPr>
          <w:trHeight w:val="427"/>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Notes will be the Issuer’s senior secured obligations.</w:t>
            </w:r>
          </w:p>
        </w:tc>
      </w:tr>
      <w:tr>
        <w:trPr>
          <w:trHeight w:val="427"/>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Three years from the date of issuance of the Notes.</w:t>
            </w:r>
          </w:p>
        </w:tc>
      </w:tr>
      <w:tr>
        <w:trPr>
          <w:trHeight w:val="40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Issuer will use the net proceeds from its issuance of the Notes to pay its out-of-pocket fees and expenses</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related to the negotiation, documentation and consummation of the Business Combination. Any remaining net</w:t>
            </w:r>
          </w:p>
        </w:tc>
      </w:tr>
      <w:tr>
        <w:trPr>
          <w:trHeight w:val="232"/>
        </w:trPr>
        <w:tc>
          <w:tcPr>
            <w:tcW w:w="2260" w:type="dxa"/>
            <w:vAlign w:val="bottom"/>
          </w:tcPr>
          <w:p>
            <w:pPr>
              <w:spacing w:after="0"/>
              <w:rPr>
                <w:sz w:val="20"/>
                <w:szCs w:val="20"/>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proceeds will be used for working capital and general corporate purposes.</w:t>
            </w:r>
          </w:p>
        </w:tc>
      </w:tr>
      <w:tr>
        <w:trPr>
          <w:trHeight w:val="640"/>
        </w:trPr>
        <w:tc>
          <w:tcPr>
            <w:tcW w:w="226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8"/>
                <w:szCs w:val="18"/>
                <w:color w:val="auto"/>
              </w:rPr>
              <w:t>- 2 -</w:t>
            </w:r>
          </w:p>
        </w:tc>
      </w:tr>
    </w:tbl>
    <w:p>
      <w:pPr>
        <w:sectPr>
          <w:pgSz w:w="11900" w:h="16838" w:orient="portrait"/>
          <w:cols w:equalWidth="0" w:num="1">
            <w:col w:w="11240"/>
          </w:cols>
          <w:pgMar w:left="320" w:top="891" w:right="339" w:bottom="1440" w:gutter="0" w:footer="0" w:header="0"/>
        </w:sectPr>
      </w:pPr>
    </w:p>
    <w:bookmarkStart w:id="332" w:name="page333"/>
    <w:bookmarkEnd w:id="3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8.00% per annum, compounding semi-annually, paid-in-kind.</w:t>
            </w:r>
          </w:p>
        </w:tc>
      </w:tr>
      <w:tr>
        <w:trPr>
          <w:trHeight w:val="40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Payable semi-annually in arrears on the two days (each of which will be either the 15th day or the first day of a</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calendar month) that approximate as closely as possible the six-month and one-year anniversary, respectively,</w:t>
            </w:r>
          </w:p>
        </w:tc>
      </w:tr>
      <w:tr>
        <w:trPr>
          <w:trHeight w:val="232"/>
        </w:trPr>
        <w:tc>
          <w:tcPr>
            <w:tcW w:w="284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 the issuance date of the Notes.</w:t>
            </w:r>
          </w:p>
        </w:tc>
      </w:tr>
      <w:tr>
        <w:trPr>
          <w:trHeight w:val="40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 Price:</w:t>
            </w: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$10.00 per Common Share, subject to customary adjustments, including in respect of equity issued in</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connection with any equity line of credit. The Conversion Price will also reset upon each of the 9-, 15- and 24-</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month anniversaries of the initial issuance date of the Notes to be equal to the lowest of (i) $10.00 per Common</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 subject to customary adjustments, (ii) the trailing 10-trading day VWAP of the Common Stock and</w:t>
            </w:r>
          </w:p>
        </w:tc>
      </w:tr>
      <w:tr>
        <w:trPr>
          <w:trHeight w:val="232"/>
        </w:trPr>
        <w:tc>
          <w:tcPr>
            <w:tcW w:w="284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(iii) the then-current reset Conversion Price.</w:t>
            </w:r>
          </w:p>
        </w:tc>
      </w:tr>
      <w:tr>
        <w:trPr>
          <w:trHeight w:val="40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Conversion Blocker:</w:t>
            </w: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 the event that conversion of the Notes would cause any holder thereof, together with its affiliates, to</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beneficially own more that 9.99% of the number of Common Shares outstanding immediately after giving</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effect to such issuance, then such issuance (or the applicable portion of such issuance) shall be held in abeyance</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until such time as such issuance (or the applicable portion of such issuance) may occur without violating the</w:t>
            </w:r>
          </w:p>
        </w:tc>
      </w:tr>
      <w:tr>
        <w:trPr>
          <w:trHeight w:val="232"/>
        </w:trPr>
        <w:tc>
          <w:tcPr>
            <w:tcW w:w="284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9.99% restriction referred to herein.</w:t>
            </w:r>
          </w:p>
        </w:tc>
      </w:tr>
      <w:tr>
        <w:trPr>
          <w:trHeight w:val="427"/>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Type:</w:t>
            </w: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Shares.</w:t>
            </w:r>
          </w:p>
        </w:tc>
      </w:tr>
      <w:tr>
        <w:trPr>
          <w:trHeight w:val="427"/>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Redemption Option:</w:t>
            </w: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None.</w:t>
            </w:r>
          </w:p>
        </w:tc>
      </w:tr>
      <w:tr>
        <w:trPr>
          <w:trHeight w:val="427"/>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Mandatory Conversion Option:</w:t>
            </w: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None.</w:t>
            </w:r>
          </w:p>
        </w:tc>
      </w:tr>
      <w:tr>
        <w:trPr>
          <w:trHeight w:val="427"/>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Customary for similar transactions.</w:t>
            </w:r>
          </w:p>
        </w:tc>
      </w:tr>
      <w:tr>
        <w:trPr>
          <w:trHeight w:val="40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Any dividend declared by the Issuer on the Common Shares shall receive written consent by the Purchaser and</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 paid to the holders of the Notes on an as-converted basis based on the applicable Conversion Price at the</w:t>
            </w:r>
          </w:p>
        </w:tc>
      </w:tr>
      <w:tr>
        <w:trPr>
          <w:trHeight w:val="232"/>
        </w:trPr>
        <w:tc>
          <w:tcPr>
            <w:tcW w:w="284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time of the dividend.</w:t>
            </w:r>
          </w:p>
        </w:tc>
      </w:tr>
      <w:tr>
        <w:trPr>
          <w:trHeight w:val="40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 of Refusal:</w:t>
            </w: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For as long as the Notes are outstanding, the Purchaser shall have a right of refusal to participate in any debt or</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capital raise conducted as a private placement (excluding any equity line of credit or any PIPE</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transaction that would be consummated substantially concurrent with the Closing Date) conducted by the Issuer</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 an amount sufficient for the Purchaser to maintain its implied, fully diluted equity ownership percentage in</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Issuer (on a pro rata, as-converted basis based on the applicable Conversion Price at the time of the capital</w:t>
            </w:r>
          </w:p>
        </w:tc>
      </w:tr>
      <w:tr>
        <w:trPr>
          <w:trHeight w:val="232"/>
        </w:trPr>
        <w:tc>
          <w:tcPr>
            <w:tcW w:w="284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raise).</w:t>
            </w:r>
          </w:p>
        </w:tc>
      </w:tr>
      <w:tr>
        <w:trPr>
          <w:trHeight w:val="408"/>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Permitted Indebtedness:</w:t>
            </w: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than Indebtedness reflected in the pro forma documentation as of signing, the terms of which must be</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satisfactory to Purchaser, and customary permitted indebtedness (including capital leases, letters of credit and</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cash management obligations), the Issuer may incur additional indebtedness provided (i) it is subordinate to the</w:t>
            </w:r>
          </w:p>
        </w:tc>
      </w:tr>
      <w:tr>
        <w:trPr>
          <w:trHeight w:val="213"/>
        </w:trPr>
        <w:tc>
          <w:tcPr>
            <w:tcW w:w="2840" w:type="dxa"/>
            <w:vAlign w:val="bottom"/>
          </w:tcPr>
          <w:p>
            <w:pPr>
              <w:spacing w:after="0"/>
              <w:rPr>
                <w:sz w:val="18"/>
                <w:szCs w:val="18"/>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Notes and has a maturity date that is after the Maturity Date hereunder or (ii) is secured only by specific, newly</w:t>
            </w:r>
          </w:p>
        </w:tc>
      </w:tr>
      <w:tr>
        <w:trPr>
          <w:trHeight w:val="232"/>
        </w:trPr>
        <w:tc>
          <w:tcPr>
            <w:tcW w:w="2840" w:type="dxa"/>
            <w:vAlign w:val="bottom"/>
          </w:tcPr>
          <w:p>
            <w:pPr>
              <w:spacing w:after="0"/>
              <w:rPr>
                <w:sz w:val="20"/>
                <w:szCs w:val="20"/>
                <w:color w:val="auto"/>
              </w:rPr>
            </w:pPr>
          </w:p>
        </w:tc>
        <w:tc>
          <w:tcPr>
            <w:tcW w:w="8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purchased assets. All other indebtedness will require the approval of Purchaser.</w:t>
            </w:r>
          </w:p>
        </w:tc>
      </w:tr>
      <w:tr>
        <w:trPr>
          <w:trHeight w:val="640"/>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- 3 -</w:t>
            </w:r>
          </w:p>
        </w:tc>
      </w:tr>
    </w:tbl>
    <w:p>
      <w:pPr>
        <w:sectPr>
          <w:pgSz w:w="11900" w:h="16838" w:orient="portrait"/>
          <w:cols w:equalWidth="0" w:num="1">
            <w:col w:w="11240"/>
          </w:cols>
          <w:pgMar w:left="320" w:top="891" w:right="339" w:bottom="1440" w:gutter="0" w:footer="0" w:header="0"/>
        </w:sectPr>
      </w:pPr>
    </w:p>
    <w:bookmarkStart w:id="333" w:name="page334"/>
    <w:bookmarkEnd w:id="3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All assets of the Issuer and its subsidiaries, subject to customary excluded assets and permitted liens.</w:t>
            </w:r>
          </w:p>
        </w:tc>
      </w:tr>
      <w:tr>
        <w:trPr>
          <w:trHeight w:val="40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Covenant:</w:t>
            </w: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The Issuer agrees to maintain a balance of cash and cash equivalents of no less than $5,000,000 to be measured</w:t>
            </w:r>
          </w:p>
        </w:tc>
      </w:tr>
      <w:tr>
        <w:trPr>
          <w:trHeight w:val="232"/>
        </w:trPr>
        <w:tc>
          <w:tcPr>
            <w:tcW w:w="2420" w:type="dxa"/>
            <w:vAlign w:val="bottom"/>
          </w:tcPr>
          <w:p>
            <w:pPr>
              <w:spacing w:after="0"/>
              <w:rPr>
                <w:sz w:val="20"/>
                <w:szCs w:val="20"/>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quarterly on March 31, June 30, September 30 and December 31 of each year.</w:t>
            </w:r>
          </w:p>
        </w:tc>
      </w:tr>
      <w:tr>
        <w:trPr>
          <w:trHeight w:val="42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Covenants:</w:t>
            </w: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covenants TBD based on diligence.</w:t>
            </w:r>
          </w:p>
        </w:tc>
      </w:tr>
      <w:tr>
        <w:trPr>
          <w:trHeight w:val="42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Customary for similar transactions to include bankruptcy, failure to pay, etc.</w:t>
            </w:r>
          </w:p>
        </w:tc>
      </w:tr>
      <w:tr>
        <w:trPr>
          <w:trHeight w:val="40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PIPE</w:t>
            </w: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The Issuer shall raise an equity-based PIPE in support of the Business Combination from one or more</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purchasers without the prior written consent of the Purchaser and without implicating the right of first refusal</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set forth above, provided that such PIPE is in an aggregate amount of at least $15,000,000 and the shares issued</w:t>
            </w:r>
          </w:p>
        </w:tc>
      </w:tr>
      <w:tr>
        <w:trPr>
          <w:trHeight w:val="232"/>
        </w:trPr>
        <w:tc>
          <w:tcPr>
            <w:tcW w:w="2420" w:type="dxa"/>
            <w:vAlign w:val="bottom"/>
          </w:tcPr>
          <w:p>
            <w:pPr>
              <w:spacing w:after="0"/>
              <w:rPr>
                <w:sz w:val="20"/>
                <w:szCs w:val="20"/>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 connection with the PIPE are at a price not less than $8.50 per share.</w:t>
            </w:r>
          </w:p>
        </w:tc>
      </w:tr>
      <w:tr>
        <w:trPr>
          <w:trHeight w:val="40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Conditions:</w:t>
            </w: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The signing of the definitive documentation by Purchaser is subject to customary conditions for transactions of</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 similar nature, including satisfactory completion by Purchaser of due diligence and investment committee</w:t>
            </w:r>
          </w:p>
        </w:tc>
      </w:tr>
      <w:tr>
        <w:trPr>
          <w:trHeight w:val="232"/>
        </w:trPr>
        <w:tc>
          <w:tcPr>
            <w:tcW w:w="2420" w:type="dxa"/>
            <w:vAlign w:val="bottom"/>
          </w:tcPr>
          <w:p>
            <w:pPr>
              <w:spacing w:after="0"/>
              <w:rPr>
                <w:sz w:val="20"/>
                <w:szCs w:val="20"/>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approval.</w:t>
            </w:r>
          </w:p>
        </w:tc>
      </w:tr>
      <w:tr>
        <w:trPr>
          <w:trHeight w:val="408"/>
        </w:trPr>
        <w:tc>
          <w:tcPr>
            <w:tcW w:w="2420" w:type="dxa"/>
            <w:vAlign w:val="bottom"/>
          </w:tcPr>
          <w:p>
            <w:pPr>
              <w:spacing w:after="0"/>
              <w:rPr>
                <w:sz w:val="24"/>
                <w:szCs w:val="24"/>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Funding of the Notes will be subject to (i) the satisfaction of either product reimbursement condition set forth</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 clause (i) or (ii) of the section entitled “Funded Indebtedness Amount”, (ii) entry into definitive agreements</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with respect to the Notes and the transactions in connection therewith in form and substance satisfactory to the</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Purchaser in its sole discretion and (iii) customary conditions for transactions of a similar nature, including</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without limitation (A) that the Business Combination will close substantially simultaneously, (B) all other</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PIPEs in support of the Business Combination will be funded in full with none of the terms thereof for</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convertible debt securities being more favorable than the terms hereof, (C) the continued listing of the Common</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Shares on a national securities exchange through the consummation of the Business Combination and the</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approval of the listing of the Common Shares underlying the Notes and (D) the Target shall not have</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experienced a Material Adverse Effect (as defined in the merger agreement for the Business Combination) that</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is continuing, and the Issuer shall not have experienced an Acquirer Material Adverse Effect (as defined in the</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merger agreement for the Business Combination) that is continuing. Any amendment, waiver or modification</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of the merger agreement for the Business Combination that would adversely affect the Purchaser in any</w:t>
            </w:r>
          </w:p>
        </w:tc>
      </w:tr>
      <w:tr>
        <w:trPr>
          <w:trHeight w:val="213"/>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material respect or that is otherwise intended to circumvent or frustrate the terms of the Notes transaction shall</w:t>
            </w:r>
          </w:p>
        </w:tc>
      </w:tr>
      <w:tr>
        <w:trPr>
          <w:trHeight w:val="232"/>
        </w:trPr>
        <w:tc>
          <w:tcPr>
            <w:tcW w:w="2420" w:type="dxa"/>
            <w:vAlign w:val="bottom"/>
          </w:tcPr>
          <w:p>
            <w:pPr>
              <w:spacing w:after="0"/>
              <w:rPr>
                <w:sz w:val="20"/>
                <w:szCs w:val="20"/>
                <w:color w:val="auto"/>
              </w:rPr>
            </w:pPr>
          </w:p>
        </w:tc>
        <w:tc>
          <w:tcPr>
            <w:tcW w:w="8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require Purchaser’s prior written consent.</w:t>
            </w:r>
          </w:p>
        </w:tc>
      </w:tr>
      <w:tr>
        <w:trPr>
          <w:trHeight w:val="640"/>
        </w:trPr>
        <w:tc>
          <w:tcPr>
            <w:tcW w:w="24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color w:val="auto"/>
              </w:rPr>
              <w:t>- 4 -</w:t>
            </w:r>
          </w:p>
        </w:tc>
      </w:tr>
    </w:tbl>
    <w:p>
      <w:pPr>
        <w:sectPr>
          <w:pgSz w:w="11900" w:h="16838" w:orient="portrait"/>
          <w:cols w:equalWidth="0" w:num="1">
            <w:col w:w="11240"/>
          </w:cols>
          <w:pgMar w:left="320" w:top="891" w:right="339" w:bottom="1440" w:gutter="0" w:footer="0" w:header="0"/>
        </w:sectPr>
      </w:pPr>
    </w:p>
    <w:bookmarkStart w:id="334" w:name="page335"/>
    <w:bookmarkEnd w:id="3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Issuer agrees that, except as otherwise required by applicable law or if generally available to the public</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(including following any public announcement of the Business Combination), neither it, nor its affiliates,</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employees or representatives will disclose or allow disclosure of the existence of any discussions between the</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parties regarding a potential transaction, this term sheet or the information contained herein to any party other</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than its personnel and agents having a “need-to-know” and who are subject to confidentiality obligations,</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without the express prior written approval of the Purchaser; provided that this term sheet may be disclosed to</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Target and its personnel, advisors and agents having a “need-to-know” who are subject to confidentiality</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obligations and that the terms of this term sheet may be disclosed to potential PIPE investors and their</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personnel, advisors and agents having a “need-to-know” who are subject to confidentiality obligations in</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connection with the Business Combination. The Issuer and the Target may file a copy of this term sheet with</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U.S. Securities and Exchange Commission (“SEC”) in connection with any public announcement of the</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Business Combination, subject to Purchaser’s prior consent (not to be unreasonably withheld, conditioned or</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delayed). Notwithstanding the foregoing, the Issuer and the Target may not disclose the identity of the</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Purchaser in any press release or description contained in a filing with the SEC without the Purchaser’s prior</w:t>
            </w:r>
          </w:p>
        </w:tc>
      </w:tr>
      <w:tr>
        <w:trPr>
          <w:trHeight w:val="232"/>
        </w:trPr>
        <w:tc>
          <w:tcPr>
            <w:tcW w:w="2240" w:type="dxa"/>
            <w:vAlign w:val="bottom"/>
          </w:tcPr>
          <w:p>
            <w:pPr>
              <w:spacing w:after="0"/>
              <w:rPr>
                <w:sz w:val="20"/>
                <w:szCs w:val="20"/>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consent.</w:t>
            </w:r>
          </w:p>
        </w:tc>
      </w:tr>
      <w:tr>
        <w:trPr>
          <w:trHeight w:val="40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Issuer will reimburse the Purchaser and its affiliates for expenses of the Purchaser and its affiliates</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(including reasonable fees and expenses of attorneys, accountants, consultants, appraisers and out-of-pocket</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expenses of the Purchaser and its affiliates) incurred in connection with the transactions contemplated by this</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term sheet (including the negotiation hereof) or any similar investment or other transaction between the</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Purchaser and/or its affiliates and the Issuer, whether or not a definitive agreement for the Business</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Combination is signed or in respect of the transactions contemplated by this Term Sheet are signed, up to</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8"/>
              </w:rPr>
              <w:t>$300,000 in the aggregate (the “Expense Obligation”); provided that in the event Purchaser reasonably believes</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8"/>
              </w:rPr>
              <w:t>expenses of the Purchaser and its affiliates will be in excess of $300,000, the Purchaser will so notify the Issuer</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and the parties will cooperate in good faith to discuss and implement an increase of the Expense</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Obligation. The Expense Obligation will be paid promptly (and, in any event, within 15 business days)</w:t>
            </w:r>
          </w:p>
        </w:tc>
      </w:tr>
      <w:tr>
        <w:trPr>
          <w:trHeight w:val="232"/>
        </w:trPr>
        <w:tc>
          <w:tcPr>
            <w:tcW w:w="2240" w:type="dxa"/>
            <w:vAlign w:val="bottom"/>
          </w:tcPr>
          <w:p>
            <w:pPr>
              <w:spacing w:after="0"/>
              <w:rPr>
                <w:sz w:val="20"/>
                <w:szCs w:val="20"/>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following each invoice therefor.</w:t>
            </w:r>
          </w:p>
        </w:tc>
      </w:tr>
      <w:tr>
        <w:trPr>
          <w:trHeight w:val="640"/>
        </w:trPr>
        <w:tc>
          <w:tcPr>
            <w:tcW w:w="22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ind w:left="3240"/>
              <w:spacing w:after="0"/>
              <w:rPr>
                <w:sz w:val="20"/>
                <w:szCs w:val="20"/>
                <w:color w:val="auto"/>
              </w:rPr>
            </w:pPr>
            <w:r>
              <w:rPr>
                <w:rFonts w:ascii="Times New Roman" w:cs="Times New Roman" w:eastAsia="Times New Roman" w:hAnsi="Times New Roman"/>
                <w:sz w:val="18"/>
                <w:szCs w:val="18"/>
                <w:color w:val="auto"/>
              </w:rPr>
              <w:t>- 5 -</w:t>
            </w:r>
          </w:p>
        </w:tc>
      </w:tr>
    </w:tbl>
    <w:p>
      <w:pPr>
        <w:sectPr>
          <w:pgSz w:w="11900" w:h="16838" w:orient="portrait"/>
          <w:cols w:equalWidth="0" w:num="1">
            <w:col w:w="11240"/>
          </w:cols>
          <w:pgMar w:left="320" w:top="891" w:right="339" w:bottom="1440" w:gutter="0" w:footer="0" w:header="0"/>
        </w:sectPr>
      </w:pPr>
    </w:p>
    <w:bookmarkStart w:id="335" w:name="page336"/>
    <w:bookmarkEnd w:id="3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Guaranty</w:t>
            </w: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8"/>
              </w:rPr>
              <w:t>Target hereby irrevocably, absolutely and unconditionally guarantees to Purchaser, as a primary obligor and not</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merely as a surety, the punctual and full payment of the Expense Obligation if and when due and payable in</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accordance with and subject to the terms and conditions set forth in the section entitled “Expenses”, in</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accordance with the terms thereof. If Issuer shall default in the due and punctual performance of the Expense</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Obligation, Target will immediately pay or cause to be paid such Expense Obligation and will immediately</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make full payment of any amount due with respect thereto at its sole cost and expense. To the fullest extent</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permitted by applicable law, Target hereby expressly waives any right or defense to require the Purchaser to</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proceed against or take any action against or pursue any remedy with respect to Issuer before the Purchaser</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8"/>
              </w:rPr>
              <w:t>may enforce its rights hereunder against Target, and no such act or omission of any kind shall in any way affect</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or impair this guarantee. In furtherance of the foregoing, Target acknowledges that the Purchaser may, in its</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sole discretion, bring and prosecute a separate action or actions against Target regardless of whether action is</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brought against the Issuer for performance of the Expense Obligation. Target agrees that the Expense</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Obligation shall not be released or discharged, in whole or in part, or otherwise affected by (i) any action or</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inaction on the part of Issuer (other than payment by Issuer of the Expense Obligation), (ii) any change in the</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corporate existence, structure or ownership of the Issuer or any insolvency, bankruptcy, liquidation,</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reorganization or other similar proceeding affecting the Issuer or its assignees, (iii) the failure or delay on the</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part of the Purchaser to assert any claim or demand or to enforce any right or remedy against Target, or (vi) the</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value, genuineness, validity, regularity, illegality or enforceability of this Agreement or any agreement or</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instrument related thereto, in each case in accordance with its terms. Target acknowledges that it will receive</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substantial direct and indirect benefits from the transactions contemplated by this Agreement and that this</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guarantee, including specifically the waivers set forth herein, are knowingly made in contemplation of such</w:t>
            </w:r>
          </w:p>
        </w:tc>
      </w:tr>
      <w:tr>
        <w:trPr>
          <w:trHeight w:val="232"/>
        </w:trPr>
        <w:tc>
          <w:tcPr>
            <w:tcW w:w="2240" w:type="dxa"/>
            <w:vAlign w:val="bottom"/>
          </w:tcPr>
          <w:p>
            <w:pPr>
              <w:spacing w:after="0"/>
              <w:rPr>
                <w:sz w:val="20"/>
                <w:szCs w:val="20"/>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benefits.</w:t>
            </w:r>
          </w:p>
        </w:tc>
      </w:tr>
      <w:tr>
        <w:trPr>
          <w:trHeight w:val="40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Issuer and Target shall jointly and severally indemnify and hold harmless Purchaser, its affiliates,</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equityholders, directors, managers, officers, employees, agents, advisors and representatives and any such</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representatives of the foregoing and each of their successors and assigns (each a “Purchaser Indemnified</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Party”) for all losses and damages of any kind or nature, liabilities, damages, costs, actions or causes of action,</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settlements, assessments, levies, fines, debts, interest, awards, judgments, penalties and expenses, including</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reasonable attorneys’ and accountants’ fees and expenses, that any Purchaser Indemnified Party may suffer,</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sustain or incur and that result from, arise out of, relate to or are caused by (i) any breach of this Term Sheet by</w:t>
            </w:r>
          </w:p>
        </w:tc>
      </w:tr>
      <w:tr>
        <w:trPr>
          <w:trHeight w:val="213"/>
        </w:trPr>
        <w:tc>
          <w:tcPr>
            <w:tcW w:w="2240" w:type="dxa"/>
            <w:vAlign w:val="bottom"/>
          </w:tcPr>
          <w:p>
            <w:pPr>
              <w:spacing w:after="0"/>
              <w:rPr>
                <w:sz w:val="18"/>
                <w:szCs w:val="18"/>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Issuer or Target or (ii) any third party claims arising out of, related to or in connection with the term sheet</w:t>
            </w:r>
          </w:p>
        </w:tc>
      </w:tr>
      <w:tr>
        <w:trPr>
          <w:trHeight w:val="232"/>
        </w:trPr>
        <w:tc>
          <w:tcPr>
            <w:tcW w:w="2240" w:type="dxa"/>
            <w:vAlign w:val="bottom"/>
          </w:tcPr>
          <w:p>
            <w:pPr>
              <w:spacing w:after="0"/>
              <w:rPr>
                <w:sz w:val="20"/>
                <w:szCs w:val="20"/>
                <w:color w:val="auto"/>
              </w:rPr>
            </w:pPr>
          </w:p>
        </w:tc>
        <w:tc>
          <w:tcPr>
            <w:tcW w:w="90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or the transactions contemplated hereby, including the Business Combination.</w:t>
            </w:r>
          </w:p>
        </w:tc>
      </w:tr>
      <w:tr>
        <w:trPr>
          <w:trHeight w:val="640"/>
        </w:trPr>
        <w:tc>
          <w:tcPr>
            <w:tcW w:w="22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ind w:left="3240"/>
              <w:spacing w:after="0"/>
              <w:rPr>
                <w:sz w:val="20"/>
                <w:szCs w:val="20"/>
                <w:color w:val="auto"/>
              </w:rPr>
            </w:pPr>
            <w:r>
              <w:rPr>
                <w:rFonts w:ascii="Times New Roman" w:cs="Times New Roman" w:eastAsia="Times New Roman" w:hAnsi="Times New Roman"/>
                <w:sz w:val="18"/>
                <w:szCs w:val="18"/>
                <w:color w:val="auto"/>
              </w:rPr>
              <w:t>- 6 -</w:t>
            </w:r>
          </w:p>
        </w:tc>
      </w:tr>
    </w:tbl>
    <w:p>
      <w:pPr>
        <w:sectPr>
          <w:pgSz w:w="11900" w:h="16838" w:orient="portrait"/>
          <w:cols w:equalWidth="0" w:num="1">
            <w:col w:w="11240"/>
          </w:cols>
          <w:pgMar w:left="320" w:top="891" w:right="339" w:bottom="1440" w:gutter="0" w:footer="0" w:header="0"/>
        </w:sectPr>
      </w:pPr>
    </w:p>
    <w:bookmarkStart w:id="336" w:name="page337"/>
    <w:bookmarkEnd w:id="336"/>
    <w:p>
      <w:pPr>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Waiver against Trust Account:</w:t>
      </w:r>
      <w:r>
        <w:rPr>
          <w:sz w:val="20"/>
          <w:szCs w:val="20"/>
          <w:color w:val="auto"/>
        </w:rPr>
        <w:tab/>
      </w:r>
      <w:r>
        <w:rPr>
          <w:rFonts w:ascii="Times New Roman" w:cs="Times New Roman" w:eastAsia="Times New Roman" w:hAnsi="Times New Roman"/>
          <w:sz w:val="17"/>
          <w:szCs w:val="17"/>
          <w:color w:val="auto"/>
        </w:rPr>
        <w:t>Reference is made to the final prospectus of MedTech Acquisition Corporation, filed with the SEC (File</w:t>
      </w:r>
    </w:p>
    <w:p>
      <w:pPr>
        <w:spacing w:after="0" w:line="29" w:lineRule="exact"/>
        <w:rPr>
          <w:sz w:val="20"/>
          <w:szCs w:val="20"/>
          <w:color w:val="auto"/>
        </w:rPr>
      </w:pPr>
    </w:p>
    <w:p>
      <w:pPr>
        <w:ind w:left="3280"/>
        <w:spacing w:after="0" w:line="247" w:lineRule="auto"/>
        <w:rPr>
          <w:sz w:val="20"/>
          <w:szCs w:val="20"/>
          <w:color w:val="auto"/>
        </w:rPr>
      </w:pPr>
      <w:r>
        <w:rPr>
          <w:rFonts w:ascii="Times New Roman" w:cs="Times New Roman" w:eastAsia="Times New Roman" w:hAnsi="Times New Roman"/>
          <w:sz w:val="18"/>
          <w:szCs w:val="18"/>
          <w:color w:val="auto"/>
        </w:rPr>
        <w:t>No. 333-251037) on December 21, 2020, and dated as of December 17, 2020 (the “Prospectus”). The Purchaser hereby acknowledges that it has read the Prospectus and understands that the Issuer has established a trust account (the “Trust Account”) containing the proceeds of its initial public offering (the “IPO”) and the overallotment shares acquired by its underwriters and from certain private placements occurring simultaneously with the IPO (including interest accrued from time to time thereon) for the benefit of the Issuer’s public stockholders (including overallotment shares acquired by the Issuer’s underwriters, the “Public Stockholders”), and that, except as otherwise described in the Prospectus, the Issuer may disburse monies from the Trust Account only: (a) to the Public Stockholders in the event they elect to redeem their shares in the Issuer in connection with the consummation of the Issuer’s initial business combination (as such term is used in the Prospectus) (an “Initial Business Combination”) or in connection with an extension of its deadline to consummate an Initial Business Combination, (b) to the Public Stockholders if the Issuer fails to consummate a Business Combination within twenty-four (24) months after the closing of the IPO, subject to extension by amendment to the Issuer’s organizational documents, (c) with respect to interest earned on the amounts held in the Trust Account, as necessary to pay any taxes and up to $100,000 in dissolution expenses, or (d) to the Issuer after or concurrently with the consummation of an Initial Business Combination. For and in consideration of the Issuer entering into this term sheet and into discussions with Purchaser regarding the proposed financing described herein, and for other good and valuable consideration, the receipt and sufficiency of which is hereby acknowledged, the Purchaser hereby agrees on behalf of itself and its affiliates that, notwithstanding anything to the contrary in this term sheet, neither the Purchaser nor any of its affiliates do now or shall at any time hereafter have any right, title, interest or claim of any kind in or to any monies in the Trust Account or distributions therefrom, or make any claim against the Trust Account (including any distributions therefrom), regardless of as a result of, in connection with or relating in any way to, this term sheet between Issuer or its representatives, on the one hand, and Purchaser or its representatives, on the other hand, and regardless of whether such claim arises based on contract, tort, equity or any other theory of legal liability (collectively, the “Released Claims”). The Released Claims shall not include any right, title, interest or claim Purchaser may have by virtue of its possible status as a Public Stockholder The Purchaser, on behalf of itself and its affiliates, hereby irrevocably waives any Released Claims that the Purchaser or any of its affiliates may have against the Trust Account (including any distributions therefrom) now or in the future as a result of, or arising out of, any negotiations, contracts or agreements with Issuer or its representatives and agrees that it will not seek recourse against the Trust Account (including any distributions therefrom) for any reason whatsoever other than any recourse it might have as a Public Stockholder (including for an alleged breach of any agreement with Issuer or its affiliates). Purchaser agrees and acknowledges that such irrevocable waiver is material to this term sheet and specifically relied upon by Issuer and its affiliates to induce Issuer to enter into this term sheet, and Purchaser further intends and understands such waiver to be valid, binding and enforceable against Purchaser and each of its affiliates under applicable law. To the extent Purchaser or any of its affiliates commences any action or proceeding based upon, in connection with, relating to or arising out of any matter relating to Issuer or its representatives, which proceeding seeks, in whole or in part, monetary relief against Issuer or its representatives, Purchaser hereby acknowledges and agrees that Purchaser’s and its affiliates’ sole monetary remedy shall be against funds held outside of the Trust Account and that such claim shall not permit Purchaser or its affiliates (or any person claiming on any of their behalves or in lieu of any of them) to have any claim against the Trust Account (including any distributions therefrom) or any amounts contained therein other than in any such person’s capacity as a Public Stockholder.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17"/>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Exclusivity:</w:t>
            </w: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In consideration of the undertaking by the Purchaser of the substantial time and effort incident to due diligence,</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structuring and documentation related to the investment contemplated by this Term Sheet, the Issuer hereby</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grants the Purchaser an exclusivity period with respect to the transaction described herein to complete due</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diligence and to negotiate and execute definitive documentation. The exclusivity period shall begin on the date</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hereof and shall end on December 31, 2022, provided that such period shall automatically extend for an</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additional 45 days in the event the Target receives a legislative inclusion reasonably likely to result in one or</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more conditions under the heading “Funded Indebtedness Amount” being satisfied. Notwithstanding the</w:t>
            </w:r>
          </w:p>
        </w:tc>
      </w:tr>
      <w:tr>
        <w:trPr>
          <w:trHeight w:val="232"/>
        </w:trPr>
        <w:tc>
          <w:tcPr>
            <w:tcW w:w="2260" w:type="dxa"/>
            <w:vAlign w:val="bottom"/>
          </w:tcPr>
          <w:p>
            <w:pPr>
              <w:spacing w:after="0"/>
              <w:rPr>
                <w:sz w:val="20"/>
                <w:szCs w:val="20"/>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foregoing and for greater clarity, neither party shall be under any obligation to negotiate definitive terms.</w:t>
            </w:r>
          </w:p>
        </w:tc>
      </w:tr>
      <w:tr>
        <w:trPr>
          <w:trHeight w:val="40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This term sheet will terminate upon the earliest to occur of (i) the termination of the Agreement and Plan of</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Merger by and among MedTech Acquisition Corporation, MTAC Merger Sub, Inc., and TriSalus Life</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Sciences, Inc., dated as of the date hereof (the “Business Combination Agreement”) in accordance with its</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terms, (ii) the mutual written consent of the Issuer and the Purchaser, (iii) under the applicable outside date</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(pursuant to Section 11.01(b)(i) of the Business Combination Agreement as existing on the date hereof), if the</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Business Combination has not been consummated by such date, (iv) the entry into definitive agreements with</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respect to the Notes and (v) at Purchaser’s sole election, on or after January 31, 2023 (the “Termination Date”),</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if (a) a permanent code (to take effect no later than April 1, 2023) is not established in respect of the TriNav</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Infusion System that results in a payment amount to the provider that is equal to or higher than the current</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amount that providers are reimbursed by Medicare in respect of the TriNav Infusion System, or (b) the TPP in</w:t>
            </w:r>
          </w:p>
        </w:tc>
      </w:tr>
      <w:tr>
        <w:trPr>
          <w:trHeight w:val="213"/>
        </w:trPr>
        <w:tc>
          <w:tcPr>
            <w:tcW w:w="2260" w:type="dxa"/>
            <w:vAlign w:val="bottom"/>
          </w:tcPr>
          <w:p>
            <w:pPr>
              <w:spacing w:after="0"/>
              <w:rPr>
                <w:sz w:val="18"/>
                <w:szCs w:val="18"/>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respect of the TriNav Infusion System is not extended for a period of not less than one year, in each case prior</w:t>
            </w:r>
          </w:p>
        </w:tc>
      </w:tr>
      <w:tr>
        <w:trPr>
          <w:trHeight w:val="232"/>
        </w:trPr>
        <w:tc>
          <w:tcPr>
            <w:tcW w:w="2260" w:type="dxa"/>
            <w:vAlign w:val="bottom"/>
          </w:tcPr>
          <w:p>
            <w:pPr>
              <w:spacing w:after="0"/>
              <w:rPr>
                <w:sz w:val="20"/>
                <w:szCs w:val="20"/>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to the Termination Date.</w:t>
            </w:r>
          </w:p>
        </w:tc>
      </w:tr>
      <w:tr>
        <w:trPr>
          <w:trHeight w:val="40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This term sheet shall be governed by, interpreted under, and construed and enforced in accordance with the</w:t>
            </w:r>
          </w:p>
        </w:tc>
      </w:tr>
      <w:tr>
        <w:trPr>
          <w:trHeight w:val="232"/>
        </w:trPr>
        <w:tc>
          <w:tcPr>
            <w:tcW w:w="2260" w:type="dxa"/>
            <w:vAlign w:val="bottom"/>
          </w:tcPr>
          <w:p>
            <w:pPr>
              <w:spacing w:after="0"/>
              <w:rPr>
                <w:sz w:val="20"/>
                <w:szCs w:val="20"/>
                <w:color w:val="auto"/>
              </w:rPr>
            </w:pPr>
          </w:p>
        </w:tc>
        <w:tc>
          <w:tcPr>
            <w:tcW w:w="8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laws of the State of New York, without regard to conflicts of law principles.</w:t>
            </w:r>
          </w:p>
        </w:tc>
      </w:tr>
      <w:tr>
        <w:trPr>
          <w:trHeight w:val="640"/>
        </w:trPr>
        <w:tc>
          <w:tcPr>
            <w:tcW w:w="226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8"/>
                <w:szCs w:val="18"/>
                <w:color w:val="auto"/>
              </w:rPr>
              <w:t>- 8 -</w:t>
            </w:r>
          </w:p>
        </w:tc>
      </w:tr>
    </w:tbl>
    <w:p>
      <w:pPr>
        <w:sectPr>
          <w:pgSz w:w="11900" w:h="16838" w:orient="portrait"/>
          <w:cols w:equalWidth="0" w:num="1">
            <w:col w:w="11240"/>
          </w:cols>
          <w:pgMar w:left="320" w:top="891" w:right="339" w:bottom="1440" w:gutter="0" w:footer="0" w:header="0"/>
        </w:sectPr>
      </w:pPr>
    </w:p>
    <w:bookmarkStart w:id="338" w:name="page339"/>
    <w:bookmarkEnd w:id="338"/>
    <w:p>
      <w:pPr>
        <w:ind w:firstLine="640"/>
        <w:spacing w:after="0" w:line="277" w:lineRule="auto"/>
        <w:rPr>
          <w:sz w:val="20"/>
          <w:szCs w:val="20"/>
          <w:color w:val="auto"/>
        </w:rPr>
      </w:pPr>
      <w:r>
        <w:rPr>
          <w:rFonts w:ascii="Times New Roman" w:cs="Times New Roman" w:eastAsia="Times New Roman" w:hAnsi="Times New Roman"/>
          <w:sz w:val="18"/>
          <w:szCs w:val="18"/>
          <w:color w:val="010101"/>
        </w:rPr>
        <w:t>Please acknowledge your acceptance of and agreement to the foregoing by signing and returning to the undersigned as soon as possible a counterpart of this LOI.</w:t>
      </w:r>
    </w:p>
    <w:p>
      <w:pPr>
        <w:spacing w:after="0" w:line="1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Sincerely,</w:t>
      </w:r>
    </w:p>
    <w:p>
      <w:pPr>
        <w:spacing w:after="0" w:line="2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MedTech Acquisition Corporation</w:t>
      </w:r>
    </w:p>
    <w:p>
      <w:pPr>
        <w:spacing w:after="0" w:line="200" w:lineRule="exact"/>
        <w:rPr>
          <w:sz w:val="20"/>
          <w:szCs w:val="20"/>
          <w:color w:val="auto"/>
        </w:rPr>
      </w:pPr>
    </w:p>
    <w:p>
      <w:pPr>
        <w:spacing w:after="0" w:line="26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Christopher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color w:val="010101"/>
        </w:rPr>
        <w:t>Christopher Dewey</w:t>
      </w:r>
    </w:p>
    <w:p>
      <w:pPr>
        <w:spacing w:after="0" w:line="20"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010101"/>
        </w:rPr>
        <w:t>Chief Executive Officer</w:t>
      </w:r>
    </w:p>
    <w:p>
      <w:pPr>
        <w:spacing w:after="0" w:line="200" w:lineRule="exact"/>
        <w:rPr>
          <w:sz w:val="20"/>
          <w:szCs w:val="20"/>
          <w:color w:val="auto"/>
        </w:rPr>
      </w:pPr>
    </w:p>
    <w:p>
      <w:pPr>
        <w:spacing w:after="0" w:line="2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Sean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Sean Murphy</w:t>
      </w:r>
    </w:p>
    <w:p>
      <w:pPr>
        <w:spacing w:after="0" w:line="20"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010101"/>
        </w:rPr>
        <w:t>CFO</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Accepted and agreed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Magnetar Capital LLC</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Karl Wachter</w:t>
            </w:r>
          </w:p>
        </w:tc>
      </w:tr>
      <w:tr>
        <w:trPr>
          <w:trHeight w:val="188"/>
        </w:trPr>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Karl Wachter</w:t>
            </w:r>
          </w:p>
        </w:tc>
      </w:t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400"/>
          </w:cols>
          <w:pgMar w:left="320" w:top="895" w:right="117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TriSalus Life Sciences to Become Publicly Traded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Through Merger with MedTech Acquisition Corporation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Oncology Therapeutics Company Focused on Transforming Cancer Treatment with</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Proprietary Innovative Therapies and Disruptive Delivery Technology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Has a Differentiated and Fast-growing, Commercial Drug Delivery Business;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Significant Potential Upside from Immunotherapy Platform</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Post-transaction, Expects to be Fully Funded to Allow Key Data Read-Outs for Device and Immunotherapy Platform in Late 2024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Accelerates Access to Resources to Drive Continued Commercialization of TriNav® Infusion System and Advance SD-101 Clinical Programs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Expected Cash at Closing Includes Up to $50 Million from an Anticipated Convertible Note from Leading Institutional Investor</w:t>
      </w:r>
    </w:p>
    <w:p>
      <w:pPr>
        <w:spacing w:after="0" w:line="21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DENVER and FORT LAUDERDALE, Fla., November 14,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TriSalus Life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“TriSalus”), a privately held oncology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company integrating immunotherapy with disruptive delivery technology to transform the treatment paradigm for patients with liver and pancreatic tumors, today announced it has entered into a definitive merger agreement with MedTech Acquisition Corporation (Nasdaq: MTAC) (“MedTech”), a publicly traded special purpose acquisition company. Upon the closing of the transaction, the combined company will be a publicly traded company and its common stock is expected to be listed on the NASDAQ Stock Exchange under the ticker “TLSI”. The transaction represents a post-transaction market capitalization of approximately $244.4 million for TriSalus upon closing.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TriSalus Combines Proprietary Drug Delivery Technology and Therapeutics Platform to Drive Better Patient Outcomes</w:t>
      </w:r>
    </w:p>
    <w:p>
      <w:pPr>
        <w:spacing w:after="0" w:line="224"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color w:val="auto"/>
        </w:rPr>
        <w:t>TriSalus’ proprietary platform approach addresses immune dysfunction in liver and pancreatic tumors by combining its highly effective drug delivery technology with immunotherapeutics. The TriSalus platform comprises:</w:t>
      </w:r>
    </w:p>
    <w:p>
      <w:pPr>
        <w:spacing w:after="0" w:line="159" w:lineRule="exact"/>
        <w:rPr>
          <w:sz w:val="20"/>
          <w:szCs w:val="20"/>
          <w:color w:val="auto"/>
        </w:rPr>
      </w:pPr>
    </w:p>
    <w:p>
      <w:pPr>
        <w:ind w:left="320" w:right="200" w:hanging="313"/>
        <w:spacing w:after="0" w:line="256" w:lineRule="auto"/>
        <w:tabs>
          <w:tab w:leader="none" w:pos="3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TriNav® Infusion System: </w:t>
      </w:r>
      <w:r>
        <w:rPr>
          <w:rFonts w:ascii="Times New Roman" w:cs="Times New Roman" w:eastAsia="Times New Roman" w:hAnsi="Times New Roman"/>
          <w:sz w:val="18"/>
          <w:szCs w:val="18"/>
          <w:color w:val="auto"/>
        </w:rPr>
        <w:t>Launched in 2020, TriNav is an FDA-cleared device that is designed to administer established and emerging 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SD-101, the Company’s investigational TLR9 agonist, to selected sites, including tumors in the liver with the ability to treat disease throughout the entire organ. TriNav is the latest TriSalus asset for the proprietary Pressure-Enabled Drug Delivery™ (PEDD™) method of administration which has been shown to overcome intra-tumoral pressure through modulation of pressure and flow to increase delivery of therapeutic agents and improve patient outcomes.</w:t>
      </w:r>
    </w:p>
    <w:p>
      <w:pPr>
        <w:spacing w:after="0" w:line="176" w:lineRule="exact"/>
        <w:rPr>
          <w:rFonts w:ascii="Times New Roman" w:cs="Times New Roman" w:eastAsia="Times New Roman" w:hAnsi="Times New Roman"/>
          <w:sz w:val="18"/>
          <w:szCs w:val="18"/>
          <w:color w:val="auto"/>
        </w:rPr>
      </w:pPr>
    </w:p>
    <w:p>
      <w:pPr>
        <w:ind w:left="320" w:right="120" w:hanging="313"/>
        <w:spacing w:after="0" w:line="254" w:lineRule="auto"/>
        <w:tabs>
          <w:tab w:leader="none" w:pos="3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SD-101: </w:t>
      </w:r>
      <w:r>
        <w:rPr>
          <w:rFonts w:ascii="Times New Roman" w:cs="Times New Roman" w:eastAsia="Times New Roman" w:hAnsi="Times New Roman"/>
          <w:sz w:val="18"/>
          <w:szCs w:val="18"/>
          <w:color w:val="auto"/>
        </w:rPr>
        <w:t>TriSalus is developing SD-101, a class C toll-like receptor 9 (TLR9) agonist, that promotes T Cell infiltration, reduction of myeloid derived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suppressor cells (MDSC) and broad immune activation to reverse immunosuppression in the liver and pancreas. TriSalus is investigating SD-101 as a therapeutic candidate delivered by PEDD™ to enable deeper and more durable responses to other immunotherapeutics (e.g., checkpoint inhibitors) in a range of liver and pancreatic cancers for which limited therapeutic options currently exist. Thus far, across two clinical trials, over 100 infusions of SD-101 have been delivered at several dose levels as monotherapy and in combination with checkpoint inhibitors in more than 20 patients with safety data indicating treatments were well-tolerated.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color w:val="auto"/>
        </w:rPr>
        <w:t>Management Comments</w:t>
      </w:r>
    </w:p>
    <w:p>
      <w:pPr>
        <w:spacing w:after="0" w:line="22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“TriSalus is scaling a differentiated, integrated and disruptive approach to the treatment of tumors in the liver and pancreas, and this transaction is an important step forward in enabling better patient outcomes,” said Mary Szela, president and CEO of TriSalus. “Our commercial-stage drug delivery technology, together with the continued development of our promising immunotherapeutic, positions TriSalus to capitalize on a significant opportunity in an area with high unmet need. Partnering with MedTech accelerates our access to financial resources and brings us an experienced partner as we continue to commercialize our TriNav device and advance our SD-101 clinical programs. We look forward to working together to achieve accelerated growth and to bring hope to patients with liver and pancreatic tumors.”</w:t>
      </w:r>
    </w:p>
    <w:p>
      <w:pPr>
        <w:spacing w:after="0" w:line="185"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“This is an exciting day for our shareholders, and we could not be more pleased to announce the signing of our merger agreement with TriSalus,” said Chris Dewey, CEO of MedTech. “With multiple value inflection points anticipated over the next 18 months, we believe that TriSalus’ first-of-its-kind technology and deep expertise in immuno-oncology, coupled with our team’s success in commercializing medical device companies, will create significant value in the years ahead.”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Transformational Upside Potential</w:t>
      </w:r>
    </w:p>
    <w:p>
      <w:pPr>
        <w:spacing w:after="0" w:line="220" w:lineRule="exact"/>
        <w:rPr>
          <w:sz w:val="20"/>
          <w:szCs w:val="20"/>
          <w:color w:val="auto"/>
        </w:rPr>
      </w:pPr>
    </w:p>
    <w:p>
      <w:pPr>
        <w:ind w:left="320" w:right="20" w:hanging="313"/>
        <w:spacing w:after="0" w:line="252" w:lineRule="auto"/>
        <w:tabs>
          <w:tab w:leader="none" w:pos="3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Fast-Growing Device Business: </w:t>
      </w:r>
      <w:r>
        <w:rPr>
          <w:rFonts w:ascii="Times New Roman" w:cs="Times New Roman" w:eastAsia="Times New Roman" w:hAnsi="Times New Roman"/>
          <w:sz w:val="18"/>
          <w:szCs w:val="18"/>
          <w:color w:val="auto"/>
        </w:rPr>
        <w:t>While TriSalus is pursuing commercialization of additional technologies leveraging the PEDD™ approach, such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Pancreatic Retrograde Venous Infusion™ (PRVI™) System, the TriNav® Infusion System is already a commercial-stage, high margin, and FDA cleared drug delivery device. The TriNav® Infusion System using the PEDD approach has been validated in peer-reviewed studies at multiple clinical sites and performed in more than 17,000 cases to date. TriNav already has a strong customer base and support from key opinion leaders. With its ability to optimize Transcatheter Arterial Chemoembolization (TACE) and Transcatheter Arterial Radioembolization (TARE) procedures that to date have underperformed in patients with liver and pancreatic cancers, the platform has near-term expansion opportunities by partnering with companies advancing checkpoint inhibitors, CAR-T therapies and other cell immunotherapies. Longer term, TriNav is expected to support the growth and effectiveness of SD-101. In 2021, TriNav achieved $8.4 million in net sales and it is on track to achieve $12.6 million in 2022.</w:t>
      </w:r>
    </w:p>
    <w:p>
      <w:pPr>
        <w:spacing w:after="0" w:line="182" w:lineRule="exact"/>
        <w:rPr>
          <w:rFonts w:ascii="Times New Roman" w:cs="Times New Roman" w:eastAsia="Times New Roman" w:hAnsi="Times New Roman"/>
          <w:sz w:val="18"/>
          <w:szCs w:val="18"/>
          <w:color w:val="auto"/>
        </w:rPr>
      </w:pPr>
    </w:p>
    <w:p>
      <w:pPr>
        <w:ind w:left="320" w:right="140" w:hanging="313"/>
        <w:spacing w:after="0" w:line="256" w:lineRule="auto"/>
        <w:tabs>
          <w:tab w:leader="none" w:pos="3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Significant Potential Upside From SD-101 Program in Development</w:t>
      </w:r>
      <w:r>
        <w:rPr>
          <w:rFonts w:ascii="Times New Roman" w:cs="Times New Roman" w:eastAsia="Times New Roman" w:hAnsi="Times New Roman"/>
          <w:sz w:val="18"/>
          <w:szCs w:val="18"/>
          <w:color w:val="auto"/>
        </w:rPr>
        <w:t>: SD-101’s tolerable safety profile and therapeutic activity was substantiated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300 patients enrolled in various Phase 1 and Phase 2 studies of melanoma, lymphoma, and head and neck squamous cell carcinoma. TriSalus’ targeting of orphan indications and rare disease creates an opportunity for expedited development and the potential for an accelerated path to approval and commercialization. Phase 1/1b early response data for the uveal melanoma and intrahepatic cholangiocarcinoma indications are expected in the fourth quarter of 2022, with a potential New Drug Application (NDA) submission as early as 2025.</w:t>
      </w:r>
    </w:p>
    <w:p>
      <w:pPr>
        <w:spacing w:after="0" w:line="176" w:lineRule="exact"/>
        <w:rPr>
          <w:rFonts w:ascii="Times New Roman" w:cs="Times New Roman" w:eastAsia="Times New Roman" w:hAnsi="Times New Roman"/>
          <w:sz w:val="18"/>
          <w:szCs w:val="18"/>
          <w:color w:val="auto"/>
        </w:rPr>
      </w:pPr>
    </w:p>
    <w:p>
      <w:pPr>
        <w:ind w:left="320" w:hanging="313"/>
        <w:spacing w:after="0" w:line="230" w:lineRule="auto"/>
        <w:tabs>
          <w:tab w:leader="none" w:pos="3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Targeting a $15 Billion Addressable Market Opportunity: </w:t>
      </w:r>
      <w:r>
        <w:rPr>
          <w:rFonts w:ascii="Times New Roman" w:cs="Times New Roman" w:eastAsia="Times New Roman" w:hAnsi="Times New Roman"/>
          <w:sz w:val="18"/>
          <w:szCs w:val="18"/>
          <w:color w:val="auto"/>
        </w:rPr>
        <w:t>There are significant limitations in existing immunotherapy treatment success for liver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pancreatic cancers. More than 41,000 people are expected to be diagnosed with primary liver cancers this year, and more than 96,000 people are expected to have liver metastases in the United States this year.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Additionally, there is a high global incidence in key targeted indications, providing an attractive non-U.S. opportunity.</w:t>
      </w:r>
    </w:p>
    <w:p>
      <w:pPr>
        <w:spacing w:after="0" w:line="192" w:lineRule="exact"/>
        <w:rPr>
          <w:rFonts w:ascii="Times New Roman" w:cs="Times New Roman" w:eastAsia="Times New Roman" w:hAnsi="Times New Roman"/>
          <w:sz w:val="18"/>
          <w:szCs w:val="18"/>
          <w:color w:val="auto"/>
        </w:rPr>
      </w:pPr>
    </w:p>
    <w:p>
      <w:pPr>
        <w:ind w:left="320" w:right="140" w:hanging="313"/>
        <w:spacing w:after="0" w:line="264" w:lineRule="auto"/>
        <w:tabs>
          <w:tab w:leader="none" w:pos="3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Successful Track Record of Value Creation: </w:t>
      </w:r>
      <w:r>
        <w:rPr>
          <w:rFonts w:ascii="Times New Roman" w:cs="Times New Roman" w:eastAsia="Times New Roman" w:hAnsi="Times New Roman"/>
          <w:sz w:val="18"/>
          <w:szCs w:val="18"/>
          <w:color w:val="auto"/>
        </w:rPr>
        <w:t>The MedTech team’s strong track record of value creation across an array of medical device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 TriSalus team’s deep clinical expertise and strategic partnerships with leading cancer centers, positions the Company to successfully develop and bring to market life-saving cancer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17875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349" w:lineRule="exact"/>
        <w:rPr>
          <w:sz w:val="20"/>
          <w:szCs w:val="20"/>
          <w:color w:val="auto"/>
        </w:rPr>
      </w:pPr>
    </w:p>
    <w:p>
      <w:pPr>
        <w:ind w:left="120" w:hanging="113"/>
        <w:spacing w:after="0"/>
        <w:tabs>
          <w:tab w:leader="none" w:pos="120" w:val="left"/>
        </w:tabs>
        <w:numPr>
          <w:ilvl w:val="0"/>
          <w:numId w:val="3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https://cancerstatisticscenter.cancer.org/?_ga=2.115371910.1041705590.1667824728-1127861421.1666691985#!/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431800</wp:posOffset>
            </wp:positionV>
            <wp:extent cx="71342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224" w:lineRule="exact"/>
        <w:rPr>
          <w:sz w:val="20"/>
          <w:szCs w:val="20"/>
          <w:color w:val="auto"/>
        </w:rPr>
      </w:pPr>
    </w:p>
    <w:p>
      <w:pPr>
        <w:ind w:right="80"/>
        <w:spacing w:after="0" w:line="307" w:lineRule="auto"/>
        <w:rPr>
          <w:sz w:val="20"/>
          <w:szCs w:val="20"/>
          <w:color w:val="auto"/>
        </w:rPr>
      </w:pPr>
      <w:r>
        <w:rPr>
          <w:rFonts w:ascii="Times New Roman" w:cs="Times New Roman" w:eastAsia="Times New Roman" w:hAnsi="Times New Roman"/>
          <w:sz w:val="17"/>
          <w:szCs w:val="17"/>
          <w:color w:val="auto"/>
        </w:rPr>
        <w:t>The pending merger has been unanimously approved by the Boards of Directors of both TriSalus and MedTech and is expected to close in the first quarter of 2023, subject to the satisfaction of the necessary regulatory approvals and customary closing conditions, including the approval of MedTech’s shareholders.</w:t>
      </w:r>
    </w:p>
    <w:p>
      <w:pPr>
        <w:spacing w:after="0" w:line="14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The board of the combined company post-close would be comprised of nine members, of which seven are selected by TriSalus and two from MedTech. The leadership team will be the existing TriSalus team led by Mary Szela.</w:t>
      </w:r>
    </w:p>
    <w:p>
      <w:pPr>
        <w:spacing w:after="0" w:line="16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At the completion of the transaction, the company expects to have at least $60 million in cash, assuming significant redemptions. The expected cash at closing includes up to $50 million from a convertible note for which MedTech and the Company have entered into a non-binding term sheet with a leading institutional investor.</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Additional information about the proposed merger, including a copy of the merger agreement and investor presentation, will be provided in a Current Report on Form 8-K to be filed by MedTech with the Securities and Exchange Commission (“SEC”) and available at www.sec.gov.</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4"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17"/>
          <w:szCs w:val="17"/>
          <w:color w:val="auto"/>
        </w:rPr>
        <w:t>Cooley LLP is acting as legal counsel to TriSalus. Raymond James is acting as exclusive financial advisor to MedTech and as the sole placement agent on the convertible offering, and Paul Hastings LLP is serving as legal counsel to the placement agent. Foley &amp; Lardner LLP is acting as legal counsel to MedTech.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4" w:lineRule="exact"/>
        <w:rPr>
          <w:sz w:val="20"/>
          <w:szCs w:val="20"/>
          <w:color w:val="auto"/>
        </w:rPr>
      </w:pPr>
    </w:p>
    <w:p>
      <w:pPr>
        <w:jc w:val="both"/>
        <w:ind w:right="180"/>
        <w:spacing w:after="0" w:line="284" w:lineRule="auto"/>
        <w:rPr>
          <w:sz w:val="20"/>
          <w:szCs w:val="20"/>
          <w:color w:val="auto"/>
        </w:rPr>
      </w:pPr>
      <w:r>
        <w:rPr>
          <w:rFonts w:ascii="Times New Roman" w:cs="Times New Roman" w:eastAsia="Times New Roman" w:hAnsi="Times New Roman"/>
          <w:sz w:val="17"/>
          <w:szCs w:val="17"/>
          <w:color w:val="auto"/>
        </w:rPr>
        <w:t xml:space="preserve">TriSalus and MedTech will host a joint conference call to discuss the proposed merger today, November 14, 2022, at 8:30 am Eastern Time. A live webcast of the conference call and associated presentation materials will be accessible on TriSalus’ investor relations page at </w:t>
      </w:r>
      <w:r>
        <w:rPr>
          <w:rFonts w:ascii="Times New Roman" w:cs="Times New Roman" w:eastAsia="Times New Roman" w:hAnsi="Times New Roman"/>
          <w:sz w:val="17"/>
          <w:szCs w:val="17"/>
          <w:u w:val="single" w:color="auto"/>
          <w:color w:val="auto"/>
        </w:rPr>
        <w:t>https://trisaluslifesci.com/investors/</w:t>
      </w:r>
      <w:r>
        <w:rPr>
          <w:rFonts w:ascii="Times New Roman" w:cs="Times New Roman" w:eastAsia="Times New Roman" w:hAnsi="Times New Roman"/>
          <w:sz w:val="17"/>
          <w:szCs w:val="17"/>
          <w:color w:val="auto"/>
        </w:rPr>
        <w:t>. A replay of the conference call will be available after completion of the conference call and can be accessed on the investor relations page.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TriSalus Life Sciences</w:t>
      </w:r>
    </w:p>
    <w:p>
      <w:pPr>
        <w:spacing w:after="0" w:line="22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TriSalus Life Sciences® is an oncology therapeutics company integrating immunotherapy with disruptive delivery technology to transform the treatment paradigm for patients with liver and pancreatic tumors. The company works to enable more patients to benefit from established and emerging cancer treatments by overcoming intratumoral pressure and immunosuppression, significant barriers that can limit delivery and efficacy. The proprietary TriSalus delivery method—Pressure-Enabled Drug Delivery™ (PEDD™)—modulates pressure and flow within blood vessels to improve therapy uptake and tumor response in ways traditional approaches cannot. Two FDA-cleared devices utilize TriSalus’ proprietary approach to delivery of therapeutics: the TriNav® Infusion System and the Pancreatic Retrograde Venous Infusion™ (PRVI™) System.</w:t>
      </w:r>
    </w:p>
    <w:p>
      <w:pPr>
        <w:spacing w:after="0" w:line="185"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 xml:space="preserve">Currently in clinical trials across multiple indications, the TriSalus™ Platform uses PEDD™ to administer the company's investigational immunotherapy, SD-101, through a regional intravascular approach with the goal of strengthening immunotherapy responses for liver and pancreatic cancer patients. In partnership with leading cancer centers across the country, and by leveraging deep immuno-oncology expertise and inventive technology development, TriSalus is committed to advancing innovation that improves outcomes for patients. Learn more at </w:t>
      </w:r>
      <w:r>
        <w:rPr>
          <w:rFonts w:ascii="Times New Roman" w:cs="Times New Roman" w:eastAsia="Times New Roman" w:hAnsi="Times New Roman"/>
          <w:sz w:val="18"/>
          <w:szCs w:val="18"/>
          <w:u w:val="single" w:color="auto"/>
          <w:color w:val="auto"/>
        </w:rPr>
        <w:t>trisaluslifesci.com</w:t>
      </w:r>
      <w:r>
        <w:rPr>
          <w:rFonts w:ascii="Times New Roman" w:cs="Times New Roman" w:eastAsia="Times New Roman" w:hAnsi="Times New Roman"/>
          <w:sz w:val="18"/>
          <w:szCs w:val="18"/>
          <w:color w:val="auto"/>
        </w:rPr>
        <w:t xml:space="preserve"> and follow us on Twitter </w:t>
      </w:r>
      <w:r>
        <w:rPr>
          <w:rFonts w:ascii="Times New Roman" w:cs="Times New Roman" w:eastAsia="Times New Roman" w:hAnsi="Times New Roman"/>
          <w:sz w:val="18"/>
          <w:szCs w:val="18"/>
          <w:u w:val="single" w:color="auto"/>
          <w:color w:val="auto"/>
        </w:rPr>
        <w:t>@TriSalusLifeSci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color w:val="auto"/>
        </w:rPr>
        <w:t>About MedTech Acquisition Corporation</w:t>
      </w:r>
    </w:p>
    <w:p>
      <w:pPr>
        <w:spacing w:after="0" w:line="224"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color w:val="auto"/>
        </w:rPr>
        <w:t>MedTech Acquisition Corporation (Nasdaq: MTAC) is a blank check company formed for the purpose of effecting a merger, share exchange, asset acquisition, share purchase, reorganization or similar business combination with one or more businesses or entities. MedTech has stated a focus on the medical technology industry in the United States and other developed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federal securities laws regarding MedTech’s or TriSalus’s expectations, hopes, beliefs, assumptions, intentions or strategies regarding the future including, without limitation, statements regarding: (i) the size and growth potential of the markets for TriSalus’s products and TriSalus’s ability to serve those markets, (ii) the degree of market acceptance and adoption of TriSalus’s products, (iii) TriSalus’s ability to compete with other companies, (iv) expectations for topline data and regulatory approval, (v) the implied upside and implied valuation of TriSalus, (vi) TriSalus's value and projected financial results, (vii) TriSalus’s ability to partner with other companies, and (viii) the potential results and benefits of the proposed business combination, the amount of cash to be delivered at closing from MedTech’s trust account and any additional financing in connection with the proposed business combination, and stockholder value. These forward-looking statements generally are identified by words such as “anticipate,” “believe,” continue,” “could,” “estimate,” “expect,” “intend,” “may,” “might,” “plan,” “possible,” “potential,” “predict,” “project,” “should,” “strive,” “would,” “will” and similar expressions or the negative or other variations of such statements. These statements are predictions, projections and other statements about future events that are based on various assumptions, whether or not identified in this press release and on the current expectations of MedTech’s and TriSalus’s respective managements and are not predictions of actual performance and, as a result, are subject to risks and uncertainties.</w:t>
      </w:r>
    </w:p>
    <w:p>
      <w:pPr>
        <w:spacing w:after="0" w:line="18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Many factors could cause actual results or developments to differ materially from those expressed or implied by such forward-looking statements, including but not limited to: (i) the risk that the transaction may not be completed in a timely manner or at all, which may adversely affect the price of MedTech’s securities; (ii) the risk that the transaction may not be completed by MedTech’s business combination deadline and the potential failure to obtain an extension of the business combination deadline; (iii) the failure to satisfy the conditions to the consummation of the transaction, including the approval of the business combination agreement by the stockholders of MedTech, the satisfaction of the minimum cash amount following any redemptions by MedTech’s public stockholders, and the receipt of certain governmental and regulatory approvals, including reimbursement approval; (iv) the lack of a third-party valuation in determining whether or not to pursue the proposed transaction; (v) the occurrence of any event, change or other circumstance that could give rise to the termination of the business combination agreement; (vi) the receipt of an unsolicited offer from another party for an alternative transaction that could interfere with the proposed business combination, (vii) the effect of the announcement or pendency of the transaction on TriSalus’s business relationships, operating results and business generally; (viii) risks that the proposed transaction disrupts current plans and operations of TriSalus; (ix) the outcome of any legal proceedings that may be instituted against TriSalus or MedTech related to the business combination agreement or the proposed transaction; (x) the ability to maintain the listing of MedTech’s securities on the Nasdaq; (xi) changes in business, market, financial, political and legal conditions;</w:t>
      </w:r>
    </w:p>
    <w:p>
      <w:pPr>
        <w:ind w:firstLine="7"/>
        <w:spacing w:after="0" w:line="248" w:lineRule="auto"/>
        <w:tabs>
          <w:tab w:leader="none" w:pos="351"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the reimbursement environment for TriSalus’s products; (xiii) TriSalus’s product candidates not achieving success in preclinical or clinical trials or not being able to obtain regulatory approval, either on a timely basis or at all or subject to any conditions that negatively impact TriSalus’s ability to commercialize the applicable product candidates; (xiv) TriSalus being unable to continue to grow TriNav sales; (xv) the size of the addressable markets for TriNav and TriSalus’s product candidates, if successfully developed and approved by the applicable regulatory authorities, being less than TriSalus estimates; (xvi) TriSalus’s ability to successfully commercialize any product candidates that it successfully develops and that are approved by applicable regulatory authorities; (xvii) TriSalus’s ability to continue to fund preclinical and clinical trials for its product candidates; (xviii) TriSalus’s ability to partner with other companies; (xix) future economic and market conditions; the development, effects and enforcement of laws and regulations affecting TriSalus's business or industry; (xx) TriSalus’s ability to manage future growth; (xxi) TriSalus’s ability to maintain and grow its market share; (xxii) the effects of competition on TriSalus’s business; (xxiii) the ability of MedTech or the combined company to raise additional financing in connection with the proposed business combination or to finance its operations in the future; (xxiv) the ability to implement business plans, forecasts and other expectations after the completion of the proposed transaction, and identify and realize additional opportunities; (xxv) costs related to the transaction; and (xxvi) the failure to realize the anticipated benefits of the transaction or to realize estimated pro forma results and the underlying assumptions, including with respect to estimated stockholder redemptions. The foregoing list of factors is not 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419735</wp:posOffset>
            </wp:positionV>
            <wp:extent cx="71342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43" w:name="page344"/>
    <w:bookmarkEnd w:id="343"/>
    <w:p>
      <w:pPr>
        <w:spacing w:after="0" w:line="251" w:lineRule="auto"/>
        <w:rPr>
          <w:sz w:val="20"/>
          <w:szCs w:val="20"/>
          <w:color w:val="auto"/>
        </w:rPr>
      </w:pPr>
      <w:r>
        <w:rPr>
          <w:rFonts w:ascii="Times New Roman" w:cs="Times New Roman" w:eastAsia="Times New Roman" w:hAnsi="Times New Roman"/>
          <w:sz w:val="18"/>
          <w:szCs w:val="18"/>
          <w:color w:val="auto"/>
        </w:rPr>
        <w:t>You should carefully consider the foregoing factors and other risks and uncertainties described in the “Risk Factors” section of MedTech’s Annual Report on Form 10-K for the fiscal year ended December 31, 2021, filed with the SEC on March 2, 2022 (the “2021 Form 10-K”), the preliminary proxy statement/prospectus on Form S-4 relating to the proposed business combination, which is expected to be filed by MedTech with the SEC and other documents filed by MedTech from time to time with the SEC. These filings identify and address other important risks and uncertainties that could cause actual events and results to differ materially from those expressed or implied in the forward-looking statements. Forward-looking statements speak only as of the date they are made. Readers are cautioned not to put undue reliance on forward-looking statements, and none of MedTech, TriSalus, or any of their respective representatives assume any obligation and do not intend to update or revise these forward-looking statements, whether as a result of new information, future events, or otherwise. None of MedTech, TriSalus, or any of their respective representatives gives any assurance that either MedTech or TriSalus will achieve its expectations.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and Additional Information in Connection with SEC Filing</w:t>
      </w:r>
    </w:p>
    <w:p>
      <w:pPr>
        <w:spacing w:after="0" w:line="22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information in this press release has not been reviewed by the SEC and certain information may not comply in certain respects with SEC rules. MedTech intends to file a registration statement on Form S-4 (the “Registration Statement”) that will include a proxy statement/prospectus of MedTech, that will be both the proxy statement to be distributed to holders of MedTech’s common stock in connection with its solicitation of proxies for the vote by MedTech’s stockholders with respect to the proposed business combination and other matters as may be described in the Registration Statement, as well as the prospectus relating to the offer and sale of the securities to be issued in the proposed business combination. The Registration Statement is not yet effective. The Registration Statement, including the proxy statement/prospectus contained therein, when it is declared effective by the SEC, will contain important information about the proposed business combination and the other matters to be voted upon at a meeting of MedTech’s stockholders to be held to approve the proposed business combination and other matters (the “Special Meeting”). MedTech may also file other documents with the SEC regarding the proposed business combination. MedTech stockholders and other interested persons are advised to read, when available, the Registration Statement, including the proxy statement/prospectus contained therein, as well as any amendments or supplements thereto, because they will contain important information about the proposed business combination. When available, the definitive proxy statement /prospectus will be mailed to MedTech stockholders as of a record date to be established for voting on the proposed business combination and the other matters to be voted upon at the Special Meeting.</w:t>
      </w:r>
    </w:p>
    <w:p>
      <w:pPr>
        <w:spacing w:after="0" w:line="188"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highlight w:val="white"/>
        </w:rPr>
        <w:t>The financial information and data contained in this press release is unaudited and does not conform to Regulation S-X. Such information and data may not be included in, may be adjusted in or may be presented differently in, the Registration Statement to be filed by MedTech with the SEC, and such differences may be material. In particular, all TriSalus financial information included herein is preliminary and subject to risks and uncertainties. Any variation between TriSalus’s actual results and the financial information included herein may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1342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color w:val="auto"/>
        </w:rPr>
        <w:t>Participation in Solicitation</w:t>
      </w:r>
    </w:p>
    <w:p>
      <w:pPr>
        <w:spacing w:after="0" w:line="22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MedTech and TriSalus and their respective directors and executive officers, under SEC rules, may be deemed to be participants in the solicitation of proxies of MedTech’s stockholders in connection with the proposed business combination. Investors and security holders may obtain more detailed information regarding the names and interests in the proposed business combination of MedTech’s directors and officers in MedTech’s filings with the SEC, including MedTech’s registration statement on Form S-1, which was originally filed with the SEC on November 30, 2020, as amended, and MedTech’s 2021 Form 10-K. To the extent that holdings of MedTech’s securities have changed from the amounts reported in MedTech’s 2021 Form 10-K, such changes have been or will be reflected on Statements of Change in Ownership on Form 4 filed with the SEC. Information regarding the persons who may, under SEC rules, be deemed participants in the solicitation of proxies from MedTech’s stockholders in connection with the proposed business combination will be set forth in the proxy statement/prospectus forming a part of the Registration Statement. Investors and security holders of MedTech and TriSalus are urged to carefully read in their entirety the proxy statement/prospectus and other relevant documents that will be filed with the SEC, when they become available, because they will contain important information about the proposed business combination.</w:t>
      </w:r>
    </w:p>
    <w:p>
      <w:pPr>
        <w:spacing w:after="0" w:line="19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 xml:space="preserve">Investors and security holders will be able to obtain free copies of the proxy statement/prospectus and other documents containing important information about MedTech and TriSalus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Copies of the documents filed with the SEC by MedTech can be obtained free of charge by directing a written request to MedTech Acquisition Corporation at 48 Maple Avenue, Greenwich, CT 06830.</w:t>
      </w:r>
    </w:p>
    <w:p>
      <w:pPr>
        <w:spacing w:after="0" w:line="176"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THEREOF OR THE ACCURACY OR ADEQUACY OF THE INFORMATION CONTAINED HEREIN. ANY REPRESENTATION TO THE CONTRARY IS A CRIMINAL OFFENSE.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shall not constitute an offer to sell, a solicitation of an offer to buy or a recommendation to purchase any securities, or the solicitation of any proxy, vote, consent or approval in any jurisdiction in connection with the proposed business combination, nor shall there be any offer, solicitation or sale of securities in any jurisdiction in which the offer, solicitation or sale would be unlawful prior to the registration or qualification under the securities laws of such jurisdictions. This communication is restricted by law; it is not intended for distribution to, or use by any person in, any jurisdiction where such distribution or use would be contrary to local law or regulation. No offering of securities shall be made except by means of a prospectus meeting the requirements of Section 10 of the U.S. Securities Act of 1933, as amended.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press@trisaluslifesci.com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Palash / Allison Sobel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5" w:name="page346"/>
    <w:bookmarkEnd w:id="345"/>
    <w:p>
      <w:pPr>
        <w:ind w:left="90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19050</wp:posOffset>
            </wp:positionV>
            <wp:extent cx="7196455" cy="43548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96455" cy="435483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346" w:name="page347"/>
    <w:bookmarkEnd w:id="3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2" w:name="page363"/>
    <w:bookmarkEnd w:id="3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8" w:name="page369"/>
    <w:bookmarkEnd w:id="3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9" w:name="page370"/>
    <w:bookmarkEnd w:id="3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0" w:name="page371"/>
    <w:bookmarkEnd w:id="3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2" w:name="page373"/>
    <w:bookmarkEnd w:id="3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3" w:name="page374"/>
    <w:bookmarkEnd w:id="3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4" w:name="page375"/>
    <w:bookmarkEnd w:id="3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5" w:name="page376"/>
    <w:bookmarkEnd w:id="3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6" w:name="page377"/>
    <w:bookmarkEnd w:id="3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445135</wp:posOffset>
            </wp:positionV>
            <wp:extent cx="7196455" cy="43465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3" w:name="page384"/>
    <w:bookmarkEnd w:id="3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3465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7" w:name="page388"/>
    <w:bookmarkEnd w:id="3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445135</wp:posOffset>
            </wp:positionV>
            <wp:extent cx="7196455" cy="43465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96455" cy="43465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47F63E"/>
    <w:multiLevelType w:val="hybridMultilevel"/>
    <w:lvl w:ilvl="0">
      <w:lvlJc w:val="left"/>
      <w:lvlText w:val="☒"/>
      <w:numFmt w:val="bullet"/>
      <w:start w:val="1"/>
    </w:lvl>
  </w:abstractNum>
  <w:abstractNum w:abstractNumId="1">
    <w:nsid w:val="5CB44A05"/>
    <w:multiLevelType w:val="hybridMultilevel"/>
    <w:lvl w:ilvl="0">
      <w:lvlJc w:val="left"/>
      <w:lvlText w:val="☐"/>
      <w:numFmt w:val="bullet"/>
      <w:start w:val="1"/>
    </w:lvl>
  </w:abstractNum>
  <w:abstractNum w:abstractNumId="2">
    <w:nsid w:val="16CF80F1"/>
    <w:multiLevelType w:val="hybridMultilevel"/>
    <w:lvl w:ilvl="0">
      <w:lvlJc w:val="left"/>
      <w:lvlText w:val="†"/>
      <w:numFmt w:val="bullet"/>
      <w:start w:val="1"/>
    </w:lvl>
  </w:abstractNum>
  <w:abstractNum w:abstractNumId="3">
    <w:nsid w:val="1C695DEC"/>
    <w:multiLevelType w:val="hybridMultilevel"/>
    <w:lvl w:ilvl="0">
      <w:lvlJc w:val="left"/>
      <w:lvlText w:val="(%1)"/>
      <w:numFmt w:val="lowerRoman"/>
      <w:start w:val="1"/>
    </w:lvl>
  </w:abstractNum>
  <w:abstractNum w:abstractNumId="4">
    <w:nsid w:val="3FCFAED9"/>
    <w:multiLevelType w:val="hybridMultilevel"/>
    <w:lvl w:ilvl="0">
      <w:lvlJc w:val="left"/>
      <w:lvlText w:val="(%1)"/>
      <w:numFmt w:val="lowerLetter"/>
      <w:start w:val="9"/>
    </w:lvl>
  </w:abstractNum>
  <w:abstractNum w:abstractNumId="5">
    <w:nsid w:val="F856867"/>
    <w:multiLevelType w:val="hybridMultilevel"/>
    <w:lvl w:ilvl="0">
      <w:lvlJc w:val="left"/>
      <w:lvlText w:val="(%1)"/>
      <w:numFmt w:val="lowerLetter"/>
      <w:start w:val="2"/>
    </w:lvl>
  </w:abstractNum>
  <w:abstractNum w:abstractNumId="6">
    <w:nsid w:val="11B1CC33"/>
    <w:multiLevelType w:val="hybridMultilevel"/>
    <w:lvl w:ilvl="0">
      <w:lvlJc w:val="left"/>
      <w:lvlText w:val="(%1)"/>
      <w:numFmt w:val="lowerRoman"/>
      <w:start w:val="1"/>
    </w:lvl>
  </w:abstractNum>
  <w:abstractNum w:abstractNumId="7">
    <w:nsid w:val="2E22FBB7"/>
    <w:multiLevelType w:val="hybridMultilevel"/>
    <w:lvl w:ilvl="0">
      <w:lvlJc w:val="left"/>
      <w:lvlText w:val="(%1)"/>
      <w:numFmt w:val="lowerRoman"/>
      <w:start w:val="1"/>
    </w:lvl>
  </w:abstractNum>
  <w:abstractNum w:abstractNumId="8">
    <w:nsid w:val="29934699"/>
    <w:multiLevelType w:val="hybridMultilevel"/>
    <w:lvl w:ilvl="0">
      <w:lvlJc w:val="left"/>
      <w:lvlText w:val="(%1)"/>
      <w:numFmt w:val="lowerRoman"/>
      <w:start w:val="7"/>
    </w:lvl>
  </w:abstractNum>
  <w:abstractNum w:abstractNumId="9">
    <w:nsid w:val="77485850"/>
    <w:multiLevelType w:val="hybridMultilevel"/>
    <w:lvl w:ilvl="0">
      <w:lvlJc w:val="left"/>
      <w:lvlText w:val="(%1)"/>
      <w:numFmt w:val="lowerRoman"/>
      <w:start w:val="12"/>
    </w:lvl>
  </w:abstractNum>
  <w:abstractNum w:abstractNumId="10">
    <w:nsid w:val="744939A3"/>
    <w:multiLevelType w:val="hybridMultilevel"/>
    <w:lvl w:ilvl="0">
      <w:lvlJc w:val="left"/>
      <w:lvlText w:val="(%1)"/>
      <w:numFmt w:val="lowerLetter"/>
      <w:start w:val="4"/>
    </w:lvl>
  </w:abstractNum>
  <w:abstractNum w:abstractNumId="11">
    <w:nsid w:val="4FA0D2E3"/>
    <w:multiLevelType w:val="hybridMultilevel"/>
    <w:lvl w:ilvl="0">
      <w:lvlJc w:val="left"/>
      <w:lvlText w:val="(%1)"/>
      <w:numFmt w:val="lowerRoman"/>
      <w:start w:val="7"/>
    </w:lvl>
  </w:abstractNum>
  <w:abstractNum w:abstractNumId="12">
    <w:nsid w:val="6B1D2C14"/>
    <w:multiLevelType w:val="hybridMultilevel"/>
    <w:lvl w:ilvl="0">
      <w:lvlJc w:val="left"/>
      <w:lvlText w:val="(%1)"/>
      <w:numFmt w:val="lowerLetter"/>
      <w:start w:val="2"/>
    </w:lvl>
  </w:abstractNum>
  <w:abstractNum w:abstractNumId="13">
    <w:nsid w:val="68B867D3"/>
    <w:multiLevelType w:val="hybridMultilevel"/>
    <w:lvl w:ilvl="0">
      <w:lvlJc w:val="left"/>
      <w:lvlText w:val="(%1)"/>
      <w:numFmt w:val="lowerLetter"/>
      <w:start w:val="2"/>
    </w:lvl>
  </w:abstractNum>
  <w:abstractNum w:abstractNumId="14">
    <w:nsid w:val="3F7F5DD9"/>
    <w:multiLevelType w:val="hybridMultilevel"/>
    <w:lvl w:ilvl="0">
      <w:lvlJc w:val="left"/>
      <w:lvlText w:val="(%1)"/>
      <w:numFmt w:val="lowerRoman"/>
      <w:start w:val="1"/>
    </w:lvl>
  </w:abstractNum>
  <w:abstractNum w:abstractNumId="15">
    <w:nsid w:val="2AE05A34"/>
    <w:multiLevelType w:val="hybridMultilevel"/>
    <w:lvl w:ilvl="0">
      <w:lvlJc w:val="left"/>
      <w:lvlText w:val="(%1)"/>
      <w:numFmt w:val="lowerLetter"/>
      <w:start w:val="1"/>
    </w:lvl>
  </w:abstractNum>
  <w:abstractNum w:abstractNumId="16">
    <w:nsid w:val="32794FF7"/>
    <w:multiLevelType w:val="hybridMultilevel"/>
    <w:lvl w:ilvl="0">
      <w:lvlJc w:val="left"/>
      <w:lvlText w:val="(%1)"/>
      <w:numFmt w:val="lowerLetter"/>
      <w:start w:val="5"/>
    </w:lvl>
  </w:abstractNum>
  <w:abstractNum w:abstractNumId="17">
    <w:nsid w:val="5454945E"/>
    <w:multiLevelType w:val="hybridMultilevel"/>
    <w:lvl w:ilvl="0">
      <w:lvlJc w:val="left"/>
      <w:lvlText w:val="(%1)"/>
      <w:numFmt w:val="lowerLetter"/>
      <w:start w:val="1"/>
    </w:lvl>
  </w:abstractNum>
  <w:abstractNum w:abstractNumId="18">
    <w:nsid w:val="4DEFDFA0"/>
    <w:multiLevelType w:val="hybridMultilevel"/>
    <w:lvl w:ilvl="0">
      <w:lvlJc w:val="left"/>
      <w:lvlText w:val="(%1)"/>
      <w:numFmt w:val="lowerRoman"/>
      <w:start w:val="7"/>
    </w:lvl>
  </w:abstractNum>
  <w:abstractNum w:abstractNumId="19">
    <w:nsid w:val="2123D5F2"/>
    <w:multiLevelType w:val="hybridMultilevel"/>
    <w:lvl w:ilvl="0">
      <w:lvlJc w:val="left"/>
      <w:lvlText w:val="(%1)"/>
      <w:numFmt w:val="lowerRoman"/>
      <w:start w:val="1"/>
    </w:lvl>
  </w:abstractNum>
  <w:abstractNum w:abstractNumId="20">
    <w:nsid w:val="135B8110"/>
    <w:multiLevelType w:val="hybridMultilevel"/>
    <w:lvl w:ilvl="0">
      <w:lvlJc w:val="left"/>
      <w:lvlText w:val="(%1)"/>
      <w:numFmt w:val="lowerRoman"/>
      <w:start w:val="1"/>
    </w:lvl>
  </w:abstractNum>
  <w:abstractNum w:abstractNumId="21">
    <w:nsid w:val="94927A8"/>
    <w:multiLevelType w:val="hybridMultilevel"/>
    <w:lvl w:ilvl="0">
      <w:lvlJc w:val="left"/>
      <w:lvlText w:val="(%1)"/>
      <w:numFmt w:val="lowerLetter"/>
      <w:start w:val="2"/>
    </w:lvl>
  </w:abstractNum>
  <w:abstractNum w:abstractNumId="22">
    <w:nsid w:val="DCDF8F6"/>
    <w:multiLevelType w:val="hybridMultilevel"/>
    <w:lvl w:ilvl="0">
      <w:lvlJc w:val="left"/>
      <w:lvlText w:val="(%1)"/>
      <w:numFmt w:val="lowerRoman"/>
      <w:start w:val="1"/>
    </w:lvl>
  </w:abstractNum>
  <w:abstractNum w:abstractNumId="23">
    <w:nsid w:val="52D7B105"/>
    <w:multiLevelType w:val="hybridMultilevel"/>
    <w:lvl w:ilvl="0">
      <w:lvlJc w:val="left"/>
      <w:lvlText w:val="(%1)"/>
      <w:numFmt w:val="upperLetter"/>
      <w:start w:val="3"/>
    </w:lvl>
  </w:abstractNum>
  <w:abstractNum w:abstractNumId="24">
    <w:nsid w:val="2E8A6394"/>
    <w:multiLevelType w:val="hybridMultilevel"/>
    <w:lvl w:ilvl="0">
      <w:lvlJc w:val="left"/>
      <w:lvlText w:val="(%1)"/>
      <w:numFmt w:val="lowerRoman"/>
      <w:start w:val="1"/>
    </w:lvl>
  </w:abstractNum>
  <w:abstractNum w:abstractNumId="25">
    <w:nsid w:val="24E60401"/>
    <w:multiLevelType w:val="hybridMultilevel"/>
    <w:lvl w:ilvl="0">
      <w:lvlJc w:val="left"/>
      <w:lvlText w:val="(%1)"/>
      <w:numFmt w:val="lowerRoman"/>
      <w:start w:val="4"/>
    </w:lvl>
  </w:abstractNum>
  <w:abstractNum w:abstractNumId="26">
    <w:nsid w:val="2A6AD9BE"/>
    <w:multiLevelType w:val="hybridMultilevel"/>
    <w:lvl w:ilvl="0">
      <w:lvlJc w:val="left"/>
      <w:lvlText w:val="(%1)"/>
      <w:numFmt w:val="lowerRoman"/>
      <w:start w:val="3"/>
    </w:lvl>
  </w:abstractNum>
  <w:abstractNum w:abstractNumId="27">
    <w:nsid w:val="BAAC1B4"/>
    <w:multiLevelType w:val="hybridMultilevel"/>
    <w:lvl w:ilvl="0">
      <w:lvlJc w:val="left"/>
      <w:lvlText w:val="(%1)"/>
      <w:numFmt w:val="lowerRoman"/>
      <w:start w:val="2"/>
    </w:lvl>
  </w:abstractNum>
  <w:abstractNum w:abstractNumId="28">
    <w:nsid w:val="36B2ACBC"/>
    <w:multiLevelType w:val="hybridMultilevel"/>
    <w:lvl w:ilvl="0">
      <w:lvlJc w:val="left"/>
      <w:lvlText w:val="(%1)"/>
      <w:numFmt w:val="lowerRoman"/>
      <w:start w:val="4"/>
    </w:lvl>
  </w:abstractNum>
  <w:abstractNum w:abstractNumId="29">
    <w:nsid w:val="779D8544"/>
    <w:multiLevelType w:val="hybridMultilevel"/>
    <w:lvl w:ilvl="0">
      <w:lvlJc w:val="left"/>
      <w:lvlText w:val="(%1)"/>
      <w:numFmt w:val="lowerRoman"/>
      <w:start w:val="3"/>
    </w:lvl>
  </w:abstractNum>
  <w:abstractNum w:abstractNumId="30">
    <w:nsid w:val="4AB26E78"/>
    <w:multiLevelType w:val="hybridMultilevel"/>
    <w:lvl w:ilvl="0">
      <w:lvlJc w:val="left"/>
      <w:lvlText w:val="(%1)"/>
      <w:numFmt w:val="lowerRoman"/>
      <w:start w:val="1"/>
    </w:lvl>
  </w:abstractNum>
  <w:abstractNum w:abstractNumId="31">
    <w:nsid w:val="21FAA2FA"/>
    <w:multiLevelType w:val="hybridMultilevel"/>
    <w:lvl w:ilvl="0">
      <w:lvlJc w:val="left"/>
      <w:lvlText w:val="(%1)"/>
      <w:numFmt w:val="lowerLetter"/>
      <w:start w:val="1"/>
    </w:lvl>
  </w:abstractNum>
  <w:abstractNum w:abstractNumId="32">
    <w:nsid w:val="5451CF49"/>
    <w:multiLevelType w:val="hybridMultilevel"/>
    <w:lvl w:ilvl="0">
      <w:lvlJc w:val="left"/>
      <w:lvlText w:val="(%1)"/>
      <w:numFmt w:val="lowerRoman"/>
      <w:start w:val="1"/>
    </w:lvl>
  </w:abstractNum>
  <w:abstractNum w:abstractNumId="33">
    <w:nsid w:val="6181EF69"/>
    <w:multiLevelType w:val="hybridMultilevel"/>
    <w:lvl w:ilvl="0">
      <w:lvlJc w:val="left"/>
      <w:lvlText w:val="(%1)"/>
      <w:numFmt w:val="lowerRoman"/>
      <w:start w:val="2"/>
    </w:lvl>
  </w:abstractNum>
  <w:abstractNum w:abstractNumId="34">
    <w:nsid w:val="3E6400E6"/>
    <w:multiLevelType w:val="hybridMultilevel"/>
    <w:lvl w:ilvl="0">
      <w:lvlJc w:val="left"/>
      <w:lvlText w:val="(%1)"/>
      <w:numFmt w:val="lowerRoman"/>
      <w:start w:val="5"/>
    </w:lvl>
  </w:abstractNum>
  <w:abstractNum w:abstractNumId="35">
    <w:nsid w:val="14217E23"/>
    <w:multiLevelType w:val="hybridMultilevel"/>
    <w:lvl w:ilvl="0">
      <w:lvlJc w:val="left"/>
      <w:lvlText w:val="(%1)"/>
      <w:numFmt w:val="upperLetter"/>
      <w:start w:val="2"/>
    </w:lvl>
  </w:abstractNum>
  <w:abstractNum w:abstractNumId="36">
    <w:nsid w:val="710757D0"/>
    <w:multiLevelType w:val="hybridMultilevel"/>
    <w:lvl w:ilvl="0">
      <w:lvlJc w:val="left"/>
      <w:lvlText w:val="(%1)"/>
      <w:numFmt w:val="decimal"/>
      <w:start w:val="5"/>
    </w:lvl>
  </w:abstractNum>
  <w:abstractNum w:abstractNumId="37">
    <w:nsid w:val="5015CD1A"/>
    <w:multiLevelType w:val="hybridMultilevel"/>
    <w:lvl w:ilvl="0">
      <w:lvlJc w:val="left"/>
      <w:lvlText w:val="(%1)"/>
      <w:numFmt w:val="lowerRoman"/>
      <w:start w:val="10"/>
    </w:lvl>
  </w:abstractNum>
  <w:abstractNum w:abstractNumId="38">
    <w:nsid w:val="424479DA"/>
    <w:multiLevelType w:val="hybridMultilevel"/>
    <w:lvl w:ilvl="0">
      <w:lvlJc w:val="left"/>
      <w:lvlText w:val="(%1)"/>
      <w:numFmt w:val="lowerRoman"/>
      <w:start w:val="2"/>
    </w:lvl>
  </w:abstractNum>
  <w:abstractNum w:abstractNumId="39">
    <w:nsid w:val="1A9A9E69"/>
    <w:multiLevelType w:val="hybridMultilevel"/>
    <w:lvl w:ilvl="0">
      <w:lvlJc w:val="left"/>
      <w:lvlText w:val="(%1)"/>
      <w:numFmt w:val="lowerRoman"/>
      <w:start w:val="1"/>
    </w:lvl>
  </w:abstractNum>
  <w:abstractNum w:abstractNumId="40">
    <w:nsid w:val="475E256A"/>
    <w:multiLevelType w:val="hybridMultilevel"/>
    <w:lvl w:ilvl="0">
      <w:lvlJc w:val="left"/>
      <w:lvlText w:val="(%1)"/>
      <w:numFmt w:val="decimal"/>
      <w:start w:val="6"/>
    </w:lvl>
  </w:abstractNum>
  <w:abstractNum w:abstractNumId="41">
    <w:nsid w:val="368DB37E"/>
    <w:multiLevelType w:val="hybridMultilevel"/>
    <w:lvl w:ilvl="0">
      <w:lvlJc w:val="left"/>
      <w:lvlText w:val="(%1)"/>
      <w:numFmt w:val="lowerLetter"/>
      <w:start w:val="9"/>
    </w:lvl>
    <w:lvl w:ilvl="1">
      <w:lvlJc w:val="left"/>
      <w:lvlText w:val="(%2)"/>
      <w:numFmt w:val="lowerLetter"/>
      <w:start w:val="1"/>
    </w:lvl>
  </w:abstractNum>
  <w:abstractNum w:abstractNumId="42">
    <w:nsid w:val="6A3B714C"/>
    <w:multiLevelType w:val="hybridMultilevel"/>
    <w:lvl w:ilvl="0">
      <w:lvlJc w:val="left"/>
      <w:lvlText w:val="(%1)"/>
      <w:numFmt w:val="lowerLetter"/>
      <w:start w:val="2"/>
    </w:lvl>
  </w:abstractNum>
  <w:abstractNum w:abstractNumId="43">
    <w:nsid w:val="327B517E"/>
    <w:multiLevelType w:val="hybridMultilevel"/>
    <w:lvl w:ilvl="0">
      <w:lvlJc w:val="left"/>
      <w:lvlText w:val="(%1)"/>
      <w:numFmt w:val="lowerLetter"/>
      <w:start w:val="35"/>
    </w:lvl>
  </w:abstractNum>
  <w:abstractNum w:abstractNumId="44">
    <w:nsid w:val="1F461B51"/>
    <w:multiLevelType w:val="hybridMultilevel"/>
    <w:lvl w:ilvl="0">
      <w:lvlJc w:val="left"/>
      <w:lvlText w:val="(%1)"/>
      <w:numFmt w:val="lowerLetter"/>
      <w:start w:val="26"/>
    </w:lvl>
  </w:abstractNum>
  <w:abstractNum w:abstractNumId="45">
    <w:nsid w:val="29BACF25"/>
    <w:multiLevelType w:val="hybridMultilevel"/>
    <w:lvl w:ilvl="0">
      <w:lvlJc w:val="left"/>
      <w:lvlText w:val="(%1)"/>
      <w:numFmt w:val="lowerLetter"/>
      <w:start w:val="1"/>
    </w:lvl>
    <w:lvl w:ilvl="1">
      <w:lvlJc w:val="left"/>
      <w:lvlText w:val="(%2)"/>
      <w:numFmt w:val="lowerRoman"/>
      <w:start w:val="1"/>
    </w:lvl>
  </w:abstractNum>
  <w:abstractNum w:abstractNumId="46">
    <w:nsid w:val="5D5BABB3"/>
    <w:multiLevelType w:val="hybridMultilevel"/>
    <w:lvl w:ilvl="0">
      <w:lvlJc w:val="left"/>
      <w:lvlText w:val="(%1)"/>
      <w:numFmt w:val="lowerLetter"/>
      <w:start w:val="3"/>
    </w:lvl>
  </w:abstractNum>
  <w:abstractNum w:abstractNumId="47">
    <w:nsid w:val="51BF6B48"/>
    <w:multiLevelType w:val="hybridMultilevel"/>
    <w:lvl w:ilvl="0">
      <w:lvlJc w:val="left"/>
      <w:lvlText w:val="%1"/>
      <w:numFmt w:val="decimal"/>
      <w:start w:val="1"/>
    </w:lvl>
    <w:lvl w:ilvl="1">
      <w:lvlJc w:val="left"/>
      <w:lvlText w:val="(%2)"/>
      <w:numFmt w:val="lowerLetter"/>
      <w:start w:val="4"/>
    </w:lvl>
  </w:abstractNum>
  <w:abstractNum w:abstractNumId="48">
    <w:nsid w:val="7E0F6384"/>
    <w:multiLevelType w:val="hybridMultilevel"/>
    <w:lvl w:ilvl="0">
      <w:lvlJc w:val="left"/>
      <w:lvlText w:val="(%1)"/>
      <w:numFmt w:val="decimal"/>
      <w:start w:val="2"/>
    </w:lvl>
    <w:lvl w:ilvl="1">
      <w:lvlJc w:val="left"/>
      <w:lvlText w:val="(%2)"/>
      <w:numFmt w:val="lowerLetter"/>
      <w:start w:val="5"/>
    </w:lvl>
  </w:abstractNum>
  <w:abstractNum w:abstractNumId="49">
    <w:nsid w:val="2B4B8B53"/>
    <w:multiLevelType w:val="hybridMultilevel"/>
    <w:lvl w:ilvl="0">
      <w:lvlJc w:val="left"/>
      <w:lvlText w:val="(%1)"/>
      <w:numFmt w:val="upperLetter"/>
      <w:start w:val="2"/>
    </w:lvl>
  </w:abstractNum>
  <w:abstractNum w:abstractNumId="50">
    <w:nsid w:val="72E3413A"/>
    <w:multiLevelType w:val="hybridMultilevel"/>
    <w:lvl w:ilvl="0">
      <w:lvlJc w:val="left"/>
      <w:lvlText w:val="(%1)"/>
      <w:numFmt w:val="lowerLetter"/>
      <w:start w:val="1"/>
    </w:lvl>
  </w:abstractNum>
  <w:abstractNum w:abstractNumId="51">
    <w:nsid w:val="116AE494"/>
    <w:multiLevelType w:val="hybridMultilevel"/>
    <w:lvl w:ilvl="0">
      <w:lvlJc w:val="left"/>
      <w:lvlText w:val="(%1)"/>
      <w:numFmt w:val="lowerLetter"/>
      <w:start w:val="2"/>
    </w:lvl>
  </w:abstractNum>
  <w:abstractNum w:abstractNumId="52">
    <w:nsid w:val="3494B2FB"/>
    <w:multiLevelType w:val="hybridMultilevel"/>
    <w:lvl w:ilvl="0">
      <w:lvlJc w:val="left"/>
      <w:lvlText w:val="(%1)"/>
      <w:numFmt w:val="lowerLetter"/>
      <w:start w:val="35"/>
    </w:lvl>
  </w:abstractNum>
  <w:abstractNum w:abstractNumId="53">
    <w:nsid w:val="B13A31"/>
    <w:multiLevelType w:val="hybridMultilevel"/>
    <w:lvl w:ilvl="0">
      <w:lvlJc w:val="left"/>
      <w:lvlText w:val="(%1)"/>
      <w:numFmt w:val="lowerLetter"/>
      <w:start w:val="1"/>
    </w:lvl>
  </w:abstractNum>
  <w:abstractNum w:abstractNumId="54">
    <w:nsid w:val="64429599"/>
    <w:multiLevelType w:val="hybridMultilevel"/>
    <w:lvl w:ilvl="0">
      <w:lvlJc w:val="left"/>
      <w:lvlText w:val="(%1)"/>
      <w:numFmt w:val="lowerLetter"/>
      <w:start w:val="2"/>
    </w:lvl>
  </w:abstractNum>
  <w:abstractNum w:abstractNumId="55">
    <w:nsid w:val="631F1690"/>
    <w:multiLevelType w:val="hybridMultilevel"/>
    <w:lvl w:ilvl="0">
      <w:lvlJc w:val="left"/>
      <w:lvlText w:val="%1"/>
      <w:numFmt w:val="decimal"/>
      <w:start w:val="1"/>
    </w:lvl>
    <w:lvl w:ilvl="1">
      <w:lvlJc w:val="left"/>
      <w:lvlText w:val="(%2)"/>
      <w:numFmt w:val="lowerLetter"/>
      <w:start w:val="1"/>
    </w:lvl>
  </w:abstractNum>
  <w:abstractNum w:abstractNumId="56">
    <w:nsid w:val="25973E32"/>
    <w:multiLevelType w:val="hybridMultilevel"/>
    <w:lvl w:ilvl="0">
      <w:lvlJc w:val="left"/>
      <w:lvlText w:val="(%1)"/>
      <w:numFmt w:val="decimal"/>
      <w:start w:val="20"/>
    </w:lvl>
    <w:lvl w:ilvl="1">
      <w:lvlJc w:val="left"/>
      <w:lvlText w:val="%2"/>
      <w:numFmt w:val="lowerLetter"/>
      <w:start w:val="1"/>
    </w:lvl>
  </w:abstractNum>
  <w:abstractNum w:abstractNumId="57">
    <w:nsid w:val="EAD6F57"/>
    <w:multiLevelType w:val="hybridMultilevel"/>
    <w:lvl w:ilvl="0">
      <w:lvlJc w:val="left"/>
      <w:lvlText w:val="(%1)"/>
      <w:numFmt w:val="lowerLetter"/>
      <w:start w:val="3"/>
    </w:lvl>
  </w:abstractNum>
  <w:abstractNum w:abstractNumId="58">
    <w:nsid w:val="6EC9D844"/>
    <w:multiLevelType w:val="hybridMultilevel"/>
    <w:lvl w:ilvl="0">
      <w:lvlJc w:val="left"/>
      <w:lvlText w:val="(%1)"/>
      <w:numFmt w:val="lowerLetter"/>
      <w:start w:val="6"/>
    </w:lvl>
  </w:abstractNum>
  <w:abstractNum w:abstractNumId="59">
    <w:nsid w:val="5C49EAEE"/>
    <w:multiLevelType w:val="hybridMultilevel"/>
    <w:lvl w:ilvl="0">
      <w:lvlJc w:val="left"/>
      <w:lvlText w:val="(%1)"/>
      <w:numFmt w:val="lowerLetter"/>
      <w:start w:val="10"/>
    </w:lvl>
  </w:abstractNum>
  <w:abstractNum w:abstractNumId="60">
    <w:nsid w:val="64AF49B"/>
    <w:multiLevelType w:val="hybridMultilevel"/>
    <w:lvl w:ilvl="0">
      <w:lvlJc w:val="left"/>
      <w:lvlText w:val="(%1)"/>
      <w:numFmt w:val="lowerLetter"/>
      <w:start w:val="1"/>
    </w:lvl>
  </w:abstractNum>
  <w:abstractNum w:abstractNumId="61">
    <w:nsid w:val="397C46BC"/>
    <w:multiLevelType w:val="hybridMultilevel"/>
    <w:lvl w:ilvl="0">
      <w:lvlJc w:val="left"/>
      <w:lvlText w:val="(%1)"/>
      <w:numFmt w:val="lowerLetter"/>
      <w:start w:val="1"/>
    </w:lvl>
  </w:abstractNum>
  <w:abstractNum w:abstractNumId="62">
    <w:nsid w:val="7E448DE9"/>
    <w:multiLevelType w:val="hybridMultilevel"/>
    <w:lvl w:ilvl="0">
      <w:lvlJc w:val="left"/>
      <w:lvlText w:val="(%1)"/>
      <w:numFmt w:val="lowerRoman"/>
      <w:start w:val="1"/>
    </w:lvl>
  </w:abstractNum>
  <w:abstractNum w:abstractNumId="63">
    <w:nsid w:val="5A9CC3E5"/>
    <w:multiLevelType w:val="hybridMultilevel"/>
    <w:lvl w:ilvl="0">
      <w:lvlJc w:val="left"/>
      <w:lvlText w:val="(%1)"/>
      <w:numFmt w:val="lowerLetter"/>
      <w:start w:val="1"/>
    </w:lvl>
    <w:lvl w:ilvl="1">
      <w:lvlJc w:val="left"/>
      <w:lvlText w:val="(%2)"/>
      <w:numFmt w:val="lowerRoman"/>
      <w:start w:val="1"/>
    </w:lvl>
  </w:abstractNum>
  <w:abstractNum w:abstractNumId="64">
    <w:nsid w:val="1AFE3625"/>
    <w:multiLevelType w:val="hybridMultilevel"/>
    <w:lvl w:ilvl="0">
      <w:lvlJc w:val="left"/>
      <w:lvlText w:val="(%1)"/>
      <w:numFmt w:val="lowerLetter"/>
      <w:start w:val="3"/>
    </w:lvl>
  </w:abstractNum>
  <w:abstractNum w:abstractNumId="65">
    <w:nsid w:val="3CA88ECF"/>
    <w:multiLevelType w:val="hybridMultilevel"/>
    <w:lvl w:ilvl="0">
      <w:lvlJc w:val="left"/>
      <w:lvlText w:val="(%1)"/>
      <w:numFmt w:val="lowerLetter"/>
      <w:start w:val="1"/>
    </w:lvl>
  </w:abstractNum>
  <w:abstractNum w:abstractNumId="66">
    <w:nsid w:val="6EBE4208"/>
    <w:multiLevelType w:val="hybridMultilevel"/>
    <w:lvl w:ilvl="0">
      <w:lvlJc w:val="left"/>
      <w:lvlText w:val="(%1)"/>
      <w:numFmt w:val="lowerLetter"/>
      <w:start w:val="2"/>
    </w:lvl>
  </w:abstractNum>
  <w:abstractNum w:abstractNumId="67">
    <w:nsid w:val="C058DF5"/>
    <w:multiLevelType w:val="hybridMultilevel"/>
    <w:lvl w:ilvl="0">
      <w:lvlJc w:val="left"/>
      <w:lvlText w:val="(%1)"/>
      <w:numFmt w:val="lowerLetter"/>
      <w:start w:val="2"/>
    </w:lvl>
  </w:abstractNum>
  <w:abstractNum w:abstractNumId="68">
    <w:nsid w:val="CBE5BE9"/>
    <w:multiLevelType w:val="hybridMultilevel"/>
    <w:lvl w:ilvl="0">
      <w:lvlJc w:val="left"/>
      <w:lvlText w:val="(%1)"/>
      <w:numFmt w:val="lowerLetter"/>
      <w:start w:val="1"/>
    </w:lvl>
  </w:abstractNum>
  <w:abstractNum w:abstractNumId="69">
    <w:nsid w:val="3102BBE2"/>
    <w:multiLevelType w:val="hybridMultilevel"/>
    <w:lvl w:ilvl="0">
      <w:lvlJc w:val="left"/>
      <w:lvlText w:val="(%1)"/>
      <w:numFmt w:val="lowerLetter"/>
      <w:start w:val="2"/>
    </w:lvl>
  </w:abstractNum>
  <w:abstractNum w:abstractNumId="70">
    <w:nsid w:val="26A02C5E"/>
    <w:multiLevelType w:val="hybridMultilevel"/>
    <w:lvl w:ilvl="0">
      <w:lvlJc w:val="left"/>
      <w:lvlText w:val="%1"/>
      <w:numFmt w:val="lowerLetter"/>
      <w:start w:val="1"/>
    </w:lvl>
    <w:lvl w:ilvl="1">
      <w:lvlJc w:val="left"/>
      <w:lvlText w:val="(%2)"/>
      <w:numFmt w:val="lowerLetter"/>
      <w:start w:val="1"/>
    </w:lvl>
  </w:abstractNum>
  <w:abstractNum w:abstractNumId="71">
    <w:nsid w:val="541C8153"/>
    <w:multiLevelType w:val="hybridMultilevel"/>
    <w:lvl w:ilvl="0">
      <w:lvlJc w:val="left"/>
      <w:lvlText w:val="(%1)"/>
      <w:numFmt w:val="lowerLetter"/>
      <w:start w:val="1"/>
    </w:lvl>
    <w:lvl w:ilvl="1">
      <w:lvlJc w:val="left"/>
      <w:lvlText w:val="(%2)"/>
      <w:numFmt w:val="lowerLetter"/>
      <w:start w:val="2"/>
    </w:lvl>
  </w:abstractNum>
  <w:abstractNum w:abstractNumId="72">
    <w:nsid w:val="67906F60"/>
    <w:multiLevelType w:val="hybridMultilevel"/>
    <w:lvl w:ilvl="0">
      <w:lvlJc w:val="left"/>
      <w:lvlText w:val="(%1)"/>
      <w:numFmt w:val="lowerLetter"/>
      <w:start w:val="4"/>
    </w:lvl>
  </w:abstractNum>
  <w:abstractNum w:abstractNumId="73">
    <w:nsid w:val="10DB9DAA"/>
    <w:multiLevelType w:val="hybridMultilevel"/>
    <w:lvl w:ilvl="0">
      <w:lvlJc w:val="left"/>
      <w:lvlText w:val="(%1)"/>
      <w:numFmt w:val="lowerLetter"/>
      <w:start w:val="1"/>
    </w:lvl>
  </w:abstractNum>
  <w:abstractNum w:abstractNumId="74">
    <w:nsid w:val="697D2D2"/>
    <w:multiLevelType w:val="hybridMultilevel"/>
    <w:lvl w:ilvl="0">
      <w:lvlJc w:val="left"/>
      <w:lvlText w:val="(%1)"/>
      <w:numFmt w:val="lowerRoman"/>
      <w:start w:val="1"/>
    </w:lvl>
  </w:abstractNum>
  <w:abstractNum w:abstractNumId="75">
    <w:nsid w:val="6D68AB2"/>
    <w:multiLevelType w:val="hybridMultilevel"/>
    <w:lvl w:ilvl="0">
      <w:lvlJc w:val="left"/>
      <w:lvlText w:val="%1."/>
      <w:numFmt w:val="decimal"/>
      <w:start w:val="1"/>
    </w:lvl>
  </w:abstractNum>
  <w:abstractNum w:abstractNumId="76">
    <w:nsid w:val="3A966CD0"/>
    <w:multiLevelType w:val="hybridMultilevel"/>
    <w:lvl w:ilvl="0">
      <w:lvlJc w:val="left"/>
      <w:lvlText w:val="%1."/>
      <w:numFmt w:val="upperLetter"/>
      <w:start w:val="1"/>
    </w:lvl>
  </w:abstractNum>
  <w:abstractNum w:abstractNumId="77">
    <w:nsid w:val="63F37E85"/>
    <w:multiLevelType w:val="hybridMultilevel"/>
    <w:lvl w:ilvl="0">
      <w:lvlJc w:val="left"/>
      <w:lvlText w:val="%1."/>
      <w:numFmt w:val="upperLetter"/>
      <w:start w:val="2"/>
    </w:lvl>
  </w:abstractNum>
  <w:abstractNum w:abstractNumId="78">
    <w:nsid w:val="5895F5FA"/>
    <w:multiLevelType w:val="hybridMultilevel"/>
    <w:lvl w:ilvl="0">
      <w:lvlJc w:val="left"/>
      <w:lvlText w:val="%1."/>
      <w:numFmt w:val="upperLetter"/>
      <w:start w:val="1"/>
    </w:lvl>
  </w:abstractNum>
  <w:abstractNum w:abstractNumId="79">
    <w:nsid w:val="38A5D054"/>
    <w:multiLevelType w:val="hybridMultilevel"/>
    <w:lvl w:ilvl="0">
      <w:lvlJc w:val="left"/>
      <w:lvlText w:val="%1."/>
      <w:numFmt w:val="upperLetter"/>
      <w:start w:val="2"/>
    </w:lvl>
  </w:abstractNum>
  <w:abstractNum w:abstractNumId="80">
    <w:nsid w:val="F3F09D8"/>
    <w:multiLevelType w:val="hybridMultilevel"/>
    <w:lvl w:ilvl="0">
      <w:lvlJc w:val="left"/>
      <w:lvlText w:val="%1."/>
      <w:numFmt w:val="upperLetter"/>
      <w:start w:val="3"/>
    </w:lvl>
  </w:abstractNum>
  <w:abstractNum w:abstractNumId="81">
    <w:nsid w:val="4B793735"/>
    <w:multiLevelType w:val="hybridMultilevel"/>
    <w:lvl w:ilvl="0">
      <w:lvlJc w:val="left"/>
      <w:lvlText w:val="%1."/>
      <w:numFmt w:val="decimal"/>
      <w:start w:val="1"/>
    </w:lvl>
  </w:abstractNum>
  <w:abstractNum w:abstractNumId="82">
    <w:nsid w:val="4A10B4E8"/>
    <w:multiLevelType w:val="hybridMultilevel"/>
    <w:lvl w:ilvl="0">
      <w:lvlJc w:val="left"/>
      <w:lvlText w:val="%1."/>
      <w:numFmt w:val="upperLetter"/>
      <w:start w:val="4"/>
    </w:lvl>
  </w:abstractNum>
  <w:abstractNum w:abstractNumId="83">
    <w:nsid w:val="43D3BCD4"/>
    <w:multiLevelType w:val="hybridMultilevel"/>
    <w:lvl w:ilvl="0">
      <w:lvlJc w:val="left"/>
      <w:lvlText w:val="%1."/>
      <w:numFmt w:val="upperLetter"/>
      <w:start w:val="5"/>
    </w:lvl>
  </w:abstractNum>
  <w:abstractNum w:abstractNumId="84">
    <w:nsid w:val="4C2A7166"/>
    <w:multiLevelType w:val="hybridMultilevel"/>
    <w:lvl w:ilvl="0">
      <w:lvlJc w:val="left"/>
      <w:lvlText w:val="%1."/>
      <w:numFmt w:val="upperLetter"/>
      <w:start w:val="6"/>
    </w:lvl>
  </w:abstractNum>
  <w:abstractNum w:abstractNumId="85">
    <w:nsid w:val="2E534A82"/>
    <w:multiLevelType w:val="hybridMultilevel"/>
    <w:lvl w:ilvl="0">
      <w:lvlJc w:val="left"/>
      <w:lvlText w:val="%1."/>
      <w:numFmt w:val="upperLetter"/>
      <w:start w:val="7"/>
    </w:lvl>
  </w:abstractNum>
  <w:abstractNum w:abstractNumId="86">
    <w:nsid w:val="26F2D364"/>
    <w:multiLevelType w:val="hybridMultilevel"/>
    <w:lvl w:ilvl="0">
      <w:lvlJc w:val="left"/>
      <w:lvlText w:val="%1."/>
      <w:numFmt w:val="decimal"/>
      <w:start w:val="1"/>
    </w:lvl>
  </w:abstractNum>
  <w:abstractNum w:abstractNumId="87">
    <w:nsid w:val="71C1AF98"/>
    <w:multiLevelType w:val="hybridMultilevel"/>
    <w:lvl w:ilvl="0">
      <w:lvlJc w:val="left"/>
      <w:lvlText w:val="%1."/>
      <w:numFmt w:val="upperLetter"/>
      <w:start w:val="1"/>
    </w:lvl>
  </w:abstractNum>
  <w:abstractNum w:abstractNumId="88">
    <w:nsid w:val="3D00B9D9"/>
    <w:multiLevelType w:val="hybridMultilevel"/>
    <w:lvl w:ilvl="0">
      <w:lvlJc w:val="left"/>
      <w:lvlText w:val="%1."/>
      <w:numFmt w:val="upperLetter"/>
      <w:start w:val="1"/>
    </w:lvl>
  </w:abstractNum>
  <w:abstractNum w:abstractNumId="89">
    <w:nsid w:val="15BCABA8"/>
    <w:multiLevelType w:val="hybridMultilevel"/>
    <w:lvl w:ilvl="0">
      <w:lvlJc w:val="left"/>
      <w:lvlText w:val="%1."/>
      <w:numFmt w:val="upperLetter"/>
      <w:start w:val="1"/>
    </w:lvl>
  </w:abstractNum>
  <w:abstractNum w:abstractNumId="90">
    <w:nsid w:val="4E0B9A8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1">
    <w:nsid w:val="434BAE75"/>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92">
    <w:nsid w:val="4F38F265"/>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9"/>
    </w:lvl>
  </w:abstractNum>
  <w:abstractNum w:abstractNumId="93">
    <w:nsid w:val="4C502870"/>
    <w:multiLevelType w:val="hybridMultilevel"/>
    <w:lvl w:ilvl="0">
      <w:lvlJc w:val="left"/>
      <w:lvlText w:val="(%1)"/>
      <w:numFmt w:val="lowerRoman"/>
      <w:start w:val="2"/>
    </w:lvl>
  </w:abstractNum>
  <w:abstractNum w:abstractNumId="94">
    <w:nsid w:val="1DE8725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95">
    <w:nsid w:val="6A37288A"/>
    <w:multiLevelType w:val="hybridMultilevel"/>
    <w:lvl w:ilvl="0">
      <w:lvlJc w:val="left"/>
      <w:lvlText w:val="(%1)"/>
      <w:numFmt w:val="upperLetter"/>
      <w:start w:val="4"/>
    </w:lvl>
    <w:lvl w:ilvl="1">
      <w:lvlJc w:val="left"/>
      <w:lvlText w:val="(%2)"/>
      <w:numFmt w:val="lowerLetter"/>
      <w:start w:val="3"/>
    </w:lvl>
    <w:lvl w:ilvl="2">
      <w:lvlJc w:val="left"/>
      <w:lvlText w:val="%3"/>
      <w:numFmt w:val="lowerRoman"/>
      <w:start w:val="1"/>
    </w:lvl>
  </w:abstractNum>
  <w:abstractNum w:abstractNumId="96">
    <w:nsid w:val="8F8B73F"/>
    <w:multiLevelType w:val="hybridMultilevel"/>
    <w:lvl w:ilvl="0">
      <w:lvlJc w:val="left"/>
      <w:lvlText w:val="(%1)"/>
      <w:numFmt w:val="lowerLetter"/>
      <w:start w:val="4"/>
    </w:lvl>
  </w:abstractNum>
  <w:abstractNum w:abstractNumId="97">
    <w:nsid w:val="CA6B462"/>
    <w:multiLevelType w:val="hybridMultilevel"/>
    <w:lvl w:ilvl="0">
      <w:lvlJc w:val="left"/>
      <w:lvlText w:val="(%1)"/>
      <w:numFmt w:val="lowerLetter"/>
      <w:start w:val="6"/>
    </w:lvl>
    <w:lvl w:ilvl="1">
      <w:lvlJc w:val="left"/>
      <w:lvlText w:val="(%2)"/>
      <w:numFmt w:val="lowerLetter"/>
      <w:start w:val="9"/>
    </w:lvl>
  </w:abstractNum>
  <w:abstractNum w:abstractNumId="98">
    <w:nsid w:val="763CB680"/>
    <w:multiLevelType w:val="hybridMultilevel"/>
    <w:lvl w:ilvl="0">
      <w:lvlJc w:val="left"/>
      <w:lvlText w:val="(%1)"/>
      <w:numFmt w:val="lowerRoman"/>
      <w:start w:val="2"/>
    </w:lvl>
  </w:abstractNum>
  <w:abstractNum w:abstractNumId="99">
    <w:nsid w:val="15B71329"/>
    <w:multiLevelType w:val="hybridMultilevel"/>
    <w:lvl w:ilvl="0">
      <w:lvlJc w:val="left"/>
      <w:lvlText w:val="(%1)"/>
      <w:numFmt w:val="lowerRoman"/>
      <w:start w:val="3"/>
    </w:lvl>
  </w:abstractNum>
  <w:abstractNum w:abstractNumId="100">
    <w:nsid w:val="3DA97044"/>
    <w:multiLevelType w:val="hybridMultilevel"/>
    <w:lvl w:ilvl="0">
      <w:lvlJc w:val="left"/>
      <w:lvlText w:val="(%1)"/>
      <w:numFmt w:val="upperLetter"/>
      <w:start w:val="1"/>
    </w:lvl>
  </w:abstractNum>
  <w:abstractNum w:abstractNumId="101">
    <w:nsid w:val="1CDCE2DE"/>
    <w:multiLevelType w:val="hybridMultilevel"/>
    <w:lvl w:ilvl="0">
      <w:lvlJc w:val="left"/>
      <w:lvlText w:val="(%1)"/>
      <w:numFmt w:val="lowerRoman"/>
      <w:start w:val="5"/>
    </w:lvl>
  </w:abstractNum>
  <w:abstractNum w:abstractNumId="102">
    <w:nsid w:val="69D3947C"/>
    <w:multiLevelType w:val="hybridMultilevel"/>
    <w:lvl w:ilvl="0">
      <w:lvlJc w:val="left"/>
      <w:lvlText w:val="%1"/>
      <w:numFmt w:val="lowerRoman"/>
      <w:start w:val="1"/>
    </w:lvl>
    <w:lvl w:ilvl="1">
      <w:lvlJc w:val="left"/>
      <w:lvlText w:val="(%2)"/>
      <w:numFmt w:val="lowerLetter"/>
      <w:start w:val="1"/>
    </w:lvl>
  </w:abstractNum>
  <w:abstractNum w:abstractNumId="103">
    <w:nsid w:val="2539DFA5"/>
    <w:multiLevelType w:val="hybridMultilevel"/>
    <w:lvl w:ilvl="0">
      <w:lvlJc w:val="left"/>
      <w:lvlText w:val="(%1)."/>
      <w:numFmt w:val="lowerRoman"/>
      <w:start w:val="4"/>
    </w:lvl>
    <w:lvl w:ilvl="1">
      <w:lvlJc w:val="left"/>
      <w:lvlText w:val="%2"/>
      <w:numFmt w:val="lowerLetter"/>
      <w:start w:val="1"/>
    </w:lvl>
  </w:abstractNum>
  <w:abstractNum w:abstractNumId="104">
    <w:nsid w:val="2DB88089"/>
    <w:multiLevelType w:val="hybridMultilevel"/>
    <w:lvl w:ilvl="0">
      <w:lvlJc w:val="left"/>
      <w:lvlText w:val="(%1)"/>
      <w:numFmt w:val="lowerRoman"/>
      <w:start w:val="4"/>
    </w:lvl>
    <w:lvl w:ilvl="1">
      <w:lvlJc w:val="left"/>
      <w:lvlText w:val="%2"/>
      <w:numFmt w:val="lowerLetter"/>
      <w:start w:val="1"/>
    </w:lvl>
  </w:abstractNum>
  <w:abstractNum w:abstractNumId="105">
    <w:nsid w:val="706B674E"/>
    <w:multiLevelType w:val="hybridMultilevel"/>
    <w:lvl w:ilvl="0">
      <w:lvlJc w:val="left"/>
      <w:lvlText w:val="(%1)"/>
      <w:numFmt w:val="lowerLetter"/>
      <w:start w:val="4"/>
    </w:lvl>
  </w:abstractNum>
  <w:abstractNum w:abstractNumId="106">
    <w:nsid w:val="2C106A57"/>
    <w:multiLevelType w:val="hybridMultilevel"/>
    <w:lvl w:ilvl="0">
      <w:lvlJc w:val="left"/>
      <w:lvlText w:val="(%1)"/>
      <w:numFmt w:val="lowerLetter"/>
      <w:start w:val="5"/>
    </w:lvl>
  </w:abstractNum>
  <w:abstractNum w:abstractNumId="107">
    <w:nsid w:val="684EED59"/>
    <w:multiLevelType w:val="hybridMultilevel"/>
    <w:lvl w:ilvl="0">
      <w:lvlJc w:val="left"/>
      <w:lvlText w:val="(%1)"/>
      <w:numFmt w:val="lowerRoman"/>
      <w:start w:val="1"/>
    </w:lvl>
  </w:abstractNum>
  <w:abstractNum w:abstractNumId="108">
    <w:nsid w:val="545EE5D3"/>
    <w:multiLevelType w:val="hybridMultilevel"/>
    <w:lvl w:ilvl="0">
      <w:lvlJc w:val="left"/>
      <w:lvlText w:val="(%1)"/>
      <w:numFmt w:val="lowerLetter"/>
      <w:start w:val="1"/>
    </w:lvl>
  </w:abstractNum>
  <w:abstractNum w:abstractNumId="109">
    <w:nsid w:val="4A66051"/>
    <w:multiLevelType w:val="hybridMultilevel"/>
    <w:lvl w:ilvl="0">
      <w:lvlJc w:val="left"/>
      <w:lvlText w:val="(%1)"/>
      <w:numFmt w:val="lowerLetter"/>
      <w:start w:val="1"/>
    </w:lvl>
  </w:abstractNum>
  <w:abstractNum w:abstractNumId="110">
    <w:nsid w:val="20F4BDAD"/>
    <w:multiLevelType w:val="hybridMultilevel"/>
    <w:lvl w:ilvl="0">
      <w:lvlJc w:val="left"/>
      <w:lvlText w:val="(%1)"/>
      <w:numFmt w:val="lowerLetter"/>
      <w:start w:val="1"/>
    </w:lvl>
  </w:abstractNum>
  <w:abstractNum w:abstractNumId="111">
    <w:nsid w:val="639DEFAC"/>
    <w:multiLevelType w:val="hybridMultilevel"/>
    <w:lvl w:ilvl="0">
      <w:lvlJc w:val="left"/>
      <w:lvlText w:val="%1"/>
      <w:numFmt w:val="decimal"/>
      <w:start w:val="1"/>
    </w:lvl>
    <w:lvl w:ilvl="1">
      <w:lvlJc w:val="left"/>
      <w:lvlText w:val="(%2)"/>
      <w:numFmt w:val="lowerLetter"/>
      <w:start w:val="3"/>
    </w:lvl>
  </w:abstractNum>
  <w:abstractNum w:abstractNumId="112">
    <w:nsid w:val="501F9786"/>
    <w:multiLevelType w:val="hybridMultilevel"/>
    <w:lvl w:ilvl="0">
      <w:lvlJc w:val="left"/>
      <w:lvlText w:val="(%1)"/>
      <w:numFmt w:val="decimal"/>
      <w:start w:val="5"/>
    </w:lvl>
    <w:lvl w:ilvl="1">
      <w:lvlJc w:val="left"/>
      <w:lvlText w:val="%2"/>
      <w:numFmt w:val="lowerLetter"/>
      <w:start w:val="1"/>
    </w:lvl>
  </w:abstractNum>
  <w:abstractNum w:abstractNumId="113">
    <w:nsid w:val="6B057295"/>
    <w:multiLevelType w:val="hybridMultilevel"/>
    <w:lvl w:ilvl="0">
      <w:lvlJc w:val="left"/>
      <w:lvlText w:val="(%1)"/>
      <w:numFmt w:val="lowerLetter"/>
      <w:start w:val="1"/>
    </w:lvl>
  </w:abstractNum>
  <w:abstractNum w:abstractNumId="114">
    <w:nsid w:val="2771AC80"/>
    <w:multiLevelType w:val="hybridMultilevel"/>
    <w:lvl w:ilvl="0">
      <w:lvlJc w:val="left"/>
      <w:lvlText w:val="(%1)"/>
      <w:numFmt w:val="lowerLetter"/>
      <w:start w:val="1"/>
    </w:lvl>
  </w:abstractNum>
  <w:abstractNum w:abstractNumId="115">
    <w:nsid w:val="1C4A08EC"/>
    <w:multiLevelType w:val="hybridMultilevel"/>
    <w:lvl w:ilvl="0">
      <w:lvlJc w:val="left"/>
      <w:lvlText w:val="(%1)"/>
      <w:numFmt w:val="lowerLetter"/>
      <w:start w:val="5"/>
    </w:lvl>
  </w:abstractNum>
  <w:abstractNum w:abstractNumId="116">
    <w:nsid w:val="1958BD17"/>
    <w:multiLevelType w:val="hybridMultilevel"/>
    <w:lvl w:ilvl="0">
      <w:lvlJc w:val="left"/>
      <w:lvlText w:val="(%1)"/>
      <w:numFmt w:val="lowerLetter"/>
      <w:start w:val="1"/>
    </w:lvl>
  </w:abstractNum>
  <w:abstractNum w:abstractNumId="117">
    <w:nsid w:val="4E647FE4"/>
    <w:multiLevelType w:val="hybridMultilevel"/>
    <w:lvl w:ilvl="0">
      <w:lvlJc w:val="left"/>
      <w:lvlText w:val="(%1)"/>
      <w:numFmt w:val="lowerLetter"/>
      <w:start w:val="1"/>
    </w:lvl>
  </w:abstractNum>
  <w:abstractNum w:abstractNumId="118">
    <w:nsid w:val="E0BB885"/>
    <w:multiLevelType w:val="hybridMultilevel"/>
    <w:lvl w:ilvl="0">
      <w:lvlJc w:val="left"/>
      <w:lvlText w:val="(%1)"/>
      <w:numFmt w:val="lowerLetter"/>
      <w:start w:val="1"/>
    </w:lvl>
  </w:abstractNum>
  <w:abstractNum w:abstractNumId="119">
    <w:nsid w:val="565976F1"/>
    <w:multiLevelType w:val="hybridMultilevel"/>
    <w:lvl w:ilvl="0">
      <w:lvlJc w:val="left"/>
      <w:lvlText w:val="(%1)"/>
      <w:numFmt w:val="lowerLetter"/>
      <w:start w:val="1"/>
    </w:lvl>
  </w:abstractNum>
  <w:abstractNum w:abstractNumId="120">
    <w:nsid w:val="64212B8C"/>
    <w:multiLevelType w:val="hybridMultilevel"/>
    <w:lvl w:ilvl="0">
      <w:lvlJc w:val="left"/>
      <w:lvlText w:val="(%1)"/>
      <w:numFmt w:val="lowerLetter"/>
      <w:start w:val="4"/>
    </w:lvl>
  </w:abstractNum>
  <w:abstractNum w:abstractNumId="121">
    <w:nsid w:val="5C17530C"/>
    <w:multiLevelType w:val="hybridMultilevel"/>
    <w:lvl w:ilvl="0">
      <w:lvlJc w:val="left"/>
      <w:lvlText w:val="(%1)"/>
      <w:numFmt w:val="lowerLetter"/>
      <w:start w:val="1"/>
    </w:lvl>
  </w:abstractNum>
  <w:abstractNum w:abstractNumId="122">
    <w:nsid w:val="19A52566"/>
    <w:multiLevelType w:val="hybridMultilevel"/>
    <w:lvl w:ilvl="0">
      <w:lvlJc w:val="left"/>
      <w:lvlText w:val="(%1)"/>
      <w:numFmt w:val="lowerLetter"/>
      <w:start w:val="1"/>
    </w:lvl>
  </w:abstractNum>
  <w:abstractNum w:abstractNumId="123">
    <w:nsid w:val="335A1DF1"/>
    <w:multiLevelType w:val="hybridMultilevel"/>
    <w:lvl w:ilvl="0">
      <w:lvlJc w:val="left"/>
      <w:lvlText w:val="(%1)"/>
      <w:numFmt w:val="lowerLetter"/>
      <w:start w:val="1"/>
    </w:lvl>
  </w:abstractNum>
  <w:abstractNum w:abstractNumId="124">
    <w:nsid w:val="28677B7C"/>
    <w:multiLevelType w:val="hybridMultilevel"/>
    <w:lvl w:ilvl="0">
      <w:lvlJc w:val="left"/>
      <w:lvlText w:val="(%1)"/>
      <w:numFmt w:val="lowerLetter"/>
      <w:start w:val="4"/>
    </w:lvl>
  </w:abstractNum>
  <w:abstractNum w:abstractNumId="125">
    <w:nsid w:val="378D97C0"/>
    <w:multiLevelType w:val="hybridMultilevel"/>
    <w:lvl w:ilvl="0">
      <w:lvlJc w:val="left"/>
      <w:lvlText w:val="(%1)"/>
      <w:numFmt w:val="lowerLetter"/>
      <w:start w:val="6"/>
    </w:lvl>
    <w:lvl w:ilvl="1">
      <w:lvlJc w:val="left"/>
      <w:lvlText w:val="(%2)"/>
      <w:numFmt w:val="lowerRoman"/>
      <w:start w:val="1"/>
    </w:lvl>
  </w:abstractNum>
  <w:abstractNum w:abstractNumId="126">
    <w:nsid w:val="1D91467C"/>
    <w:multiLevelType w:val="hybridMultilevel"/>
    <w:lvl w:ilvl="0">
      <w:lvlJc w:val="left"/>
      <w:lvlText w:val="(%1)"/>
      <w:numFmt w:val="lowerRoman"/>
      <w:start w:val="5"/>
    </w:lvl>
  </w:abstractNum>
  <w:abstractNum w:abstractNumId="127">
    <w:nsid w:val="316032BB"/>
    <w:multiLevelType w:val="hybridMultilevel"/>
    <w:lvl w:ilvl="0">
      <w:lvlJc w:val="left"/>
      <w:lvlText w:val="(%1)"/>
      <w:numFmt w:val="lowerLetter"/>
      <w:start w:val="1"/>
    </w:lvl>
  </w:abstractNum>
  <w:abstractNum w:abstractNumId="128">
    <w:nsid w:val="44344C22"/>
    <w:multiLevelType w:val="hybridMultilevel"/>
    <w:lvl w:ilvl="0">
      <w:lvlJc w:val="left"/>
      <w:lvlText w:val="(%1)"/>
      <w:numFmt w:val="lowerLetter"/>
      <w:start w:val="6"/>
    </w:lvl>
  </w:abstractNum>
  <w:abstractNum w:abstractNumId="129">
    <w:nsid w:val="13CDFCFC"/>
    <w:multiLevelType w:val="hybridMultilevel"/>
    <w:lvl w:ilvl="0">
      <w:lvlJc w:val="left"/>
      <w:lvlText w:val="(%1)"/>
      <w:numFmt w:val="lowerRoman"/>
      <w:start w:val="3"/>
    </w:lvl>
  </w:abstractNum>
  <w:abstractNum w:abstractNumId="130">
    <w:nsid w:val="471745E4"/>
    <w:multiLevelType w:val="hybridMultilevel"/>
    <w:lvl w:ilvl="0">
      <w:lvlJc w:val="left"/>
      <w:lvlText w:val="(%1)"/>
      <w:numFmt w:val="upperLetter"/>
      <w:start w:val="1"/>
    </w:lvl>
  </w:abstractNum>
  <w:abstractNum w:abstractNumId="131">
    <w:nsid w:val="1DDBC66"/>
    <w:multiLevelType w:val="hybridMultilevel"/>
    <w:lvl w:ilvl="0">
      <w:lvlJc w:val="left"/>
      <w:lvlText w:val="%1"/>
      <w:numFmt w:val="lowerLetter"/>
      <w:start w:val="1"/>
    </w:lvl>
    <w:lvl w:ilvl="1">
      <w:lvlJc w:val="left"/>
      <w:lvlText w:val="(%2)"/>
      <w:numFmt w:val="lowerLetter"/>
      <w:start w:val="1"/>
    </w:lvl>
  </w:abstractNum>
  <w:abstractNum w:abstractNumId="132">
    <w:nsid w:val="30AADFDA"/>
    <w:multiLevelType w:val="hybridMultilevel"/>
    <w:lvl w:ilvl="0">
      <w:lvlJc w:val="left"/>
      <w:lvlText w:val="(%1)"/>
      <w:numFmt w:val="lowerLetter"/>
      <w:start w:val="35"/>
    </w:lvl>
    <w:lvl w:ilvl="1">
      <w:lvlJc w:val="left"/>
      <w:lvlText w:val="(%2)"/>
      <w:numFmt w:val="lowerLetter"/>
      <w:start w:val="2"/>
    </w:lvl>
  </w:abstractNum>
  <w:abstractNum w:abstractNumId="133">
    <w:nsid w:val="30EADA61"/>
    <w:multiLevelType w:val="hybridMultilevel"/>
    <w:lvl w:ilvl="0">
      <w:lvlJc w:val="left"/>
      <w:lvlText w:val="(%1)"/>
      <w:numFmt w:val="decimal"/>
      <w:start w:val="12"/>
    </w:lvl>
  </w:abstractNum>
  <w:abstractNum w:abstractNumId="134">
    <w:nsid w:val="27179C0B"/>
    <w:multiLevelType w:val="hybridMultilevel"/>
    <w:lvl w:ilvl="0">
      <w:lvlJc w:val="left"/>
      <w:lvlText w:val="(%1)"/>
      <w:numFmt w:val="decimal"/>
      <w:start w:val="12"/>
    </w:lvl>
  </w:abstractNum>
  <w:abstractNum w:abstractNumId="135">
    <w:nsid w:val="5E636063"/>
    <w:multiLevelType w:val="hybridMultilevel"/>
    <w:lvl w:ilvl="0">
      <w:lvlJc w:val="left"/>
      <w:lvlText w:val="(%1)"/>
      <w:numFmt w:val="decimal"/>
      <w:start w:val="3"/>
    </w:lvl>
  </w:abstractNum>
  <w:abstractNum w:abstractNumId="136">
    <w:nsid w:val="215641AF"/>
    <w:multiLevelType w:val="hybridMultilevel"/>
    <w:lvl w:ilvl="0">
      <w:lvlJc w:val="left"/>
      <w:lvlText w:val="["/>
      <w:numFmt w:val="bullet"/>
      <w:start w:val="1"/>
    </w:lvl>
  </w:abstractNum>
  <w:abstractNum w:abstractNumId="137">
    <w:nsid w:val="53280662"/>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138">
    <w:nsid w:val="46B24DBC"/>
    <w:multiLevelType w:val="hybridMultilevel"/>
    <w:lvl w:ilvl="0">
      <w:lvlJc w:val="left"/>
      <w:lvlText w:val="(%1)"/>
      <w:numFmt w:val="lowerRoman"/>
      <w:start w:val="3"/>
    </w:lvl>
    <w:lvl w:ilvl="1">
      <w:lvlJc w:val="left"/>
      <w:lvlText w:val="%2."/>
      <w:numFmt w:val="decimal"/>
      <w:start w:val="2"/>
    </w:lvl>
    <w:lvl w:ilvl="2">
      <w:lvlJc w:val="left"/>
      <w:lvlText w:val="(%3)"/>
      <w:numFmt w:val="lowerRoman"/>
      <w:start w:val="1"/>
    </w:lvl>
  </w:abstractNum>
  <w:abstractNum w:abstractNumId="139">
    <w:nsid w:val="75B52783"/>
    <w:multiLevelType w:val="hybridMultilevel"/>
    <w:lvl w:ilvl="0">
      <w:lvlJc w:val="left"/>
      <w:lvlText w:val="(%1)"/>
      <w:numFmt w:val="lowerRoman"/>
      <w:start w:val="3"/>
    </w:lvl>
  </w:abstractNum>
  <w:abstractNum w:abstractNumId="140">
    <w:nsid w:val="57CE66B4"/>
    <w:multiLevelType w:val="hybridMultilevel"/>
    <w:lvl w:ilvl="0">
      <w:lvlJc w:val="left"/>
      <w:lvlText w:val="%1."/>
      <w:numFmt w:val="decimal"/>
      <w:start w:val="3"/>
    </w:lvl>
  </w:abstractNum>
  <w:abstractNum w:abstractNumId="141">
    <w:nsid w:val="67A70B69"/>
    <w:multiLevelType w:val="hybridMultilevel"/>
    <w:lvl w:ilvl="0">
      <w:lvlJc w:val="left"/>
      <w:lvlText w:val="%1."/>
      <w:numFmt w:val="decimal"/>
      <w:start w:val="6"/>
    </w:lvl>
  </w:abstractNum>
  <w:abstractNum w:abstractNumId="142">
    <w:nsid w:val="5953172F"/>
    <w:multiLevelType w:val="hybridMultilevel"/>
    <w:lvl w:ilvl="0">
      <w:lvlJc w:val="left"/>
      <w:lvlText w:val="%1."/>
      <w:numFmt w:val="decimal"/>
      <w:start w:val="9"/>
    </w:lvl>
  </w:abstractNum>
  <w:abstractNum w:abstractNumId="143">
    <w:nsid w:val="27EDFE3A"/>
    <w:multiLevelType w:val="hybridMultilevel"/>
    <w:lvl w:ilvl="0">
      <w:lvlJc w:val="left"/>
      <w:lvlText w:val="%1."/>
      <w:numFmt w:val="decimal"/>
      <w:start w:val="1"/>
    </w:lvl>
  </w:abstractNum>
  <w:abstractNum w:abstractNumId="144">
    <w:nsid w:val="52AC7DFF"/>
    <w:multiLevelType w:val="hybridMultilevel"/>
    <w:lvl w:ilvl="0">
      <w:lvlJc w:val="left"/>
      <w:lvlText w:val="(%1)"/>
      <w:numFmt w:val="lowerLetter"/>
      <w:start w:val="1"/>
    </w:lvl>
  </w:abstractNum>
  <w:abstractNum w:abstractNumId="145">
    <w:nsid w:val="C4C3AF"/>
    <w:multiLevelType w:val="hybridMultilevel"/>
    <w:lvl w:ilvl="0">
      <w:lvlJc w:val="left"/>
      <w:lvlText w:val="(%1)"/>
      <w:numFmt w:val="lowerLetter"/>
      <w:start w:val="3"/>
    </w:lvl>
  </w:abstractNum>
  <w:abstractNum w:abstractNumId="146">
    <w:nsid w:val="44380727"/>
    <w:multiLevelType w:val="hybridMultilevel"/>
    <w:lvl w:ilvl="0">
      <w:lvlJc w:val="left"/>
      <w:lvlText w:val="%1."/>
      <w:numFmt w:val="decimal"/>
      <w:start w:val="2"/>
    </w:lvl>
  </w:abstractNum>
  <w:abstractNum w:abstractNumId="147">
    <w:nsid w:val="6C053B16"/>
    <w:multiLevelType w:val="hybridMultilevel"/>
    <w:lvl w:ilvl="0">
      <w:lvlJc w:val="left"/>
      <w:lvlText w:val="(%1)"/>
      <w:numFmt w:val="lowerLetter"/>
      <w:start w:val="1"/>
    </w:lvl>
  </w:abstractNum>
  <w:abstractNum w:abstractNumId="148">
    <w:nsid w:val="4F294393"/>
    <w:multiLevelType w:val="hybridMultilevel"/>
    <w:lvl w:ilvl="0">
      <w:lvlJc w:val="left"/>
      <w:lvlText w:val="(%1)"/>
      <w:numFmt w:val="lowerLetter"/>
      <w:start w:val="3"/>
    </w:lvl>
  </w:abstractNum>
  <w:abstractNum w:abstractNumId="149">
    <w:nsid w:val="5243BFAC"/>
    <w:multiLevelType w:val="hybridMultilevel"/>
    <w:lvl w:ilvl="0">
      <w:lvlJc w:val="left"/>
      <w:lvlText w:val="(%1)"/>
      <w:numFmt w:val="lowerRoman"/>
      <w:start w:val="1"/>
    </w:lvl>
  </w:abstractNum>
  <w:abstractNum w:abstractNumId="150">
    <w:nsid w:val="425EB207"/>
    <w:multiLevelType w:val="hybridMultilevel"/>
    <w:lvl w:ilvl="0">
      <w:lvlJc w:val="left"/>
      <w:lvlText w:val="%1."/>
      <w:numFmt w:val="decimal"/>
      <w:start w:val="3"/>
    </w:lvl>
  </w:abstractNum>
  <w:abstractNum w:abstractNumId="151">
    <w:nsid w:val="334A6F1F"/>
    <w:multiLevelType w:val="hybridMultilevel"/>
    <w:lvl w:ilvl="0">
      <w:lvlJc w:val="left"/>
      <w:lvlText w:val="(%1)"/>
      <w:numFmt w:val="lowerLetter"/>
      <w:start w:val="1"/>
    </w:lvl>
  </w:abstractNum>
  <w:abstractNum w:abstractNumId="152">
    <w:nsid w:val="2E5B12B8"/>
    <w:multiLevelType w:val="hybridMultilevel"/>
    <w:lvl w:ilvl="0">
      <w:lvlJc w:val="left"/>
      <w:lvlText w:val="(%1)"/>
      <w:numFmt w:val="lowerRoman"/>
      <w:start w:val="1"/>
    </w:lvl>
  </w:abstractNum>
  <w:abstractNum w:abstractNumId="153">
    <w:nsid w:val="5C03D76D"/>
    <w:multiLevelType w:val="hybridMultilevel"/>
    <w:lvl w:ilvl="0">
      <w:lvlJc w:val="left"/>
      <w:lvlText w:val="(%1)"/>
      <w:numFmt w:val="lowerRoman"/>
      <w:start w:val="3"/>
    </w:lvl>
  </w:abstractNum>
  <w:abstractNum w:abstractNumId="154">
    <w:nsid w:val="66A48D11"/>
    <w:multiLevelType w:val="hybridMultilevel"/>
    <w:lvl w:ilvl="0">
      <w:lvlJc w:val="left"/>
      <w:lvlText w:val="(%1)"/>
      <w:numFmt w:val="lowerLetter"/>
      <w:start w:val="3"/>
    </w:lvl>
  </w:abstractNum>
  <w:abstractNum w:abstractNumId="155">
    <w:nsid w:val="56C28E34"/>
    <w:multiLevelType w:val="hybridMultilevel"/>
    <w:lvl w:ilvl="0">
      <w:lvlJc w:val="left"/>
      <w:lvlText w:val="%1."/>
      <w:numFmt w:val="decimal"/>
      <w:start w:val="4"/>
    </w:lvl>
  </w:abstractNum>
  <w:abstractNum w:abstractNumId="156">
    <w:nsid w:val="13916F2D"/>
    <w:multiLevelType w:val="hybridMultilevel"/>
    <w:lvl w:ilvl="0">
      <w:lvlJc w:val="left"/>
      <w:lvlText w:val="(%1)"/>
      <w:numFmt w:val="lowerLetter"/>
      <w:start w:val="1"/>
    </w:lvl>
  </w:abstractNum>
  <w:abstractNum w:abstractNumId="157">
    <w:nsid w:val="435D38D"/>
    <w:multiLevelType w:val="hybridMultilevel"/>
    <w:lvl w:ilvl="0">
      <w:lvlJc w:val="left"/>
      <w:lvlText w:val="(%1)"/>
      <w:numFmt w:val="lowerRoman"/>
      <w:start w:val="1"/>
    </w:lvl>
  </w:abstractNum>
  <w:abstractNum w:abstractNumId="158">
    <w:nsid w:val="822C0EF"/>
    <w:multiLevelType w:val="hybridMultilevel"/>
    <w:lvl w:ilvl="0">
      <w:lvlJc w:val="left"/>
      <w:lvlText w:val="(%1)"/>
      <w:numFmt w:val="lowerRoman"/>
      <w:start w:val="5"/>
    </w:lvl>
  </w:abstractNum>
  <w:abstractNum w:abstractNumId="159">
    <w:nsid w:val="57C5BB4F"/>
    <w:multiLevelType w:val="hybridMultilevel"/>
    <w:lvl w:ilvl="0">
      <w:lvlJc w:val="left"/>
      <w:lvlText w:val="(%1)"/>
      <w:numFmt w:val="lowerLetter"/>
      <w:start w:val="4"/>
    </w:lvl>
  </w:abstractNum>
  <w:abstractNum w:abstractNumId="160">
    <w:nsid w:val="1803D089"/>
    <w:multiLevelType w:val="hybridMultilevel"/>
    <w:lvl w:ilvl="0">
      <w:lvlJc w:val="left"/>
      <w:lvlText w:val="(%1)"/>
      <w:numFmt w:val="lowerRoman"/>
      <w:start w:val="1"/>
    </w:lvl>
  </w:abstractNum>
  <w:abstractNum w:abstractNumId="161">
    <w:nsid w:val="4F3A06D4"/>
    <w:multiLevelType w:val="hybridMultilevel"/>
    <w:lvl w:ilvl="0">
      <w:lvlJc w:val="left"/>
      <w:lvlText w:val="(%1)"/>
      <w:numFmt w:val="lowerLetter"/>
      <w:start w:val="6"/>
    </w:lvl>
  </w:abstractNum>
  <w:abstractNum w:abstractNumId="162">
    <w:nsid w:val="59A377B6"/>
    <w:multiLevelType w:val="hybridMultilevel"/>
    <w:lvl w:ilvl="0">
      <w:lvlJc w:val="left"/>
      <w:lvlText w:val="(%1)"/>
      <w:numFmt w:val="lowerLetter"/>
      <w:start w:val="8"/>
    </w:lvl>
  </w:abstractNum>
  <w:abstractNum w:abstractNumId="163">
    <w:nsid w:val="48AEB063"/>
    <w:multiLevelType w:val="hybridMultilevel"/>
    <w:lvl w:ilvl="0">
      <w:lvlJc w:val="left"/>
      <w:lvlText w:val="(%1)"/>
      <w:numFmt w:val="lowerRoman"/>
      <w:start w:val="2"/>
    </w:lvl>
  </w:abstractNum>
  <w:abstractNum w:abstractNumId="164">
    <w:nsid w:val="24E135"/>
    <w:multiLevelType w:val="hybridMultilevel"/>
    <w:lvl w:ilvl="0">
      <w:lvlJc w:val="left"/>
      <w:lvlText w:val="(%1)"/>
      <w:numFmt w:val="lowerRoman"/>
      <w:start w:val="1"/>
    </w:lvl>
  </w:abstractNum>
  <w:abstractNum w:abstractNumId="165">
    <w:nsid w:val="BB13C1"/>
    <w:multiLevelType w:val="hybridMultilevel"/>
    <w:lvl w:ilvl="0">
      <w:lvlJc w:val="left"/>
      <w:lvlText w:val="(%1)"/>
      <w:numFmt w:val="lowerLetter"/>
      <w:start w:val="10"/>
    </w:lvl>
  </w:abstractNum>
  <w:abstractNum w:abstractNumId="166">
    <w:nsid w:val="271210C7"/>
    <w:multiLevelType w:val="hybridMultilevel"/>
    <w:lvl w:ilvl="0">
      <w:lvlJc w:val="left"/>
      <w:lvlText w:val="%1."/>
      <w:numFmt w:val="decimal"/>
      <w:start w:val="5"/>
    </w:lvl>
  </w:abstractNum>
  <w:abstractNum w:abstractNumId="167">
    <w:nsid w:val="217B22E4"/>
    <w:multiLevelType w:val="hybridMultilevel"/>
    <w:lvl w:ilvl="0">
      <w:lvlJc w:val="left"/>
      <w:lvlText w:val="(%1)"/>
      <w:numFmt w:val="lowerLetter"/>
      <w:start w:val="1"/>
    </w:lvl>
  </w:abstractNum>
  <w:abstractNum w:abstractNumId="168">
    <w:nsid w:val="53E31A24"/>
    <w:multiLevelType w:val="hybridMultilevel"/>
    <w:lvl w:ilvl="0">
      <w:lvlJc w:val="left"/>
      <w:lvlText w:val="(%1)"/>
      <w:numFmt w:val="lowerRoman"/>
      <w:start w:val="1"/>
    </w:lvl>
  </w:abstractNum>
  <w:abstractNum w:abstractNumId="169">
    <w:nsid w:val="6DC45E83"/>
    <w:multiLevelType w:val="hybridMultilevel"/>
    <w:lvl w:ilvl="0">
      <w:lvlJc w:val="left"/>
      <w:lvlText w:val="(%1)"/>
      <w:numFmt w:val="decimal"/>
      <w:start w:val="1"/>
    </w:lvl>
  </w:abstractNum>
  <w:abstractNum w:abstractNumId="170">
    <w:nsid w:val="17304A67"/>
    <w:multiLevelType w:val="hybridMultilevel"/>
    <w:lvl w:ilvl="0">
      <w:lvlJc w:val="left"/>
      <w:lvlText w:val="(%1)"/>
      <w:numFmt w:val="lowerRoman"/>
      <w:start w:val="2"/>
    </w:lvl>
  </w:abstractNum>
  <w:abstractNum w:abstractNumId="171">
    <w:nsid w:val="2BB180D8"/>
    <w:multiLevelType w:val="hybridMultilevel"/>
    <w:lvl w:ilvl="0">
      <w:lvlJc w:val="left"/>
      <w:lvlText w:val="(%1)"/>
      <w:numFmt w:val="decimal"/>
      <w:start w:val="1"/>
    </w:lvl>
  </w:abstractNum>
  <w:abstractNum w:abstractNumId="172">
    <w:nsid w:val="556B69ED"/>
    <w:multiLevelType w:val="hybridMultilevel"/>
    <w:lvl w:ilvl="0">
      <w:lvlJc w:val="left"/>
      <w:lvlText w:val="(%1)"/>
      <w:numFmt w:val="lowerRoman"/>
      <w:start w:val="3"/>
    </w:lvl>
  </w:abstractNum>
  <w:abstractNum w:abstractNumId="173">
    <w:nsid w:val="70836196"/>
    <w:multiLevelType w:val="hybridMultilevel"/>
    <w:lvl w:ilvl="0">
      <w:lvlJc w:val="left"/>
      <w:lvlText w:val="(%1)"/>
      <w:numFmt w:val="lowerLetter"/>
      <w:start w:val="2"/>
    </w:lvl>
  </w:abstractNum>
  <w:abstractNum w:abstractNumId="174">
    <w:nsid w:val="539F7F12"/>
    <w:multiLevelType w:val="hybridMultilevel"/>
    <w:lvl w:ilvl="0">
      <w:lvlJc w:val="left"/>
      <w:lvlText w:val="%1."/>
      <w:numFmt w:val="decimal"/>
      <w:start w:val="6"/>
    </w:lvl>
  </w:abstractNum>
  <w:abstractNum w:abstractNumId="175">
    <w:nsid w:val="2817E7EC"/>
    <w:multiLevelType w:val="hybridMultilevel"/>
    <w:lvl w:ilvl="0">
      <w:lvlJc w:val="left"/>
      <w:lvlText w:val="(%1)"/>
      <w:numFmt w:val="lowerLetter"/>
      <w:start w:val="1"/>
    </w:lvl>
  </w:abstractNum>
  <w:abstractNum w:abstractNumId="176">
    <w:nsid w:val="71482545"/>
    <w:multiLevelType w:val="hybridMultilevel"/>
    <w:lvl w:ilvl="0">
      <w:lvlJc w:val="left"/>
      <w:lvlText w:val="(%1)"/>
      <w:numFmt w:val="lowerLetter"/>
      <w:start w:val="3"/>
    </w:lvl>
  </w:abstractNum>
  <w:abstractNum w:abstractNumId="177">
    <w:nsid w:val="17D78639"/>
    <w:multiLevelType w:val="hybridMultilevel"/>
    <w:lvl w:ilvl="0">
      <w:lvlJc w:val="left"/>
      <w:lvlText w:val="(%1)"/>
      <w:numFmt w:val="lowerRoman"/>
      <w:start w:val="1"/>
    </w:lvl>
  </w:abstractNum>
  <w:abstractNum w:abstractNumId="178">
    <w:nsid w:val="141D2302"/>
    <w:multiLevelType w:val="hybridMultilevel"/>
    <w:lvl w:ilvl="0">
      <w:lvlJc w:val="left"/>
      <w:lvlText w:val="(%1)"/>
      <w:numFmt w:val="lowerRoman"/>
      <w:start w:val="4"/>
    </w:lvl>
  </w:abstractNum>
  <w:abstractNum w:abstractNumId="179">
    <w:nsid w:val="407168D8"/>
    <w:multiLevelType w:val="hybridMultilevel"/>
    <w:lvl w:ilvl="0">
      <w:lvlJc w:val="left"/>
      <w:lvlText w:val="(%1)"/>
      <w:numFmt w:val="lowerLetter"/>
      <w:start w:val="4"/>
    </w:lvl>
  </w:abstractNum>
  <w:abstractNum w:abstractNumId="180">
    <w:nsid w:val="6A1B45E5"/>
    <w:multiLevelType w:val="hybridMultilevel"/>
    <w:lvl w:ilvl="0">
      <w:lvlJc w:val="left"/>
      <w:lvlText w:val="%1."/>
      <w:numFmt w:val="decimal"/>
      <w:start w:val="7"/>
    </w:lvl>
  </w:abstractNum>
  <w:abstractNum w:abstractNumId="181">
    <w:nsid w:val="567BD50A"/>
    <w:multiLevelType w:val="hybridMultilevel"/>
    <w:lvl w:ilvl="0">
      <w:lvlJc w:val="left"/>
      <w:lvlText w:val="(%1)"/>
      <w:numFmt w:val="lowerLetter"/>
      <w:start w:val="1"/>
    </w:lvl>
  </w:abstractNum>
  <w:abstractNum w:abstractNumId="182">
    <w:nsid w:val="73BBD7F8"/>
    <w:multiLevelType w:val="hybridMultilevel"/>
    <w:lvl w:ilvl="0">
      <w:lvlJc w:val="left"/>
      <w:lvlText w:val="(%1)"/>
      <w:numFmt w:val="lowerRoman"/>
      <w:start w:val="1"/>
    </w:lvl>
  </w:abstractNum>
  <w:abstractNum w:abstractNumId="183">
    <w:nsid w:val="1876589D"/>
    <w:multiLevelType w:val="hybridMultilevel"/>
    <w:lvl w:ilvl="0">
      <w:lvlJc w:val="left"/>
      <w:lvlText w:val="(%1)"/>
      <w:numFmt w:val="lowerRoman"/>
      <w:start w:val="10"/>
    </w:lvl>
  </w:abstractNum>
  <w:abstractNum w:abstractNumId="184">
    <w:nsid w:val="327FAC77"/>
    <w:multiLevelType w:val="hybridMultilevel"/>
    <w:lvl w:ilvl="0">
      <w:lvlJc w:val="left"/>
      <w:lvlText w:val="(%1)"/>
      <w:numFmt w:val="lowerLetter"/>
      <w:start w:val="3"/>
    </w:lvl>
  </w:abstractNum>
  <w:abstractNum w:abstractNumId="185">
    <w:nsid w:val="5A606509"/>
    <w:multiLevelType w:val="hybridMultilevel"/>
    <w:lvl w:ilvl="0">
      <w:lvlJc w:val="left"/>
      <w:lvlText w:val="(%1)"/>
      <w:numFmt w:val="lowerRoman"/>
      <w:start w:val="1"/>
    </w:lvl>
  </w:abstractNum>
  <w:abstractNum w:abstractNumId="186">
    <w:nsid w:val="6F38E6D1"/>
    <w:multiLevelType w:val="hybridMultilevel"/>
    <w:lvl w:ilvl="0">
      <w:lvlJc w:val="left"/>
      <w:lvlText w:val="(%1)"/>
      <w:numFmt w:val="lowerLetter"/>
      <w:start w:val="4"/>
    </w:lvl>
  </w:abstractNum>
  <w:abstractNum w:abstractNumId="187">
    <w:nsid w:val="46111BA5"/>
    <w:multiLevelType w:val="hybridMultilevel"/>
    <w:lvl w:ilvl="0">
      <w:lvlJc w:val="left"/>
      <w:lvlText w:val="%1."/>
      <w:numFmt w:val="decimal"/>
      <w:start w:val="8"/>
    </w:lvl>
  </w:abstractNum>
  <w:abstractNum w:abstractNumId="188">
    <w:nsid w:val="5E963896"/>
    <w:multiLevelType w:val="hybridMultilevel"/>
    <w:lvl w:ilvl="0">
      <w:lvlJc w:val="left"/>
      <w:lvlText w:val="(%1)"/>
      <w:numFmt w:val="lowerLetter"/>
      <w:start w:val="1"/>
    </w:lvl>
  </w:abstractNum>
  <w:abstractNum w:abstractNumId="189">
    <w:nsid w:val="775BA7C1"/>
    <w:multiLevelType w:val="hybridMultilevel"/>
    <w:lvl w:ilvl="0">
      <w:lvlJc w:val="left"/>
      <w:lvlText w:val="(%1)"/>
      <w:numFmt w:val="lowerLetter"/>
      <w:start w:val="9"/>
    </w:lvl>
  </w:abstractNum>
  <w:abstractNum w:abstractNumId="190">
    <w:nsid w:val="1DD6D6F4"/>
    <w:multiLevelType w:val="hybridMultilevel"/>
    <w:lvl w:ilvl="0">
      <w:lvlJc w:val="left"/>
      <w:lvlText w:val="(%1)"/>
      <w:numFmt w:val="lowerLetter"/>
      <w:start w:val="4"/>
    </w:lvl>
  </w:abstractNum>
  <w:abstractNum w:abstractNumId="191">
    <w:nsid w:val="769A091F"/>
    <w:multiLevelType w:val="hybridMultilevel"/>
    <w:lvl w:ilvl="0">
      <w:lvlJc w:val="left"/>
      <w:lvlText w:val="%1."/>
      <w:numFmt w:val="decimal"/>
      <w:start w:val="9"/>
    </w:lvl>
  </w:abstractNum>
  <w:abstractNum w:abstractNumId="192">
    <w:nsid w:val="4695AE95"/>
    <w:multiLevelType w:val="hybridMultilevel"/>
    <w:lvl w:ilvl="0">
      <w:lvlJc w:val="left"/>
      <w:lvlText w:val="(%1)"/>
      <w:numFmt w:val="lowerLetter"/>
      <w:start w:val="1"/>
    </w:lvl>
  </w:abstractNum>
  <w:abstractNum w:abstractNumId="193">
    <w:nsid w:val="777A4EAA"/>
    <w:multiLevelType w:val="hybridMultilevel"/>
    <w:lvl w:ilvl="0">
      <w:lvlJc w:val="left"/>
      <w:lvlText w:val="(%1)"/>
      <w:numFmt w:val="lowerLetter"/>
      <w:start w:val="5"/>
    </w:lvl>
  </w:abstractNum>
  <w:abstractNum w:abstractNumId="194">
    <w:nsid w:val="3F48B982"/>
    <w:multiLevelType w:val="hybridMultilevel"/>
    <w:lvl w:ilvl="0">
      <w:lvlJc w:val="left"/>
      <w:lvlText w:val="(%1)"/>
      <w:numFmt w:val="lowerLetter"/>
      <w:start w:val="9"/>
    </w:lvl>
  </w:abstractNum>
  <w:abstractNum w:abstractNumId="195">
    <w:nsid w:val="46BA8FCA"/>
    <w:multiLevelType w:val="hybridMultilevel"/>
    <w:lvl w:ilvl="0">
      <w:lvlJc w:val="left"/>
      <w:lvlText w:val="(%1)"/>
      <w:numFmt w:val="lowerLetter"/>
      <w:start w:val="14"/>
    </w:lvl>
  </w:abstractNum>
  <w:abstractNum w:abstractNumId="196">
    <w:nsid w:val="7835626C"/>
    <w:multiLevelType w:val="hybridMultilevel"/>
    <w:lvl w:ilvl="0">
      <w:lvlJc w:val="left"/>
      <w:lvlText w:val="%1."/>
      <w:numFmt w:val="decimal"/>
      <w:start w:val="10"/>
    </w:lvl>
  </w:abstractNum>
  <w:abstractNum w:abstractNumId="197">
    <w:nsid w:val="665ACA49"/>
    <w:multiLevelType w:val="hybridMultilevel"/>
    <w:lvl w:ilvl="0">
      <w:lvlJc w:val="left"/>
      <w:lvlText w:val="(%1)"/>
      <w:numFmt w:val="lowerLetter"/>
      <w:start w:val="1"/>
    </w:lvl>
  </w:abstractNum>
  <w:abstractNum w:abstractNumId="198">
    <w:nsid w:val="6835B2AE"/>
    <w:multiLevelType w:val="hybridMultilevel"/>
    <w:lvl w:ilvl="0">
      <w:lvlJc w:val="left"/>
      <w:lvlText w:val="%1."/>
      <w:numFmt w:val="decimal"/>
      <w:start w:val="11"/>
    </w:lvl>
  </w:abstractNum>
  <w:abstractNum w:abstractNumId="199">
    <w:nsid w:val="4C187C90"/>
    <w:multiLevelType w:val="hybridMultilevel"/>
    <w:lvl w:ilvl="0">
      <w:lvlJc w:val="left"/>
      <w:lvlText w:val="(%1)"/>
      <w:numFmt w:val="lowerLetter"/>
      <w:start w:val="1"/>
    </w:lvl>
  </w:abstractNum>
  <w:abstractNum w:abstractNumId="200">
    <w:nsid w:val="541F28CD"/>
    <w:multiLevelType w:val="hybridMultilevel"/>
    <w:lvl w:ilvl="0">
      <w:lvlJc w:val="left"/>
      <w:lvlText w:val="(%1)"/>
      <w:numFmt w:val="lowerLetter"/>
      <w:start w:val="2"/>
    </w:lvl>
  </w:abstractNum>
  <w:abstractNum w:abstractNumId="201">
    <w:nsid w:val="7F65FD16"/>
    <w:multiLevelType w:val="hybridMultilevel"/>
    <w:lvl w:ilvl="0">
      <w:lvlJc w:val="left"/>
      <w:lvlText w:val="(%1)"/>
      <w:numFmt w:val="lowerRoman"/>
      <w:start w:val="1"/>
    </w:lvl>
  </w:abstractNum>
  <w:abstractNum w:abstractNumId="202">
    <w:nsid w:val="77C9FD68"/>
    <w:multiLevelType w:val="hybridMultilevel"/>
    <w:lvl w:ilvl="0">
      <w:lvlJc w:val="left"/>
      <w:lvlText w:val="(%1)"/>
      <w:numFmt w:val="lowerRoman"/>
      <w:start w:val="2"/>
    </w:lvl>
  </w:abstractNum>
  <w:abstractNum w:abstractNumId="203">
    <w:nsid w:val="298A92BA"/>
    <w:multiLevelType w:val="hybridMultilevel"/>
    <w:lvl w:ilvl="0">
      <w:lvlJc w:val="left"/>
      <w:lvlText w:val="(%1)"/>
      <w:numFmt w:val="lowerRoman"/>
      <w:start w:val="3"/>
    </w:lvl>
  </w:abstractNum>
  <w:abstractNum w:abstractNumId="204">
    <w:nsid w:val="6FE95EAC"/>
    <w:multiLevelType w:val="hybridMultilevel"/>
    <w:lvl w:ilvl="0">
      <w:lvlJc w:val="left"/>
      <w:lvlText w:val="(%1)"/>
      <w:numFmt w:val="lowerLetter"/>
      <w:start w:val="3"/>
    </w:lvl>
  </w:abstractNum>
  <w:abstractNum w:abstractNumId="205">
    <w:nsid w:val="4B697C7A"/>
    <w:multiLevelType w:val="hybridMultilevel"/>
    <w:lvl w:ilvl="0">
      <w:lvlJc w:val="left"/>
      <w:lvlText w:val="(%1)"/>
      <w:numFmt w:val="lowerRoman"/>
      <w:start w:val="1"/>
    </w:lvl>
  </w:abstractNum>
  <w:abstractNum w:abstractNumId="206">
    <w:nsid w:val="51A27AA6"/>
    <w:multiLevelType w:val="hybridMultilevel"/>
    <w:lvl w:ilvl="0">
      <w:lvlJc w:val="left"/>
      <w:lvlText w:val="(%1)"/>
      <w:numFmt w:val="decimal"/>
      <w:start w:val="1"/>
    </w:lvl>
  </w:abstractNum>
  <w:abstractNum w:abstractNumId="207">
    <w:nsid w:val="613183F2"/>
    <w:multiLevelType w:val="hybridMultilevel"/>
    <w:lvl w:ilvl="0">
      <w:lvlJc w:val="left"/>
      <w:lvlText w:val="(%1)"/>
      <w:numFmt w:val="decimal"/>
      <w:start w:val="2"/>
    </w:lvl>
  </w:abstractNum>
  <w:abstractNum w:abstractNumId="208">
    <w:nsid w:val="634102B4"/>
    <w:multiLevelType w:val="hybridMultilevel"/>
    <w:lvl w:ilvl="0">
      <w:lvlJc w:val="left"/>
      <w:lvlText w:val="(%1)"/>
      <w:numFmt w:val="lowerRoman"/>
      <w:start w:val="2"/>
    </w:lvl>
  </w:abstractNum>
  <w:abstractNum w:abstractNumId="209">
    <w:nsid w:val="65BF9DA8"/>
    <w:multiLevelType w:val="hybridMultilevel"/>
    <w:lvl w:ilvl="0">
      <w:lvlJc w:val="left"/>
      <w:lvlText w:val="(%1)"/>
      <w:numFmt w:val="decimal"/>
      <w:start w:val="1"/>
    </w:lvl>
  </w:abstractNum>
  <w:abstractNum w:abstractNumId="210">
    <w:nsid w:val="21A2ECCA"/>
    <w:multiLevelType w:val="hybridMultilevel"/>
    <w:lvl w:ilvl="0">
      <w:lvlJc w:val="left"/>
      <w:lvlText w:val="(%1)"/>
      <w:numFmt w:val="decimal"/>
      <w:start w:val="3"/>
    </w:lvl>
  </w:abstractNum>
  <w:abstractNum w:abstractNumId="211">
    <w:nsid w:val="4D5C4899"/>
    <w:multiLevelType w:val="hybridMultilevel"/>
    <w:lvl w:ilvl="0">
      <w:lvlJc w:val="left"/>
      <w:lvlText w:val="(%1)"/>
      <w:numFmt w:val="lowerLetter"/>
      <w:start w:val="4"/>
    </w:lvl>
  </w:abstractNum>
  <w:abstractNum w:abstractNumId="212">
    <w:nsid w:val="3C3B72B2"/>
    <w:multiLevelType w:val="hybridMultilevel"/>
    <w:lvl w:ilvl="0">
      <w:lvlJc w:val="left"/>
      <w:lvlText w:val="(%1)"/>
      <w:numFmt w:val="lowerLetter"/>
      <w:start w:val="4"/>
    </w:lvl>
  </w:abstractNum>
  <w:abstractNum w:abstractNumId="213">
    <w:nsid w:val="155EC4C2"/>
    <w:multiLevelType w:val="hybridMultilevel"/>
    <w:lvl w:ilvl="0">
      <w:lvlJc w:val="left"/>
      <w:lvlText w:val="(%1)"/>
      <w:numFmt w:val="lowerRoman"/>
      <w:start w:val="1"/>
    </w:lvl>
  </w:abstractNum>
  <w:abstractNum w:abstractNumId="214">
    <w:nsid w:val="65D2A137"/>
    <w:multiLevelType w:val="hybridMultilevel"/>
    <w:lvl w:ilvl="0">
      <w:lvlJc w:val="left"/>
      <w:lvlText w:val="(%1)"/>
      <w:numFmt w:val="lowerLetter"/>
      <w:start w:val="5"/>
    </w:lvl>
  </w:abstractNum>
  <w:abstractNum w:abstractNumId="215">
    <w:nsid w:val="6EBB1F2A"/>
    <w:multiLevelType w:val="hybridMultilevel"/>
    <w:lvl w:ilvl="0">
      <w:lvlJc w:val="left"/>
      <w:lvlText w:val="(%1)"/>
      <w:numFmt w:val="lowerRoman"/>
      <w:start w:val="1"/>
    </w:lvl>
  </w:abstractNum>
  <w:abstractNum w:abstractNumId="216">
    <w:nsid w:val="6FBF29CB"/>
    <w:multiLevelType w:val="hybridMultilevel"/>
    <w:lvl w:ilvl="0">
      <w:lvlJc w:val="left"/>
      <w:lvlText w:val="(%1)"/>
      <w:numFmt w:val="lowerRoman"/>
      <w:start w:val="4"/>
    </w:lvl>
  </w:abstractNum>
  <w:abstractNum w:abstractNumId="217">
    <w:nsid w:val="550B8808"/>
    <w:multiLevelType w:val="hybridMultilevel"/>
    <w:lvl w:ilvl="0">
      <w:lvlJc w:val="left"/>
      <w:lvlText w:val="%1."/>
      <w:numFmt w:val="decimal"/>
      <w:start w:val="12"/>
    </w:lvl>
  </w:abstractNum>
  <w:abstractNum w:abstractNumId="218">
    <w:nsid w:val="34CC3ACF"/>
    <w:multiLevelType w:val="hybridMultilevel"/>
    <w:lvl w:ilvl="0">
      <w:lvlJc w:val="left"/>
      <w:lvlText w:val="%1."/>
      <w:numFmt w:val="decimal"/>
      <w:start w:val="13"/>
    </w:lvl>
  </w:abstractNum>
  <w:abstractNum w:abstractNumId="219">
    <w:nsid w:val="4E556261"/>
    <w:multiLevelType w:val="hybridMultilevel"/>
    <w:lvl w:ilvl="0">
      <w:lvlJc w:val="left"/>
      <w:lvlText w:val="(%1)"/>
      <w:numFmt w:val="lowerRoman"/>
      <w:start w:val="1"/>
    </w:lvl>
  </w:abstractNum>
  <w:abstractNum w:abstractNumId="220">
    <w:nsid w:val="4C672FC9"/>
    <w:multiLevelType w:val="hybridMultilevel"/>
    <w:lvl w:ilvl="0">
      <w:lvlJc w:val="left"/>
      <w:lvlText w:val="%1."/>
      <w:numFmt w:val="decimal"/>
      <w:start w:val="14"/>
    </w:lvl>
  </w:abstractNum>
  <w:abstractNum w:abstractNumId="221">
    <w:nsid w:val="52A311C3"/>
    <w:multiLevelType w:val="hybridMultilevel"/>
    <w:lvl w:ilvl="0">
      <w:lvlJc w:val="left"/>
      <w:lvlText w:val="(%1)"/>
      <w:numFmt w:val="lowerLetter"/>
      <w:start w:val="1"/>
    </w:lvl>
  </w:abstractNum>
  <w:abstractNum w:abstractNumId="222">
    <w:nsid w:val="44EF6B80"/>
    <w:multiLevelType w:val="hybridMultilevel"/>
    <w:lvl w:ilvl="0">
      <w:lvlJc w:val="left"/>
      <w:lvlText w:val="(%1)"/>
      <w:numFmt w:val="lowerLetter"/>
      <w:start w:val="9"/>
    </w:lvl>
  </w:abstractNum>
  <w:abstractNum w:abstractNumId="223">
    <w:nsid w:val="12FCDE5E"/>
    <w:multiLevelType w:val="hybridMultilevel"/>
    <w:lvl w:ilvl="0">
      <w:lvlJc w:val="left"/>
      <w:lvlText w:val="(%1)"/>
      <w:numFmt w:val="lowerRoman"/>
      <w:start w:val="1"/>
    </w:lvl>
  </w:abstractNum>
  <w:abstractNum w:abstractNumId="224">
    <w:nsid w:val="4A1D606E"/>
    <w:multiLevelType w:val="hybridMultilevel"/>
    <w:lvl w:ilvl="0">
      <w:lvlJc w:val="left"/>
      <w:lvlText w:val="(%1)"/>
      <w:numFmt w:val="lowerRoman"/>
      <w:start w:val="2"/>
    </w:lvl>
  </w:abstractNum>
  <w:abstractNum w:abstractNumId="225">
    <w:nsid w:val="4382503"/>
    <w:multiLevelType w:val="hybridMultilevel"/>
    <w:lvl w:ilvl="0">
      <w:lvlJc w:val="left"/>
      <w:lvlText w:val="(%1)"/>
      <w:numFmt w:val="lowerLetter"/>
      <w:start w:val="11"/>
    </w:lvl>
  </w:abstractNum>
  <w:abstractNum w:abstractNumId="226">
    <w:nsid w:val="59B76E28"/>
    <w:multiLevelType w:val="hybridMultilevel"/>
    <w:lvl w:ilvl="0">
      <w:lvlJc w:val="left"/>
      <w:lvlText w:val="(%1)"/>
      <w:numFmt w:val="lowerLetter"/>
      <w:start w:val="14"/>
    </w:lvl>
  </w:abstractNum>
  <w:abstractNum w:abstractNumId="227">
    <w:nsid w:val="4252C2DA"/>
    <w:multiLevelType w:val="hybridMultilevel"/>
    <w:lvl w:ilvl="0">
      <w:lvlJc w:val="left"/>
      <w:lvlText w:val="(%1)"/>
      <w:numFmt w:val="lowerRoman"/>
      <w:start w:val="1"/>
    </w:lvl>
  </w:abstractNum>
  <w:abstractNum w:abstractNumId="228">
    <w:nsid w:val="6A92EF4C"/>
    <w:multiLevelType w:val="hybridMultilevel"/>
    <w:lvl w:ilvl="0">
      <w:lvlJc w:val="left"/>
      <w:lvlText w:val="(%1)"/>
      <w:numFmt w:val="lowerRoman"/>
      <w:start w:val="4"/>
    </w:lvl>
  </w:abstractNum>
  <w:abstractNum w:abstractNumId="229">
    <w:nsid w:val="41ED20D7"/>
    <w:multiLevelType w:val="hybridMultilevel"/>
    <w:lvl w:ilvl="0">
      <w:lvlJc w:val="left"/>
      <w:lvlText w:val="(%1)"/>
      <w:numFmt w:val="lowerLetter"/>
      <w:start w:val="19"/>
    </w:lvl>
  </w:abstractNum>
  <w:abstractNum w:abstractNumId="230">
    <w:nsid w:val="E6B3F6A"/>
    <w:multiLevelType w:val="hybridMultilevel"/>
    <w:lvl w:ilvl="0">
      <w:lvlJc w:val="left"/>
      <w:lvlText w:val="(%1)"/>
      <w:numFmt w:val="lowerLetter"/>
      <w:start w:val="27"/>
    </w:lvl>
  </w:abstractNum>
  <w:abstractNum w:abstractNumId="231">
    <w:nsid w:val="3EB21819"/>
    <w:multiLevelType w:val="hybridMultilevel"/>
    <w:lvl w:ilvl="0">
      <w:lvlJc w:val="left"/>
      <w:lvlText w:val="(%1)"/>
      <w:numFmt w:val="lowerLetter"/>
      <w:start w:val="28"/>
    </w:lvl>
  </w:abstractNum>
  <w:abstractNum w:abstractNumId="232">
    <w:nsid w:val="41531DED"/>
    <w:multiLevelType w:val="hybridMultilevel"/>
    <w:lvl w:ilvl="0">
      <w:lvlJc w:val="left"/>
      <w:lvlText w:val="(%1)"/>
      <w:numFmt w:val="lowerRoman"/>
      <w:start w:val="1"/>
    </w:lvl>
  </w:abstractNum>
  <w:abstractNum w:abstractNumId="233">
    <w:nsid w:val="6353CD2"/>
    <w:multiLevelType w:val="hybridMultilevel"/>
    <w:lvl w:ilvl="0">
      <w:lvlJc w:val="left"/>
      <w:lvlText w:val="(%1)"/>
      <w:numFmt w:val="lowerLetter"/>
      <w:start w:val="30"/>
    </w:lvl>
  </w:abstractNum>
  <w:abstractNum w:abstractNumId="234">
    <w:nsid w:val="683CAAD3"/>
    <w:multiLevelType w:val="hybridMultilevel"/>
    <w:lvl w:ilvl="0">
      <w:lvlJc w:val="left"/>
      <w:lvlText w:val="(%1)"/>
      <w:numFmt w:val="lowerLetter"/>
      <w:start w:val="32"/>
    </w:lvl>
  </w:abstractNum>
  <w:abstractNum w:abstractNumId="235">
    <w:nsid w:val="313C7C99"/>
    <w:multiLevelType w:val="hybridMultilevel"/>
    <w:lvl w:ilvl="0">
      <w:lvlJc w:val="left"/>
      <w:lvlText w:val="(%1)"/>
      <w:numFmt w:val="lowerLetter"/>
      <w:start w:val="39"/>
    </w:lvl>
  </w:abstractNum>
  <w:abstractNum w:abstractNumId="236">
    <w:nsid w:val="519EB94C"/>
    <w:multiLevelType w:val="hybridMultilevel"/>
    <w:lvl w:ilvl="0">
      <w:lvlJc w:val="left"/>
      <w:lvlText w:val="(%1)"/>
      <w:numFmt w:val="lowerLetter"/>
      <w:start w:val="49"/>
    </w:lvl>
  </w:abstractNum>
  <w:abstractNum w:abstractNumId="237">
    <w:nsid w:val="39DF2579"/>
    <w:multiLevelType w:val="hybridMultilevel"/>
    <w:lvl w:ilvl="0">
      <w:lvlJc w:val="left"/>
      <w:lvlText w:val="(%1)"/>
      <w:numFmt w:val="lowerLetter"/>
      <w:start w:val="52"/>
    </w:lvl>
  </w:abstractNum>
  <w:abstractNum w:abstractNumId="238">
    <w:nsid w:val="126E008B"/>
    <w:multiLevelType w:val="hybridMultilevel"/>
    <w:lvl w:ilvl="0">
      <w:lvlJc w:val="left"/>
      <w:lvlText w:val="(%1)"/>
      <w:numFmt w:val="lowerLetter"/>
      <w:start w:val="53"/>
    </w:lvl>
  </w:abstractNum>
  <w:abstractNum w:abstractNumId="239">
    <w:nsid w:val="34DFBC00"/>
    <w:multiLevelType w:val="hybridMultilevel"/>
    <w:lvl w:ilvl="0">
      <w:lvlJc w:val="left"/>
      <w:lvlText w:val="(%1)"/>
      <w:numFmt w:val="lowerLetter"/>
      <w:start w:val="58"/>
    </w:lvl>
  </w:abstractNum>
  <w:abstractNum w:abstractNumId="240">
    <w:nsid w:val="1F9EC322"/>
    <w:multiLevelType w:val="hybridMultilevel"/>
    <w:lvl w:ilvl="0">
      <w:lvlJc w:val="left"/>
      <w:lvlText w:val="(%1)"/>
      <w:numFmt w:val="lowerLetter"/>
      <w:start w:val="69"/>
    </w:lvl>
  </w:abstractNum>
  <w:abstractNum w:abstractNumId="241">
    <w:nsid w:val="3410ED5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2">
    <w:nsid w:val="23C049A"/>
    <w:multiLevelType w:val="hybridMultilevel"/>
    <w:lvl w:ilvl="0">
      <w:lvlJc w:val="left"/>
      <w:lvlText w:val="%1"/>
      <w:numFmt w:val="lowerLetter"/>
      <w:start w:val="1"/>
    </w:lvl>
    <w:lvl w:ilvl="1">
      <w:lvlJc w:val="left"/>
      <w:lvlText w:val="(%2)"/>
      <w:numFmt w:val="lowerRoman"/>
      <w:start w:val="3"/>
    </w:lvl>
  </w:abstractNum>
  <w:abstractNum w:abstractNumId="243">
    <w:nsid w:val="5BDA35D4"/>
    <w:multiLevelType w:val="hybridMultilevel"/>
    <w:lvl w:ilvl="0">
      <w:lvlJc w:val="left"/>
      <w:lvlText w:val="(%1)"/>
      <w:numFmt w:val="lowerLetter"/>
      <w:start w:val="3"/>
    </w:lvl>
    <w:lvl w:ilvl="1">
      <w:lvlJc w:val="left"/>
      <w:lvlText w:val="%2"/>
      <w:numFmt w:val="lowerRoman"/>
      <w:start w:val="1"/>
    </w:lvl>
  </w:abstractNum>
  <w:abstractNum w:abstractNumId="244">
    <w:nsid w:val="496FB218"/>
    <w:multiLevelType w:val="hybridMultilevel"/>
    <w:lvl w:ilvl="0">
      <w:lvlJc w:val="left"/>
      <w:lvlText w:val="%1."/>
      <w:numFmt w:val="decimal"/>
      <w:start w:val="3"/>
    </w:lvl>
    <w:lvl w:ilvl="1">
      <w:lvlJc w:val="left"/>
      <w:lvlText w:val="(%2)"/>
      <w:numFmt w:val="lowerLetter"/>
      <w:start w:val="1"/>
    </w:lvl>
  </w:abstractNum>
  <w:abstractNum w:abstractNumId="245">
    <w:nsid w:val="680EA5D1"/>
    <w:multiLevelType w:val="hybridMultilevel"/>
    <w:lvl w:ilvl="0">
      <w:lvlJc w:val="left"/>
      <w:lvlText w:val="%1"/>
      <w:numFmt w:val="decimal"/>
      <w:start w:val="1"/>
    </w:lvl>
    <w:lvl w:ilvl="1">
      <w:lvlJc w:val="left"/>
      <w:lvlText w:val="(%2)"/>
      <w:numFmt w:val="lowerLetter"/>
      <w:start w:val="2"/>
    </w:lvl>
  </w:abstractNum>
  <w:abstractNum w:abstractNumId="246">
    <w:nsid w:val="4A9554FE"/>
    <w:multiLevelType w:val="hybridMultilevel"/>
    <w:lvl w:ilvl="0">
      <w:lvlJc w:val="left"/>
      <w:lvlText w:val="%1."/>
      <w:numFmt w:val="decimal"/>
      <w:start w:val="4"/>
    </w:lvl>
    <w:lvl w:ilvl="1">
      <w:lvlJc w:val="left"/>
      <w:lvlText w:val="(%2)"/>
      <w:numFmt w:val="lowerLetter"/>
      <w:start w:val="1"/>
    </w:lvl>
  </w:abstractNum>
  <w:abstractNum w:abstractNumId="247">
    <w:nsid w:val="392EDBE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8">
    <w:nsid w:val="3D1A2DD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49">
    <w:nsid w:val="7F618FC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0">
    <w:nsid w:val="7843E45"/>
    <w:multiLevelType w:val="hybridMultilevel"/>
    <w:lvl w:ilvl="0">
      <w:lvlJc w:val="left"/>
      <w:lvlText w:val="%1."/>
      <w:numFmt w:val="decimal"/>
      <w:start w:val="7"/>
    </w:lvl>
    <w:lvl w:ilvl="1">
      <w:lvlJc w:val="left"/>
      <w:lvlText w:val="(%2)"/>
      <w:numFmt w:val="lowerLetter"/>
      <w:start w:val="1"/>
    </w:lvl>
  </w:abstractNum>
  <w:abstractNum w:abstractNumId="251">
    <w:nsid w:val="9815DA3"/>
    <w:multiLevelType w:val="hybridMultilevel"/>
    <w:lvl w:ilvl="0">
      <w:lvlJc w:val="left"/>
      <w:lvlText w:val="%1"/>
      <w:numFmt w:val="decimal"/>
      <w:start w:val="1"/>
    </w:lvl>
    <w:lvl w:ilvl="1">
      <w:lvlJc w:val="left"/>
      <w:lvlText w:val="(%2)"/>
      <w:numFmt w:val="lowerLetter"/>
      <w:start w:val="6"/>
    </w:lvl>
  </w:abstractNum>
  <w:abstractNum w:abstractNumId="252">
    <w:nsid w:val="5204A191"/>
    <w:multiLevelType w:val="hybridMultilevel"/>
    <w:lvl w:ilvl="0">
      <w:lvlJc w:val="left"/>
      <w:lvlText w:val="%1."/>
      <w:numFmt w:val="decimal"/>
      <w:start w:val="8"/>
    </w:lvl>
    <w:lvl w:ilvl="1">
      <w:lvlJc w:val="left"/>
      <w:lvlText w:val="(%2)"/>
      <w:numFmt w:val="lowerLetter"/>
      <w:start w:val="1"/>
    </w:lvl>
  </w:abstractNum>
  <w:abstractNum w:abstractNumId="253">
    <w:nsid w:val="4C73A9C6"/>
    <w:multiLevelType w:val="hybridMultilevel"/>
    <w:lvl w:ilvl="0">
      <w:lvlJc w:val="left"/>
      <w:lvlText w:val="%1"/>
      <w:numFmt w:val="decimal"/>
      <w:start w:val="423"/>
    </w:lvl>
    <w:lvl w:ilvl="1">
      <w:lvlJc w:val="left"/>
      <w:lvlText w:val="%2"/>
      <w:numFmt w:val="lowerLetter"/>
      <w:start w:val="1"/>
    </w:lvl>
  </w:abstractNum>
  <w:abstractNum w:abstractNumId="254">
    <w:nsid w:val="1C7E3C01"/>
    <w:multiLevelType w:val="hybridMultilevel"/>
    <w:lvl w:ilvl="0">
      <w:lvlJc w:val="left"/>
      <w:lvlText w:val="%1."/>
      <w:numFmt w:val="decimal"/>
      <w:start w:val="9"/>
    </w:lvl>
    <w:lvl w:ilvl="1">
      <w:lvlJc w:val="left"/>
      <w:lvlText w:val="(%2)"/>
      <w:numFmt w:val="lowerLetter"/>
      <w:start w:val="1"/>
    </w:lvl>
  </w:abstractNum>
  <w:abstractNum w:abstractNumId="255">
    <w:nsid w:val="1C2201FF"/>
    <w:multiLevelType w:val="hybridMultilevel"/>
    <w:lvl w:ilvl="0">
      <w:lvlJc w:val="left"/>
      <w:lvlText w:val="%1."/>
      <w:numFmt w:val="decimal"/>
      <w:start w:val="10"/>
    </w:lvl>
    <w:lvl w:ilvl="1">
      <w:lvlJc w:val="left"/>
      <w:lvlText w:val="(%2)"/>
      <w:numFmt w:val="lowerLetter"/>
      <w:start w:val="1"/>
    </w:lvl>
  </w:abstractNum>
  <w:abstractNum w:abstractNumId="256">
    <w:nsid w:val="50ABCEC9"/>
    <w:multiLevelType w:val="hybridMultilevel"/>
    <w:lvl w:ilvl="0">
      <w:lvlJc w:val="left"/>
      <w:lvlText w:val="%1."/>
      <w:numFmt w:val="decimal"/>
      <w:start w:val="12"/>
    </w:lvl>
    <w:lvl w:ilvl="1">
      <w:lvlJc w:val="left"/>
      <w:lvlText w:val="(%2)"/>
      <w:numFmt w:val="lowerLetter"/>
      <w:start w:val="1"/>
    </w:lvl>
  </w:abstractNum>
  <w:abstractNum w:abstractNumId="257">
    <w:nsid w:val="7635AA2A"/>
    <w:multiLevelType w:val="hybridMultilevel"/>
    <w:lvl w:ilvl="0">
      <w:lvlJc w:val="left"/>
      <w:lvlText w:val="%1."/>
      <w:numFmt w:val="decimal"/>
      <w:start w:val="13"/>
    </w:lvl>
  </w:abstractNum>
  <w:abstractNum w:abstractNumId="258">
    <w:nsid w:val="5E74C4D9"/>
    <w:multiLevelType w:val="hybridMultilevel"/>
    <w:lvl w:ilvl="0">
      <w:lvlJc w:val="left"/>
      <w:lvlText w:val="%1."/>
      <w:numFmt w:val="decimal"/>
      <w:start w:val="14"/>
    </w:lvl>
    <w:lvl w:ilvl="1">
      <w:lvlJc w:val="left"/>
      <w:lvlText w:val="(%2)"/>
      <w:numFmt w:val="lowerLetter"/>
      <w:start w:val="1"/>
    </w:lvl>
  </w:abstractNum>
  <w:abstractNum w:abstractNumId="259">
    <w:nsid w:val="3B3EBE15"/>
    <w:multiLevelType w:val="hybridMultilevel"/>
    <w:lvl w:ilvl="0">
      <w:lvlJc w:val="left"/>
      <w:lvlText w:val="(%1)"/>
      <w:numFmt w:val="lowerLetter"/>
      <w:start w:val="1"/>
    </w:lvl>
  </w:abstractNum>
  <w:abstractNum w:abstractNumId="260">
    <w:nsid w:val="3822CB01"/>
    <w:multiLevelType w:val="hybridMultilevel"/>
    <w:lvl w:ilvl="0">
      <w:lvlJc w:val="left"/>
      <w:lvlText w:val="(%1)"/>
      <w:numFmt w:val="lowerLetter"/>
      <w:start w:val="4"/>
    </w:lvl>
    <w:lvl w:ilvl="1">
      <w:lvlJc w:val="left"/>
      <w:lvlText w:val="(%2)"/>
      <w:numFmt w:val="lowerRoman"/>
      <w:start w:val="1"/>
    </w:lvl>
  </w:abstractNum>
  <w:abstractNum w:abstractNumId="261">
    <w:nsid w:val="6CE00443"/>
    <w:multiLevelType w:val="hybridMultilevel"/>
    <w:lvl w:ilvl="0">
      <w:lvlJc w:val="left"/>
      <w:lvlText w:val="(%1)"/>
      <w:numFmt w:val="lowerLetter"/>
      <w:start w:val="13"/>
    </w:lvl>
    <w:lvl w:ilvl="1">
      <w:lvlJc w:val="left"/>
      <w:lvlText w:val="(%2)"/>
      <w:numFmt w:val="lowerRoman"/>
      <w:start w:val="1"/>
    </w:lvl>
  </w:abstractNum>
  <w:abstractNum w:abstractNumId="262">
    <w:nsid w:val="79F0D62F"/>
    <w:multiLevelType w:val="hybridMultilevel"/>
    <w:lvl w:ilvl="0">
      <w:lvlJc w:val="left"/>
      <w:lvlText w:val="(%1)"/>
      <w:numFmt w:val="lowerLetter"/>
      <w:start w:val="24"/>
    </w:lvl>
  </w:abstractNum>
  <w:abstractNum w:abstractNumId="263">
    <w:nsid w:val="7975E8EE"/>
    <w:multiLevelType w:val="hybridMultilevel"/>
    <w:lvl w:ilvl="0">
      <w:lvlJc w:val="left"/>
      <w:lvlText w:val="(%1)"/>
      <w:numFmt w:val="lowerLetter"/>
      <w:start w:val="27"/>
    </w:lvl>
  </w:abstractNum>
  <w:abstractNum w:abstractNumId="264">
    <w:nsid w:val="73154115"/>
    <w:multiLevelType w:val="hybridMultilevel"/>
    <w:lvl w:ilvl="0">
      <w:lvlJc w:val="left"/>
      <w:lvlText w:val="(%1)"/>
      <w:numFmt w:val="lowerLetter"/>
      <w:start w:val="29"/>
    </w:lvl>
  </w:abstractNum>
  <w:abstractNum w:abstractNumId="265">
    <w:nsid w:val="622D8102"/>
    <w:multiLevelType w:val="hybridMultilevel"/>
    <w:lvl w:ilvl="0">
      <w:lvlJc w:val="left"/>
      <w:lvlText w:val="(%1)"/>
      <w:numFmt w:val="lowerLetter"/>
      <w:start w:val="37"/>
    </w:lvl>
  </w:abstractNum>
  <w:abstractNum w:abstractNumId="266">
    <w:nsid w:val="2AB26587"/>
    <w:multiLevelType w:val="hybridMultilevel"/>
    <w:lvl w:ilvl="0">
      <w:lvlJc w:val="left"/>
      <w:lvlText w:val="%1."/>
      <w:numFmt w:val="decimal"/>
      <w:start w:val="1"/>
    </w:lvl>
  </w:abstractNum>
  <w:abstractNum w:abstractNumId="267">
    <w:nsid w:val="44B3FA61"/>
    <w:multiLevelType w:val="hybridMultilevel"/>
    <w:lvl w:ilvl="0">
      <w:lvlJc w:val="left"/>
      <w:lvlText w:val="%1."/>
      <w:numFmt w:val="decimal"/>
      <w:start w:val="4"/>
    </w:lvl>
    <w:lvl w:ilvl="1">
      <w:lvlJc w:val="left"/>
      <w:lvlText w:val="(%2)"/>
      <w:numFmt w:val="lowerLetter"/>
      <w:start w:val="1"/>
    </w:lvl>
  </w:abstractNum>
  <w:abstractNum w:abstractNumId="268">
    <w:nsid w:val="1C0CA67C"/>
    <w:multiLevelType w:val="hybridMultilevel"/>
    <w:lvl w:ilvl="0">
      <w:lvlJc w:val="left"/>
      <w:lvlText w:val="%1"/>
      <w:numFmt w:val="decimal"/>
      <w:start w:val="1"/>
    </w:lvl>
    <w:lvl w:ilvl="1">
      <w:lvlJc w:val="left"/>
      <w:lvlText w:val="(%2)"/>
      <w:numFmt w:val="lowerLetter"/>
      <w:start w:val="3"/>
    </w:lvl>
  </w:abstractNum>
  <w:abstractNum w:abstractNumId="269">
    <w:nsid w:val="3D206613"/>
    <w:multiLevelType w:val="hybridMultilevel"/>
    <w:lvl w:ilvl="0">
      <w:lvlJc w:val="left"/>
      <w:lvlText w:val="%1."/>
      <w:numFmt w:val="decimal"/>
      <w:start w:val="6"/>
    </w:lvl>
    <w:lvl w:ilvl="1">
      <w:lvlJc w:val="left"/>
      <w:lvlText w:val="(%2)"/>
      <w:numFmt w:val="lowerLetter"/>
      <w:start w:val="1"/>
    </w:lvl>
  </w:abstractNum>
  <w:abstractNum w:abstractNumId="270">
    <w:nsid w:val="7993B662"/>
    <w:multiLevelType w:val="hybridMultilevel"/>
    <w:lvl w:ilvl="0">
      <w:lvlJc w:val="left"/>
      <w:lvlText w:val="%1."/>
      <w:numFmt w:val="decimal"/>
      <w:start w:val="12"/>
    </w:lvl>
  </w:abstractNum>
  <w:abstractNum w:abstractNumId="271">
    <w:nsid w:val="3BAB699E"/>
    <w:multiLevelType w:val="hybridMultilevel"/>
    <w:lvl w:ilvl="0">
      <w:lvlJc w:val="left"/>
      <w:lvlText w:val="(%1)"/>
      <w:numFmt w:val="lowerRoman"/>
      <w:start w:val="3"/>
    </w:lvl>
  </w:abstractNum>
  <w:abstractNum w:abstractNumId="272">
    <w:nsid w:val="71315369"/>
    <w:multiLevelType w:val="hybridMultilevel"/>
    <w:lvl w:ilvl="0">
      <w:lvlJc w:val="left"/>
      <w:lvlText w:val="(%1)"/>
      <w:numFmt w:val="upperLetter"/>
      <w:start w:val="1"/>
    </w:lvl>
  </w:abstractNum>
  <w:abstractNum w:abstractNumId="273">
    <w:nsid w:val="7BCFBAFC"/>
    <w:multiLevelType w:val="hybridMultilevel"/>
    <w:lvl w:ilvl="0">
      <w:lvlJc w:val="left"/>
      <w:lvlText w:val="%1"/>
      <w:numFmt w:val="lowerLetter"/>
      <w:start w:val="1"/>
    </w:lvl>
    <w:lvl w:ilvl="1">
      <w:lvlJc w:val="left"/>
      <w:lvlText w:val="(%2)"/>
      <w:numFmt w:val="lowerLetter"/>
      <w:start w:val="1"/>
    </w:lvl>
  </w:abstractNum>
  <w:abstractNum w:abstractNumId="274">
    <w:nsid w:val="17859F72"/>
    <w:multiLevelType w:val="hybridMultilevel"/>
    <w:lvl w:ilvl="0">
      <w:lvlJc w:val="left"/>
      <w:lvlText w:val="(%1)"/>
      <w:numFmt w:val="lowerLetter"/>
      <w:start w:val="35"/>
    </w:lvl>
    <w:lvl w:ilvl="1">
      <w:lvlJc w:val="left"/>
      <w:lvlText w:val="(%2)"/>
      <w:numFmt w:val="lowerLetter"/>
      <w:start w:val="2"/>
    </w:lvl>
  </w:abstractNum>
  <w:abstractNum w:abstractNumId="275">
    <w:nsid w:val="3AA10581"/>
    <w:multiLevelType w:val="hybridMultilevel"/>
    <w:lvl w:ilvl="0">
      <w:lvlJc w:val="left"/>
      <w:lvlText w:val="(%1)"/>
      <w:numFmt w:val="decimal"/>
      <w:start w:val="12"/>
    </w:lvl>
  </w:abstractNum>
  <w:abstractNum w:abstractNumId="276">
    <w:nsid w:val="63DE60CD"/>
    <w:multiLevelType w:val="hybridMultilevel"/>
    <w:lvl w:ilvl="0">
      <w:lvlJc w:val="left"/>
      <w:lvlText w:val="(%1)"/>
      <w:numFmt w:val="decimal"/>
      <w:start w:val="12"/>
    </w:lvl>
  </w:abstractNum>
  <w:abstractNum w:abstractNumId="277">
    <w:nsid w:val="621AF471"/>
    <w:multiLevelType w:val="hybridMultilevel"/>
    <w:lvl w:ilvl="0">
      <w:lvlJc w:val="left"/>
      <w:lvlText w:val="(%1)"/>
      <w:numFmt w:val="decimal"/>
      <w:start w:val="3"/>
    </w:lvl>
  </w:abstractNum>
  <w:abstractNum w:abstractNumId="278">
    <w:nsid w:val="73CFE165"/>
    <w:multiLevelType w:val="hybridMultilevel"/>
    <w:lvl w:ilvl="0">
      <w:lvlJc w:val="left"/>
      <w:lvlText w:val="["/>
      <w:numFmt w:val="bullet"/>
      <w:start w:val="1"/>
    </w:lvl>
  </w:abstractNum>
  <w:abstractNum w:abstractNumId="279">
    <w:nsid w:val="20F88EA6"/>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280">
    <w:nsid w:val="617C843E"/>
    <w:multiLevelType w:val="hybridMultilevel"/>
    <w:lvl w:ilvl="0">
      <w:lvlJc w:val="left"/>
      <w:lvlText w:val="(%1)"/>
      <w:numFmt w:val="lowerRoman"/>
      <w:start w:val="3"/>
    </w:lvl>
    <w:lvl w:ilvl="1">
      <w:lvlJc w:val="left"/>
      <w:lvlText w:val="%2."/>
      <w:numFmt w:val="decimal"/>
      <w:start w:val="2"/>
    </w:lvl>
    <w:lvl w:ilvl="2">
      <w:lvlJc w:val="left"/>
      <w:lvlText w:val="(%3)"/>
      <w:numFmt w:val="lowerRoman"/>
      <w:start w:val="1"/>
    </w:lvl>
  </w:abstractNum>
  <w:abstractNum w:abstractNumId="281">
    <w:nsid w:val="7B541FAB"/>
    <w:multiLevelType w:val="hybridMultilevel"/>
    <w:lvl w:ilvl="0">
      <w:lvlJc w:val="left"/>
      <w:lvlText w:val="(%1)"/>
      <w:numFmt w:val="lowerRoman"/>
      <w:start w:val="3"/>
    </w:lvl>
  </w:abstractNum>
  <w:abstractNum w:abstractNumId="282">
    <w:nsid w:val="2A79EC49"/>
    <w:multiLevelType w:val="hybridMultilevel"/>
    <w:lvl w:ilvl="0">
      <w:lvlJc w:val="left"/>
      <w:lvlText w:val="%1."/>
      <w:numFmt w:val="decimal"/>
      <w:start w:val="3"/>
    </w:lvl>
  </w:abstractNum>
  <w:abstractNum w:abstractNumId="283">
    <w:nsid w:val="338125CF"/>
    <w:multiLevelType w:val="hybridMultilevel"/>
    <w:lvl w:ilvl="0">
      <w:lvlJc w:val="left"/>
      <w:lvlText w:val="%1."/>
      <w:numFmt w:val="decimal"/>
      <w:start w:val="6"/>
    </w:lvl>
  </w:abstractNum>
  <w:abstractNum w:abstractNumId="284">
    <w:nsid w:val="47C7C971"/>
    <w:multiLevelType w:val="hybridMultilevel"/>
    <w:lvl w:ilvl="0">
      <w:lvlJc w:val="left"/>
      <w:lvlText w:val="%1."/>
      <w:numFmt w:val="decimal"/>
      <w:start w:val="9"/>
    </w:lvl>
  </w:abstractNum>
  <w:abstractNum w:abstractNumId="285">
    <w:nsid w:val="46F8284B"/>
    <w:multiLevelType w:val="hybridMultilevel"/>
    <w:lvl w:ilvl="0">
      <w:lvlJc w:val="left"/>
      <w:lvlText w:val="(%1)"/>
      <w:numFmt w:val="lowerLetter"/>
      <w:start w:val="1"/>
    </w:lvl>
    <w:lvl w:ilvl="1">
      <w:lvlJc w:val="left"/>
      <w:lvlText w:val="(%2)"/>
      <w:numFmt w:val="lowerRoman"/>
      <w:start w:val="1"/>
    </w:lvl>
  </w:abstractNum>
  <w:abstractNum w:abstractNumId="286">
    <w:nsid w:val="4FA327CE"/>
    <w:multiLevelType w:val="hybridMultilevel"/>
    <w:lvl w:ilvl="0">
      <w:lvlJc w:val="left"/>
      <w:lvlText w:val="(%1)"/>
      <w:numFmt w:val="lowerLetter"/>
      <w:start w:val="3"/>
    </w:lvl>
  </w:abstractNum>
  <w:abstractNum w:abstractNumId="287">
    <w:nsid w:val="1873983A"/>
    <w:multiLevelType w:val="hybridMultilevel"/>
    <w:lvl w:ilvl="0">
      <w:lvlJc w:val="left"/>
      <w:lvlText w:val="%1"/>
      <w:numFmt w:val="decimal"/>
      <w:start w:val="1"/>
    </w:lvl>
    <w:lvl w:ilvl="1">
      <w:lvlJc w:val="left"/>
      <w:lvlText w:val="(%2)"/>
      <w:numFmt w:val="lowerLetter"/>
      <w:start w:val="4"/>
    </w:lvl>
  </w:abstractNum>
  <w:abstractNum w:abstractNumId="288">
    <w:nsid w:val="3D2DD275"/>
    <w:multiLevelType w:val="hybridMultilevel"/>
    <w:lvl w:ilvl="0">
      <w:lvlJc w:val="left"/>
      <w:lvlText w:val="(%1)"/>
      <w:numFmt w:val="decimal"/>
      <w:start w:val="2"/>
    </w:lvl>
    <w:lvl w:ilvl="1">
      <w:lvlJc w:val="left"/>
      <w:lvlText w:val="(%2)"/>
      <w:numFmt w:val="lowerLetter"/>
      <w:start w:val="5"/>
    </w:lvl>
  </w:abstractNum>
  <w:abstractNum w:abstractNumId="289">
    <w:nsid w:val="2E17ECA7"/>
    <w:multiLevelType w:val="hybridMultilevel"/>
    <w:lvl w:ilvl="0">
      <w:lvlJc w:val="left"/>
      <w:lvlText w:val="(%1)"/>
      <w:numFmt w:val="upperLetter"/>
      <w:start w:val="2"/>
    </w:lvl>
  </w:abstractNum>
  <w:abstractNum w:abstractNumId="290">
    <w:nsid w:val="53B2564F"/>
    <w:multiLevelType w:val="hybridMultilevel"/>
    <w:lvl w:ilvl="0">
      <w:lvlJc w:val="left"/>
      <w:lvlText w:val="(%1)"/>
      <w:numFmt w:val="lowerLetter"/>
      <w:start w:val="1"/>
    </w:lvl>
  </w:abstractNum>
  <w:abstractNum w:abstractNumId="291">
    <w:nsid w:val="75509D76"/>
    <w:multiLevelType w:val="hybridMultilevel"/>
    <w:lvl w:ilvl="0">
      <w:lvlJc w:val="left"/>
      <w:lvlText w:val="(%1)"/>
      <w:numFmt w:val="lowerLetter"/>
      <w:start w:val="2"/>
    </w:lvl>
  </w:abstractNum>
  <w:abstractNum w:abstractNumId="292">
    <w:nsid w:val="1AF7F0EA"/>
    <w:multiLevelType w:val="hybridMultilevel"/>
    <w:lvl w:ilvl="0">
      <w:lvlJc w:val="left"/>
      <w:lvlText w:val="(%1)"/>
      <w:numFmt w:val="lowerLetter"/>
      <w:start w:val="35"/>
    </w:lvl>
  </w:abstractNum>
  <w:abstractNum w:abstractNumId="293">
    <w:nsid w:val="4DA32C7E"/>
    <w:multiLevelType w:val="hybridMultilevel"/>
    <w:lvl w:ilvl="0">
      <w:lvlJc w:val="left"/>
      <w:lvlText w:val="(%1)"/>
      <w:numFmt w:val="lowerLetter"/>
      <w:start w:val="1"/>
    </w:lvl>
  </w:abstractNum>
  <w:abstractNum w:abstractNumId="294">
    <w:nsid w:val="6EC68664"/>
    <w:multiLevelType w:val="hybridMultilevel"/>
    <w:lvl w:ilvl="0">
      <w:lvlJc w:val="left"/>
      <w:lvlText w:val="(%1)"/>
      <w:numFmt w:val="lowerLetter"/>
      <w:start w:val="2"/>
    </w:lvl>
  </w:abstractNum>
  <w:abstractNum w:abstractNumId="295">
    <w:nsid w:val="E0D31FF"/>
    <w:multiLevelType w:val="hybridMultilevel"/>
    <w:lvl w:ilvl="0">
      <w:lvlJc w:val="left"/>
      <w:lvlText w:val="%1"/>
      <w:numFmt w:val="decimal"/>
      <w:start w:val="1"/>
    </w:lvl>
    <w:lvl w:ilvl="1">
      <w:lvlJc w:val="left"/>
      <w:lvlText w:val="(%2)"/>
      <w:numFmt w:val="lowerLetter"/>
      <w:start w:val="1"/>
    </w:lvl>
  </w:abstractNum>
  <w:abstractNum w:abstractNumId="296">
    <w:nsid w:val="2FD0AD81"/>
    <w:multiLevelType w:val="hybridMultilevel"/>
    <w:lvl w:ilvl="0">
      <w:lvlJc w:val="left"/>
      <w:lvlText w:val="(%1)"/>
      <w:numFmt w:val="decimal"/>
      <w:start w:val="20"/>
    </w:lvl>
    <w:lvl w:ilvl="1">
      <w:lvlJc w:val="left"/>
      <w:lvlText w:val="%2"/>
      <w:numFmt w:val="lowerLetter"/>
      <w:start w:val="1"/>
    </w:lvl>
  </w:abstractNum>
  <w:abstractNum w:abstractNumId="297">
    <w:nsid w:val="1978EBEB"/>
    <w:multiLevelType w:val="hybridMultilevel"/>
    <w:lvl w:ilvl="0">
      <w:lvlJc w:val="left"/>
      <w:lvlText w:val="(%1)"/>
      <w:numFmt w:val="lowerLetter"/>
      <w:start w:val="3"/>
    </w:lvl>
  </w:abstractNum>
  <w:abstractNum w:abstractNumId="298">
    <w:nsid w:val="52C12C61"/>
    <w:multiLevelType w:val="hybridMultilevel"/>
    <w:lvl w:ilvl="0">
      <w:lvlJc w:val="left"/>
      <w:lvlText w:val="(%1)"/>
      <w:numFmt w:val="lowerLetter"/>
      <w:start w:val="6"/>
    </w:lvl>
  </w:abstractNum>
  <w:abstractNum w:abstractNumId="299">
    <w:nsid w:val="4BDD53FD"/>
    <w:multiLevelType w:val="hybridMultilevel"/>
    <w:lvl w:ilvl="0">
      <w:lvlJc w:val="left"/>
      <w:lvlText w:val="(%1)"/>
      <w:numFmt w:val="lowerLetter"/>
      <w:start w:val="10"/>
    </w:lvl>
  </w:abstractNum>
  <w:abstractNum w:abstractNumId="300">
    <w:nsid w:val="569951FE"/>
    <w:multiLevelType w:val="hybridMultilevel"/>
    <w:lvl w:ilvl="0">
      <w:lvlJc w:val="left"/>
      <w:lvlText w:val="(%1)"/>
      <w:numFmt w:val="lowerLetter"/>
      <w:start w:val="1"/>
    </w:lvl>
  </w:abstractNum>
  <w:abstractNum w:abstractNumId="301">
    <w:nsid w:val="4C54E2C3"/>
    <w:multiLevelType w:val="hybridMultilevel"/>
    <w:lvl w:ilvl="0">
      <w:lvlJc w:val="left"/>
      <w:lvlText w:val="(%1)"/>
      <w:numFmt w:val="lowerLetter"/>
      <w:start w:val="1"/>
    </w:lvl>
  </w:abstractNum>
  <w:abstractNum w:abstractNumId="302">
    <w:nsid w:val="788BD9B"/>
    <w:multiLevelType w:val="hybridMultilevel"/>
    <w:lvl w:ilvl="0">
      <w:lvlJc w:val="left"/>
      <w:lvlText w:val="(%1)"/>
      <w:numFmt w:val="lowerRoman"/>
      <w:start w:val="1"/>
    </w:lvl>
  </w:abstractNum>
  <w:abstractNum w:abstractNumId="303">
    <w:nsid w:val="47CAA567"/>
    <w:multiLevelType w:val="hybridMultilevel"/>
    <w:lvl w:ilvl="0">
      <w:lvlJc w:val="left"/>
      <w:lvlText w:val="(%1)"/>
      <w:numFmt w:val="lowerLetter"/>
      <w:start w:val="1"/>
    </w:lvl>
    <w:lvl w:ilvl="1">
      <w:lvlJc w:val="left"/>
      <w:lvlText w:val="(%2)"/>
      <w:numFmt w:val="lowerRoman"/>
      <w:start w:val="1"/>
    </w:lvl>
  </w:abstractNum>
  <w:abstractNum w:abstractNumId="304">
    <w:nsid w:val="48249DBF"/>
    <w:multiLevelType w:val="hybridMultilevel"/>
    <w:lvl w:ilvl="0">
      <w:lvlJc w:val="left"/>
      <w:lvlText w:val="(%1)"/>
      <w:numFmt w:val="lowerLetter"/>
      <w:start w:val="3"/>
    </w:lvl>
  </w:abstractNum>
  <w:abstractNum w:abstractNumId="305">
    <w:nsid w:val="1F0E5D0D"/>
    <w:multiLevelType w:val="hybridMultilevel"/>
    <w:lvl w:ilvl="0">
      <w:lvlJc w:val="left"/>
      <w:lvlText w:val="(%1)"/>
      <w:numFmt w:val="lowerLetter"/>
      <w:start w:val="1"/>
    </w:lvl>
  </w:abstractNum>
  <w:abstractNum w:abstractNumId="306">
    <w:nsid w:val="26BAAE9"/>
    <w:multiLevelType w:val="hybridMultilevel"/>
    <w:lvl w:ilvl="0">
      <w:lvlJc w:val="left"/>
      <w:lvlText w:val="(%1)"/>
      <w:numFmt w:val="lowerLetter"/>
      <w:start w:val="2"/>
    </w:lvl>
  </w:abstractNum>
  <w:abstractNum w:abstractNumId="307">
    <w:nsid w:val="2C02FE8C"/>
    <w:multiLevelType w:val="hybridMultilevel"/>
    <w:lvl w:ilvl="0">
      <w:lvlJc w:val="left"/>
      <w:lvlText w:val="(%1)"/>
      <w:numFmt w:val="lowerLetter"/>
      <w:start w:val="2"/>
    </w:lvl>
  </w:abstractNum>
  <w:abstractNum w:abstractNumId="308">
    <w:nsid w:val="129517E"/>
    <w:multiLevelType w:val="hybridMultilevel"/>
    <w:lvl w:ilvl="0">
      <w:lvlJc w:val="left"/>
      <w:lvlText w:val="(%1)"/>
      <w:numFmt w:val="lowerLetter"/>
      <w:start w:val="1"/>
    </w:lvl>
  </w:abstractNum>
  <w:abstractNum w:abstractNumId="309">
    <w:nsid w:val="763B8C4E"/>
    <w:multiLevelType w:val="hybridMultilevel"/>
    <w:lvl w:ilvl="0">
      <w:lvlJc w:val="left"/>
      <w:lvlText w:val="(%1)"/>
      <w:numFmt w:val="lowerLetter"/>
      <w:start w:val="2"/>
    </w:lvl>
  </w:abstractNum>
  <w:abstractNum w:abstractNumId="310">
    <w:nsid w:val="4CFB8D32"/>
    <w:multiLevelType w:val="hybridMultilevel"/>
    <w:lvl w:ilvl="0">
      <w:lvlJc w:val="left"/>
      <w:lvlText w:val="%1"/>
      <w:numFmt w:val="lowerLetter"/>
      <w:start w:val="1"/>
    </w:lvl>
    <w:lvl w:ilvl="1">
      <w:lvlJc w:val="left"/>
      <w:lvlText w:val="(%2)"/>
      <w:numFmt w:val="lowerLetter"/>
      <w:start w:val="1"/>
    </w:lvl>
  </w:abstractNum>
  <w:abstractNum w:abstractNumId="311">
    <w:nsid w:val="62A5D5BD"/>
    <w:multiLevelType w:val="hybridMultilevel"/>
    <w:lvl w:ilvl="0">
      <w:lvlJc w:val="left"/>
      <w:lvlText w:val="(%1)"/>
      <w:numFmt w:val="lowerLetter"/>
      <w:start w:val="1"/>
    </w:lvl>
    <w:lvl w:ilvl="1">
      <w:lvlJc w:val="left"/>
      <w:lvlText w:val="(%2)"/>
      <w:numFmt w:val="lowerLetter"/>
      <w:start w:val="2"/>
    </w:lvl>
  </w:abstractNum>
  <w:abstractNum w:abstractNumId="312">
    <w:nsid w:val="718FABF9"/>
    <w:multiLevelType w:val="hybridMultilevel"/>
    <w:lvl w:ilvl="0">
      <w:lvlJc w:val="left"/>
      <w:lvlText w:val="(%1)"/>
      <w:numFmt w:val="lowerLetter"/>
      <w:start w:val="4"/>
    </w:lvl>
  </w:abstractNum>
  <w:abstractNum w:abstractNumId="313">
    <w:nsid w:val="7775797C"/>
    <w:multiLevelType w:val="hybridMultilevel"/>
    <w:lvl w:ilvl="0">
      <w:lvlJc w:val="left"/>
      <w:lvlText w:val="(%1)"/>
      <w:numFmt w:val="lowerLetter"/>
      <w:start w:val="1"/>
    </w:lvl>
  </w:abstractNum>
  <w:abstractNum w:abstractNumId="314">
    <w:nsid w:val="1626FB8C"/>
    <w:multiLevelType w:val="hybridMultilevel"/>
    <w:lvl w:ilvl="0">
      <w:lvlJc w:val="left"/>
      <w:lvlText w:val="(%1)"/>
      <w:numFmt w:val="lowerRoman"/>
      <w:start w:val="1"/>
    </w:lvl>
  </w:abstractNum>
  <w:abstractNum w:abstractNumId="315">
    <w:nsid w:val="3957756A"/>
    <w:multiLevelType w:val="hybridMultilevel"/>
    <w:lvl w:ilvl="0">
      <w:lvlJc w:val="left"/>
      <w:lvlText w:val="(%1)"/>
      <w:numFmt w:val="lowerLetter"/>
      <w:start w:val="1"/>
    </w:lvl>
  </w:abstractNum>
  <w:abstractNum w:abstractNumId="316">
    <w:nsid w:val="3E6DA1C7"/>
    <w:multiLevelType w:val="hybridMultilevel"/>
    <w:lvl w:ilvl="0">
      <w:lvlJc w:val="left"/>
      <w:lvlText w:val="•"/>
      <w:numFmt w:val="bullet"/>
      <w:start w:val="1"/>
    </w:lvl>
  </w:abstractNum>
  <w:abstractNum w:abstractNumId="317">
    <w:nsid w:val="65CA235B"/>
    <w:multiLevelType w:val="hybridMultilevel"/>
    <w:lvl w:ilvl="0">
      <w:lvlJc w:val="left"/>
      <w:lvlText w:val="•"/>
      <w:numFmt w:val="bullet"/>
      <w:start w:val="1"/>
    </w:lvl>
  </w:abstractNum>
  <w:abstractNum w:abstractNumId="318">
    <w:nsid w:val="51CB0DA4"/>
    <w:multiLevelType w:val="hybridMultilevel"/>
    <w:lvl w:ilvl="0">
      <w:lvlJc w:val="left"/>
      <w:lvlText w:val="1"/>
      <w:numFmt w:val="bullet"/>
      <w:start w:val="1"/>
    </w:lvl>
  </w:abstractNum>
  <w:abstractNum w:abstractNumId="319">
    <w:nsid w:val="7B9B743C"/>
    <w:multiLevelType w:val="hybridMultilevel"/>
    <w:lvl w:ilvl="0">
      <w:lvlJc w:val="left"/>
      <w:lvlText w:val="(%1)"/>
      <w:numFmt w:val="lowerRoman"/>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2022-11-14T07:20:01Z</dcterms:created>
  <dcterms:modified xsi:type="dcterms:W3CDTF">2022-11-14T07:20:01Z</dcterms:modified>
</cp:coreProperties>
</file>