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880"/>
        <w:spacing w:after="0"/>
        <w:rPr>
          <w:sz w:val="20"/>
          <w:szCs w:val="20"/>
          <w:color w:val="auto"/>
        </w:rPr>
      </w:pPr>
      <w:r>
        <w:rPr>
          <w:rFonts w:ascii="Arial" w:cs="Arial" w:eastAsia="Arial" w:hAnsi="Arial"/>
          <w:sz w:val="18"/>
          <w:szCs w:val="18"/>
          <w:b w:val="1"/>
          <w:bCs w:val="1"/>
          <w:color w:val="auto"/>
        </w:rPr>
        <w:t>ATTORNEYS AT LAW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388745" cy="5575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88745" cy="557530"/>
                    </a:xfrm>
                    <a:prstGeom prst="rect">
                      <a:avLst/>
                    </a:prstGeom>
                    <a:noFill/>
                  </pic:spPr>
                </pic:pic>
              </a:graphicData>
            </a:graphic>
          </wp:anchor>
        </w:drawing>
      </w:r>
    </w:p>
    <w:p>
      <w:pPr>
        <w:spacing w:after="0" w:line="209" w:lineRule="exact"/>
        <w:rPr>
          <w:sz w:val="24"/>
          <w:szCs w:val="24"/>
          <w:color w:val="auto"/>
        </w:rPr>
      </w:pPr>
    </w:p>
    <w:p>
      <w:pPr>
        <w:ind w:left="7880"/>
        <w:spacing w:after="0"/>
        <w:rPr>
          <w:sz w:val="20"/>
          <w:szCs w:val="20"/>
          <w:color w:val="auto"/>
        </w:rPr>
      </w:pPr>
      <w:r>
        <w:rPr>
          <w:rFonts w:ascii="Arial" w:cs="Arial" w:eastAsia="Arial" w:hAnsi="Arial"/>
          <w:sz w:val="16"/>
          <w:szCs w:val="16"/>
          <w:color w:val="auto"/>
        </w:rPr>
        <w:t>100 NORTH TAMPA STREET, SUITE 2700</w:t>
      </w:r>
    </w:p>
    <w:p>
      <w:pPr>
        <w:spacing w:after="0" w:line="46" w:lineRule="exact"/>
        <w:rPr>
          <w:sz w:val="24"/>
          <w:szCs w:val="24"/>
          <w:color w:val="auto"/>
        </w:rPr>
      </w:pPr>
    </w:p>
    <w:p>
      <w:pPr>
        <w:ind w:left="7880"/>
        <w:spacing w:after="0"/>
        <w:rPr>
          <w:sz w:val="20"/>
          <w:szCs w:val="20"/>
          <w:color w:val="auto"/>
        </w:rPr>
      </w:pPr>
      <w:r>
        <w:rPr>
          <w:rFonts w:ascii="Arial" w:cs="Arial" w:eastAsia="Arial" w:hAnsi="Arial"/>
          <w:sz w:val="18"/>
          <w:szCs w:val="18"/>
          <w:color w:val="auto"/>
        </w:rPr>
        <w:t>TAMPA, FL 33602-5810</w:t>
      </w:r>
    </w:p>
    <w:p>
      <w:pPr>
        <w:spacing w:after="0" w:line="9" w:lineRule="exact"/>
        <w:rPr>
          <w:sz w:val="24"/>
          <w:szCs w:val="24"/>
          <w:color w:val="auto"/>
        </w:rPr>
      </w:pPr>
    </w:p>
    <w:p>
      <w:pPr>
        <w:ind w:left="7880"/>
        <w:spacing w:after="0"/>
        <w:rPr>
          <w:sz w:val="20"/>
          <w:szCs w:val="20"/>
          <w:color w:val="auto"/>
        </w:rPr>
      </w:pPr>
      <w:r>
        <w:rPr>
          <w:rFonts w:ascii="Arial" w:cs="Arial" w:eastAsia="Arial" w:hAnsi="Arial"/>
          <w:sz w:val="18"/>
          <w:szCs w:val="18"/>
          <w:color w:val="auto"/>
        </w:rPr>
        <w:t>813.229.2300 | 105 TEL</w:t>
      </w:r>
    </w:p>
    <w:p>
      <w:pPr>
        <w:spacing w:after="0" w:line="9" w:lineRule="exact"/>
        <w:rPr>
          <w:sz w:val="24"/>
          <w:szCs w:val="24"/>
          <w:color w:val="auto"/>
        </w:rPr>
      </w:pPr>
    </w:p>
    <w:p>
      <w:pPr>
        <w:ind w:left="7880"/>
        <w:spacing w:after="0"/>
        <w:rPr>
          <w:sz w:val="20"/>
          <w:szCs w:val="20"/>
          <w:color w:val="auto"/>
        </w:rPr>
      </w:pPr>
      <w:r>
        <w:rPr>
          <w:rFonts w:ascii="Arial" w:cs="Arial" w:eastAsia="Arial" w:hAnsi="Arial"/>
          <w:sz w:val="18"/>
          <w:szCs w:val="18"/>
          <w:color w:val="auto"/>
        </w:rPr>
        <w:t>813.221.4210 FAX</w:t>
      </w:r>
    </w:p>
    <w:p>
      <w:pPr>
        <w:spacing w:after="0" w:line="9" w:lineRule="exact"/>
        <w:rPr>
          <w:sz w:val="24"/>
          <w:szCs w:val="24"/>
          <w:color w:val="auto"/>
        </w:rPr>
      </w:pPr>
    </w:p>
    <w:p>
      <w:pPr>
        <w:ind w:left="7880"/>
        <w:spacing w:after="0"/>
        <w:rPr>
          <w:sz w:val="20"/>
          <w:szCs w:val="20"/>
          <w:color w:val="auto"/>
        </w:rPr>
      </w:pPr>
      <w:r>
        <w:rPr>
          <w:rFonts w:ascii="Arial" w:cs="Arial" w:eastAsia="Arial" w:hAnsi="Arial"/>
          <w:sz w:val="18"/>
          <w:szCs w:val="18"/>
          <w:color w:val="auto"/>
        </w:rPr>
        <w:t>WWW.FOLEY.COM</w:t>
      </w:r>
    </w:p>
    <w:p>
      <w:pPr>
        <w:spacing w:after="0" w:line="211" w:lineRule="exact"/>
        <w:rPr>
          <w:sz w:val="24"/>
          <w:szCs w:val="24"/>
          <w:color w:val="auto"/>
        </w:rPr>
      </w:pPr>
    </w:p>
    <w:p>
      <w:pPr>
        <w:ind w:left="7880"/>
        <w:spacing w:after="0"/>
        <w:rPr>
          <w:sz w:val="20"/>
          <w:szCs w:val="20"/>
          <w:color w:val="auto"/>
        </w:rPr>
      </w:pPr>
      <w:r>
        <w:rPr>
          <w:rFonts w:ascii="Arial" w:cs="Arial" w:eastAsia="Arial" w:hAnsi="Arial"/>
          <w:sz w:val="18"/>
          <w:szCs w:val="18"/>
          <w:color w:val="auto"/>
        </w:rPr>
        <w:t>WRITER’S DIRECT LINE</w:t>
      </w:r>
    </w:p>
    <w:p>
      <w:pPr>
        <w:spacing w:after="0" w:line="23" w:lineRule="exact"/>
        <w:rPr>
          <w:sz w:val="24"/>
          <w:szCs w:val="24"/>
          <w:color w:val="auto"/>
        </w:rPr>
      </w:pPr>
    </w:p>
    <w:p>
      <w:pPr>
        <w:ind w:left="7880"/>
        <w:spacing w:after="0"/>
        <w:rPr>
          <w:sz w:val="20"/>
          <w:szCs w:val="20"/>
          <w:color w:val="auto"/>
        </w:rPr>
      </w:pPr>
      <w:r>
        <w:rPr>
          <w:rFonts w:ascii="Arial" w:cs="Arial" w:eastAsia="Arial" w:hAnsi="Arial"/>
          <w:sz w:val="18"/>
          <w:szCs w:val="18"/>
          <w:color w:val="auto"/>
        </w:rPr>
        <w:t>813.225.5441 PHONE</w:t>
      </w:r>
    </w:p>
    <w:p>
      <w:pPr>
        <w:spacing w:after="0" w:line="9" w:lineRule="exact"/>
        <w:rPr>
          <w:sz w:val="24"/>
          <w:szCs w:val="24"/>
          <w:color w:val="auto"/>
        </w:rPr>
      </w:pPr>
    </w:p>
    <w:p>
      <w:pPr>
        <w:ind w:left="7880"/>
        <w:spacing w:after="0"/>
        <w:rPr>
          <w:sz w:val="20"/>
          <w:szCs w:val="20"/>
          <w:color w:val="auto"/>
        </w:rPr>
      </w:pPr>
      <w:r>
        <w:rPr>
          <w:rFonts w:ascii="Arial" w:cs="Arial" w:eastAsia="Arial" w:hAnsi="Arial"/>
          <w:sz w:val="18"/>
          <w:szCs w:val="18"/>
          <w:color w:val="auto"/>
        </w:rPr>
        <w:t>kshuler@foley.com EMAIL</w:t>
      </w:r>
    </w:p>
    <w:p>
      <w:pPr>
        <w:spacing w:after="0" w:line="211" w:lineRule="exact"/>
        <w:rPr>
          <w:sz w:val="24"/>
          <w:szCs w:val="24"/>
          <w:color w:val="auto"/>
        </w:rPr>
      </w:pPr>
    </w:p>
    <w:p>
      <w:pPr>
        <w:ind w:left="7880"/>
        <w:spacing w:after="0"/>
        <w:rPr>
          <w:sz w:val="20"/>
          <w:szCs w:val="20"/>
          <w:color w:val="auto"/>
        </w:rPr>
      </w:pPr>
      <w:r>
        <w:rPr>
          <w:rFonts w:ascii="Arial" w:cs="Arial" w:eastAsia="Arial" w:hAnsi="Arial"/>
          <w:sz w:val="18"/>
          <w:szCs w:val="18"/>
          <w:color w:val="auto"/>
        </w:rPr>
        <w:t>CLIENT/MATTER NUMBER</w:t>
      </w:r>
    </w:p>
    <w:p>
      <w:pPr>
        <w:spacing w:after="0" w:line="23" w:lineRule="exact"/>
        <w:rPr>
          <w:sz w:val="24"/>
          <w:szCs w:val="24"/>
          <w:color w:val="auto"/>
        </w:rPr>
      </w:pPr>
    </w:p>
    <w:p>
      <w:pPr>
        <w:ind w:left="7880"/>
        <w:spacing w:after="0"/>
        <w:rPr>
          <w:sz w:val="20"/>
          <w:szCs w:val="20"/>
          <w:color w:val="auto"/>
        </w:rPr>
      </w:pPr>
      <w:r>
        <w:rPr>
          <w:rFonts w:ascii="Arial" w:cs="Arial" w:eastAsia="Arial" w:hAnsi="Arial"/>
          <w:sz w:val="18"/>
          <w:szCs w:val="18"/>
          <w:color w:val="auto"/>
        </w:rPr>
        <w:t>128264-0104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July 6, 2023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Ms. Jessica Ansart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Office of Industrial Applications and Services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240"/>
          </w:cols>
          <w:pgMar w:left="320" w:top="472" w:right="339" w:bottom="1440" w:gutter="0" w:footer="0" w:header="0"/>
        </w:sectPr>
      </w:pPr>
    </w:p>
    <w:p>
      <w:pPr>
        <w:spacing w:after="0" w:line="207" w:lineRule="exact"/>
        <w:rPr>
          <w:sz w:val="24"/>
          <w:szCs w:val="24"/>
          <w:color w:val="auto"/>
        </w:rPr>
      </w:pPr>
    </w:p>
    <w:p>
      <w:pPr>
        <w:ind w:left="66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MedTech Acquisition Corp</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Amendment No. 4 to Registration Statement on Form S-4</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June 8, 2023</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333-269138</w:t>
      </w:r>
    </w:p>
    <w:p>
      <w:pPr>
        <w:spacing w:after="0" w:line="200" w:lineRule="exact"/>
        <w:rPr>
          <w:sz w:val="24"/>
          <w:szCs w:val="24"/>
          <w:color w:val="auto"/>
        </w:rPr>
      </w:pPr>
    </w:p>
    <w:p>
      <w:pPr>
        <w:sectPr>
          <w:pgSz w:w="11900" w:h="16838" w:orient="portrait"/>
          <w:cols w:equalWidth="0" w:num="2">
            <w:col w:w="920" w:space="380"/>
            <w:col w:w="9940"/>
          </w:cols>
          <w:pgMar w:left="320" w:top="472" w:right="3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Ms. Ansart:</w:t>
      </w:r>
    </w:p>
    <w:p>
      <w:pPr>
        <w:spacing w:after="0" w:line="225" w:lineRule="exact"/>
        <w:rPr>
          <w:sz w:val="24"/>
          <w:szCs w:val="24"/>
          <w:color w:val="auto"/>
        </w:rPr>
      </w:pPr>
    </w:p>
    <w:p>
      <w:pPr>
        <w:ind w:right="20" w:firstLine="648"/>
        <w:spacing w:after="0" w:line="254" w:lineRule="auto"/>
        <w:rPr>
          <w:sz w:val="20"/>
          <w:szCs w:val="20"/>
          <w:color w:val="auto"/>
        </w:rPr>
      </w:pPr>
      <w:r>
        <w:rPr>
          <w:rFonts w:ascii="Arial" w:cs="Arial" w:eastAsia="Arial" w:hAnsi="Arial"/>
          <w:sz w:val="18"/>
          <w:szCs w:val="18"/>
          <w:color w:val="auto"/>
        </w:rPr>
        <w:t>On behalf of our client, MedTech Acquisition Corporation (the “Company” or “MTAC”), set forth below are the responses of the Company to the comments of the Staff (the “Staff”) of the Securities and Exchange Commission set forth in the Staff’s letter, dated June 20, 2023, with respect to the above-referenced filing. The numbered items set forth below repeat (in bold italics) the comments of the Staff reflected in the comment letter, and following such comments are the responses of the Company (in regular type). Concurrently herewith, the Company is filing Amendment No. 5 to the Registration Statement on Form S-4 (the “Amended Registration Statement”) that reflects the responses to your comments. In addition, we are delivering to the Staff clean and marked courtesy copies of the Amended Registration Statement. Capitalized terms used but not defined in this letter have the meanings given to such terms in the Amended Registration Statement. References to page numbers in this letter are to page numbers in the Amended Registration Statement.</w:t>
      </w:r>
    </w:p>
    <w:p>
      <w:pPr>
        <w:spacing w:after="0" w:line="192"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Amendment No. 4 to the Registration Statement on Form S-4</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Ownership of the Combined Company After the Closing, page 33</w:t>
      </w:r>
    </w:p>
    <w:p>
      <w:pPr>
        <w:spacing w:after="0" w:line="225" w:lineRule="exact"/>
        <w:rPr>
          <w:sz w:val="24"/>
          <w:szCs w:val="24"/>
          <w:color w:val="auto"/>
        </w:rPr>
      </w:pPr>
    </w:p>
    <w:p>
      <w:pPr>
        <w:ind w:left="660" w:right="140" w:hanging="652"/>
        <w:spacing w:after="0" w:line="301" w:lineRule="auto"/>
        <w:tabs>
          <w:tab w:leader="none" w:pos="660" w:val="left"/>
        </w:tabs>
        <w:numPr>
          <w:ilvl w:val="0"/>
          <w:numId w:val="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We note your disclosure on pages 30-31 that your Sponsor and certain of its affiliates will be participating in the PIPE, including pursuant to the Backstop Letter Agreement. Please revise your discussion here and your table on page 34 to disclose the Sponsor and its affiliates' total potential ownership interest in the combined company, assuming exercise and conversion of all securities, including the Series A Convertible Preferred Stock they may receive pursuant to the PIPE and Backstop Letter Agreement.</w:t>
      </w:r>
    </w:p>
    <w:p>
      <w:pPr>
        <w:spacing w:after="0" w:line="157" w:lineRule="exact"/>
        <w:rPr>
          <w:rFonts w:ascii="Arial" w:cs="Arial" w:eastAsia="Arial" w:hAnsi="Arial"/>
          <w:sz w:val="16"/>
          <w:szCs w:val="16"/>
          <w:b w:val="1"/>
          <w:bCs w:val="1"/>
          <w:i w:val="1"/>
          <w:iCs w:val="1"/>
          <w:color w:val="auto"/>
        </w:rPr>
      </w:pPr>
    </w:p>
    <w:p>
      <w:pPr>
        <w:ind w:left="660"/>
        <w:spacing w:after="0"/>
        <w:rPr>
          <w:rFonts w:ascii="Arial" w:cs="Arial" w:eastAsia="Arial" w:hAnsi="Arial"/>
          <w:sz w:val="16"/>
          <w:szCs w:val="16"/>
          <w:b w:val="1"/>
          <w:bCs w:val="1"/>
          <w:i w:val="1"/>
          <w:i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4"/>
          <w:szCs w:val="24"/>
          <w:color w:val="auto"/>
        </w:rPr>
      </w:pPr>
    </w:p>
    <w:p>
      <w:pPr>
        <w:ind w:left="660" w:right="120" w:firstLine="648"/>
        <w:spacing w:after="0" w:line="255" w:lineRule="auto"/>
        <w:rPr>
          <w:sz w:val="20"/>
          <w:szCs w:val="20"/>
          <w:color w:val="auto"/>
        </w:rPr>
      </w:pPr>
      <w:r>
        <w:rPr>
          <w:rFonts w:ascii="Arial" w:cs="Arial" w:eastAsia="Arial" w:hAnsi="Arial"/>
          <w:sz w:val="18"/>
          <w:szCs w:val="18"/>
          <w:color w:val="auto"/>
        </w:rPr>
        <w:t>In response to the Staff’s comment, the Company respectfully advises the Staff that the Backstop Letter Agreement was terminated on July 4, 2023 as disclosed on pages 31-32, 154, and 376 of the Amended Registration Statement. Accordingly, the Sponsor no longer has any ongoing obligations under the Backstop Letter Agreement, nor has the Sponsor otherwise subscribed for shares of Series A Convertible Preferred Stock in the Preferred Stock PIPE Investment. However, the Company has revised the disclosure on pages 15, 35, 41-42, 116-117, 180-181, 185, and 375 of the Amended Registration Statement to clarify the portion of the Preferred Stock PIPE Investment that is represented by members, or affiliates of members, of the Sponsor.</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AUSTIN</w:t>
            </w:r>
          </w:p>
        </w:tc>
        <w:tc>
          <w:tcPr>
            <w:tcW w:w="2520" w:type="dxa"/>
            <w:vAlign w:val="bottom"/>
          </w:tcPr>
          <w:p>
            <w:pPr>
              <w:ind w:left="720"/>
              <w:spacing w:after="0"/>
              <w:rPr>
                <w:sz w:val="20"/>
                <w:szCs w:val="20"/>
                <w:color w:val="auto"/>
              </w:rPr>
            </w:pPr>
            <w:r>
              <w:rPr>
                <w:rFonts w:ascii="Arial" w:cs="Arial" w:eastAsia="Arial" w:hAnsi="Arial"/>
                <w:sz w:val="18"/>
                <w:szCs w:val="18"/>
                <w:color w:val="auto"/>
              </w:rPr>
              <w:t>DETROIT</w:t>
            </w:r>
          </w:p>
        </w:tc>
        <w:tc>
          <w:tcPr>
            <w:tcW w:w="2160" w:type="dxa"/>
            <w:vAlign w:val="bottom"/>
          </w:tcPr>
          <w:p>
            <w:pPr>
              <w:ind w:left="460"/>
              <w:spacing w:after="0"/>
              <w:rPr>
                <w:sz w:val="20"/>
                <w:szCs w:val="20"/>
                <w:color w:val="auto"/>
              </w:rPr>
            </w:pPr>
            <w:r>
              <w:rPr>
                <w:rFonts w:ascii="Arial" w:cs="Arial" w:eastAsia="Arial" w:hAnsi="Arial"/>
                <w:sz w:val="18"/>
                <w:szCs w:val="18"/>
                <w:color w:val="auto"/>
              </w:rPr>
              <w:t>MEXICO CITY</w:t>
            </w:r>
          </w:p>
        </w:tc>
        <w:tc>
          <w:tcPr>
            <w:tcW w:w="2380" w:type="dxa"/>
            <w:vAlign w:val="bottom"/>
          </w:tcPr>
          <w:p>
            <w:pPr>
              <w:ind w:left="540"/>
              <w:spacing w:after="0"/>
              <w:rPr>
                <w:sz w:val="20"/>
                <w:szCs w:val="20"/>
                <w:color w:val="auto"/>
              </w:rPr>
            </w:pPr>
            <w:r>
              <w:rPr>
                <w:rFonts w:ascii="Arial" w:cs="Arial" w:eastAsia="Arial" w:hAnsi="Arial"/>
                <w:sz w:val="18"/>
                <w:szCs w:val="18"/>
                <w:color w:val="auto"/>
              </w:rPr>
              <w:t>SACRAMENTO</w:t>
            </w:r>
          </w:p>
        </w:tc>
        <w:tc>
          <w:tcPr>
            <w:tcW w:w="2640" w:type="dxa"/>
            <w:vAlign w:val="bottom"/>
          </w:tcPr>
          <w:p>
            <w:pPr>
              <w:ind w:left="400"/>
              <w:spacing w:after="0"/>
              <w:rPr>
                <w:sz w:val="20"/>
                <w:szCs w:val="20"/>
                <w:color w:val="auto"/>
              </w:rPr>
            </w:pPr>
            <w:r>
              <w:rPr>
                <w:rFonts w:ascii="Arial" w:cs="Arial" w:eastAsia="Arial" w:hAnsi="Arial"/>
                <w:sz w:val="18"/>
                <w:szCs w:val="18"/>
                <w:color w:val="auto"/>
              </w:rPr>
              <w:t>TALLAHASSEE</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BOSTON</w:t>
            </w:r>
          </w:p>
        </w:tc>
        <w:tc>
          <w:tcPr>
            <w:tcW w:w="2520" w:type="dxa"/>
            <w:vAlign w:val="bottom"/>
          </w:tcPr>
          <w:p>
            <w:pPr>
              <w:ind w:left="720"/>
              <w:spacing w:after="0"/>
              <w:rPr>
                <w:sz w:val="20"/>
                <w:szCs w:val="20"/>
                <w:color w:val="auto"/>
              </w:rPr>
            </w:pPr>
            <w:r>
              <w:rPr>
                <w:rFonts w:ascii="Arial" w:cs="Arial" w:eastAsia="Arial" w:hAnsi="Arial"/>
                <w:sz w:val="18"/>
                <w:szCs w:val="18"/>
                <w:color w:val="auto"/>
              </w:rPr>
              <w:t>HOUSTON</w:t>
            </w:r>
          </w:p>
        </w:tc>
        <w:tc>
          <w:tcPr>
            <w:tcW w:w="2160" w:type="dxa"/>
            <w:vAlign w:val="bottom"/>
          </w:tcPr>
          <w:p>
            <w:pPr>
              <w:ind w:left="460"/>
              <w:spacing w:after="0"/>
              <w:rPr>
                <w:sz w:val="20"/>
                <w:szCs w:val="20"/>
                <w:color w:val="auto"/>
              </w:rPr>
            </w:pPr>
            <w:r>
              <w:rPr>
                <w:rFonts w:ascii="Arial" w:cs="Arial" w:eastAsia="Arial" w:hAnsi="Arial"/>
                <w:sz w:val="18"/>
                <w:szCs w:val="18"/>
                <w:color w:val="auto"/>
              </w:rPr>
              <w:t>MIAMI</w:t>
            </w:r>
          </w:p>
        </w:tc>
        <w:tc>
          <w:tcPr>
            <w:tcW w:w="2380" w:type="dxa"/>
            <w:vAlign w:val="bottom"/>
          </w:tcPr>
          <w:p>
            <w:pPr>
              <w:ind w:left="540"/>
              <w:spacing w:after="0"/>
              <w:rPr>
                <w:sz w:val="20"/>
                <w:szCs w:val="20"/>
                <w:color w:val="auto"/>
              </w:rPr>
            </w:pPr>
            <w:r>
              <w:rPr>
                <w:rFonts w:ascii="Arial" w:cs="Arial" w:eastAsia="Arial" w:hAnsi="Arial"/>
                <w:sz w:val="18"/>
                <w:szCs w:val="18"/>
                <w:color w:val="auto"/>
              </w:rPr>
              <w:t>SALT LAKE CITY</w:t>
            </w:r>
          </w:p>
        </w:tc>
        <w:tc>
          <w:tcPr>
            <w:tcW w:w="2640" w:type="dxa"/>
            <w:vAlign w:val="bottom"/>
          </w:tcPr>
          <w:p>
            <w:pPr>
              <w:ind w:left="400"/>
              <w:spacing w:after="0"/>
              <w:rPr>
                <w:sz w:val="20"/>
                <w:szCs w:val="20"/>
                <w:color w:val="auto"/>
              </w:rPr>
            </w:pPr>
            <w:r>
              <w:rPr>
                <w:rFonts w:ascii="Arial" w:cs="Arial" w:eastAsia="Arial" w:hAnsi="Arial"/>
                <w:sz w:val="18"/>
                <w:szCs w:val="18"/>
                <w:color w:val="auto"/>
              </w:rPr>
              <w:t>TAMPA</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CHICAGO</w:t>
            </w:r>
          </w:p>
        </w:tc>
        <w:tc>
          <w:tcPr>
            <w:tcW w:w="2520" w:type="dxa"/>
            <w:vAlign w:val="bottom"/>
          </w:tcPr>
          <w:p>
            <w:pPr>
              <w:ind w:left="720"/>
              <w:spacing w:after="0"/>
              <w:rPr>
                <w:sz w:val="20"/>
                <w:szCs w:val="20"/>
                <w:color w:val="auto"/>
              </w:rPr>
            </w:pPr>
            <w:r>
              <w:rPr>
                <w:rFonts w:ascii="Arial" w:cs="Arial" w:eastAsia="Arial" w:hAnsi="Arial"/>
                <w:sz w:val="18"/>
                <w:szCs w:val="18"/>
                <w:color w:val="auto"/>
              </w:rPr>
              <w:t>JACKSONVILLE</w:t>
            </w:r>
          </w:p>
        </w:tc>
        <w:tc>
          <w:tcPr>
            <w:tcW w:w="2160" w:type="dxa"/>
            <w:vAlign w:val="bottom"/>
          </w:tcPr>
          <w:p>
            <w:pPr>
              <w:ind w:left="460"/>
              <w:spacing w:after="0"/>
              <w:rPr>
                <w:sz w:val="20"/>
                <w:szCs w:val="20"/>
                <w:color w:val="auto"/>
              </w:rPr>
            </w:pPr>
            <w:r>
              <w:rPr>
                <w:rFonts w:ascii="Arial" w:cs="Arial" w:eastAsia="Arial" w:hAnsi="Arial"/>
                <w:sz w:val="18"/>
                <w:szCs w:val="18"/>
                <w:color w:val="auto"/>
              </w:rPr>
              <w:t>MILWAUKEE</w:t>
            </w:r>
          </w:p>
        </w:tc>
        <w:tc>
          <w:tcPr>
            <w:tcW w:w="2380" w:type="dxa"/>
            <w:vAlign w:val="bottom"/>
          </w:tcPr>
          <w:p>
            <w:pPr>
              <w:ind w:left="540"/>
              <w:spacing w:after="0"/>
              <w:rPr>
                <w:sz w:val="20"/>
                <w:szCs w:val="20"/>
                <w:color w:val="auto"/>
              </w:rPr>
            </w:pPr>
            <w:r>
              <w:rPr>
                <w:rFonts w:ascii="Arial" w:cs="Arial" w:eastAsia="Arial" w:hAnsi="Arial"/>
                <w:sz w:val="18"/>
                <w:szCs w:val="18"/>
                <w:color w:val="auto"/>
              </w:rPr>
              <w:t>SAN DIEGO</w:t>
            </w:r>
          </w:p>
        </w:tc>
        <w:tc>
          <w:tcPr>
            <w:tcW w:w="2640" w:type="dxa"/>
            <w:vAlign w:val="bottom"/>
          </w:tcPr>
          <w:p>
            <w:pPr>
              <w:ind w:left="400"/>
              <w:spacing w:after="0"/>
              <w:rPr>
                <w:sz w:val="20"/>
                <w:szCs w:val="20"/>
                <w:color w:val="auto"/>
              </w:rPr>
            </w:pPr>
            <w:r>
              <w:rPr>
                <w:rFonts w:ascii="Arial" w:cs="Arial" w:eastAsia="Arial" w:hAnsi="Arial"/>
                <w:sz w:val="18"/>
                <w:szCs w:val="18"/>
                <w:color w:val="auto"/>
              </w:rPr>
              <w:t>WASHINGTON, D.C.</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DALLAS</w:t>
            </w:r>
          </w:p>
        </w:tc>
        <w:tc>
          <w:tcPr>
            <w:tcW w:w="2520" w:type="dxa"/>
            <w:vAlign w:val="bottom"/>
          </w:tcPr>
          <w:p>
            <w:pPr>
              <w:ind w:left="720"/>
              <w:spacing w:after="0"/>
              <w:rPr>
                <w:sz w:val="20"/>
                <w:szCs w:val="20"/>
                <w:color w:val="auto"/>
              </w:rPr>
            </w:pPr>
            <w:r>
              <w:rPr>
                <w:rFonts w:ascii="Arial" w:cs="Arial" w:eastAsia="Arial" w:hAnsi="Arial"/>
                <w:sz w:val="18"/>
                <w:szCs w:val="18"/>
                <w:color w:val="auto"/>
              </w:rPr>
              <w:t>LOS ANGELES</w:t>
            </w:r>
          </w:p>
        </w:tc>
        <w:tc>
          <w:tcPr>
            <w:tcW w:w="2160" w:type="dxa"/>
            <w:vAlign w:val="bottom"/>
          </w:tcPr>
          <w:p>
            <w:pPr>
              <w:ind w:left="460"/>
              <w:spacing w:after="0"/>
              <w:rPr>
                <w:sz w:val="20"/>
                <w:szCs w:val="20"/>
                <w:color w:val="auto"/>
              </w:rPr>
            </w:pPr>
            <w:r>
              <w:rPr>
                <w:rFonts w:ascii="Arial" w:cs="Arial" w:eastAsia="Arial" w:hAnsi="Arial"/>
                <w:sz w:val="18"/>
                <w:szCs w:val="18"/>
                <w:color w:val="auto"/>
              </w:rPr>
              <w:t>NEW YORK</w:t>
            </w:r>
          </w:p>
        </w:tc>
        <w:tc>
          <w:tcPr>
            <w:tcW w:w="2380" w:type="dxa"/>
            <w:vAlign w:val="bottom"/>
          </w:tcPr>
          <w:p>
            <w:pPr>
              <w:ind w:left="540"/>
              <w:spacing w:after="0"/>
              <w:rPr>
                <w:sz w:val="20"/>
                <w:szCs w:val="20"/>
                <w:color w:val="auto"/>
              </w:rPr>
            </w:pPr>
            <w:r>
              <w:rPr>
                <w:rFonts w:ascii="Arial" w:cs="Arial" w:eastAsia="Arial" w:hAnsi="Arial"/>
                <w:sz w:val="18"/>
                <w:szCs w:val="18"/>
                <w:color w:val="auto"/>
              </w:rPr>
              <w:t>SAN FRANCISCO</w:t>
            </w:r>
          </w:p>
        </w:tc>
        <w:tc>
          <w:tcPr>
            <w:tcW w:w="2640" w:type="dxa"/>
            <w:vAlign w:val="bottom"/>
          </w:tcPr>
          <w:p>
            <w:pPr>
              <w:ind w:left="400"/>
              <w:spacing w:after="0"/>
              <w:rPr>
                <w:sz w:val="20"/>
                <w:szCs w:val="20"/>
                <w:color w:val="auto"/>
              </w:rPr>
            </w:pPr>
            <w:r>
              <w:rPr>
                <w:rFonts w:ascii="Arial" w:cs="Arial" w:eastAsia="Arial" w:hAnsi="Arial"/>
                <w:sz w:val="18"/>
                <w:szCs w:val="18"/>
                <w:color w:val="auto"/>
              </w:rPr>
              <w:t>BRUSSELS</w:t>
            </w:r>
          </w:p>
        </w:tc>
      </w:tr>
      <w:tr>
        <w:trPr>
          <w:trHeight w:val="230"/>
        </w:trPr>
        <w:tc>
          <w:tcPr>
            <w:tcW w:w="1540" w:type="dxa"/>
            <w:vAlign w:val="bottom"/>
          </w:tcPr>
          <w:p>
            <w:pPr>
              <w:spacing w:after="0"/>
              <w:rPr>
                <w:sz w:val="20"/>
                <w:szCs w:val="20"/>
                <w:color w:val="auto"/>
              </w:rPr>
            </w:pPr>
            <w:r>
              <w:rPr>
                <w:rFonts w:ascii="Arial" w:cs="Arial" w:eastAsia="Arial" w:hAnsi="Arial"/>
                <w:sz w:val="18"/>
                <w:szCs w:val="18"/>
                <w:color w:val="auto"/>
              </w:rPr>
              <w:t>DENVER</w:t>
            </w:r>
          </w:p>
        </w:tc>
        <w:tc>
          <w:tcPr>
            <w:tcW w:w="2520" w:type="dxa"/>
            <w:vAlign w:val="bottom"/>
          </w:tcPr>
          <w:p>
            <w:pPr>
              <w:ind w:left="720"/>
              <w:spacing w:after="0"/>
              <w:rPr>
                <w:sz w:val="20"/>
                <w:szCs w:val="20"/>
                <w:color w:val="auto"/>
              </w:rPr>
            </w:pPr>
            <w:r>
              <w:rPr>
                <w:rFonts w:ascii="Arial" w:cs="Arial" w:eastAsia="Arial" w:hAnsi="Arial"/>
                <w:sz w:val="18"/>
                <w:szCs w:val="18"/>
                <w:color w:val="auto"/>
              </w:rPr>
              <w:t>MADISON</w:t>
            </w:r>
          </w:p>
        </w:tc>
        <w:tc>
          <w:tcPr>
            <w:tcW w:w="2160" w:type="dxa"/>
            <w:vAlign w:val="bottom"/>
          </w:tcPr>
          <w:p>
            <w:pPr>
              <w:ind w:left="460"/>
              <w:spacing w:after="0"/>
              <w:rPr>
                <w:sz w:val="20"/>
                <w:szCs w:val="20"/>
                <w:color w:val="auto"/>
              </w:rPr>
            </w:pPr>
            <w:r>
              <w:rPr>
                <w:rFonts w:ascii="Arial" w:cs="Arial" w:eastAsia="Arial" w:hAnsi="Arial"/>
                <w:sz w:val="18"/>
                <w:szCs w:val="18"/>
                <w:color w:val="auto"/>
              </w:rPr>
              <w:t>ORLANDO</w:t>
            </w:r>
          </w:p>
        </w:tc>
        <w:tc>
          <w:tcPr>
            <w:tcW w:w="2380" w:type="dxa"/>
            <w:vAlign w:val="bottom"/>
          </w:tcPr>
          <w:p>
            <w:pPr>
              <w:ind w:left="540"/>
              <w:spacing w:after="0"/>
              <w:rPr>
                <w:sz w:val="20"/>
                <w:szCs w:val="20"/>
                <w:color w:val="auto"/>
              </w:rPr>
            </w:pPr>
            <w:r>
              <w:rPr>
                <w:rFonts w:ascii="Arial" w:cs="Arial" w:eastAsia="Arial" w:hAnsi="Arial"/>
                <w:sz w:val="18"/>
                <w:szCs w:val="18"/>
                <w:color w:val="auto"/>
              </w:rPr>
              <w:t>SILICON VALLEY</w:t>
            </w:r>
          </w:p>
        </w:tc>
        <w:tc>
          <w:tcPr>
            <w:tcW w:w="2640" w:type="dxa"/>
            <w:vAlign w:val="bottom"/>
          </w:tcPr>
          <w:p>
            <w:pPr>
              <w:ind w:left="400"/>
              <w:spacing w:after="0"/>
              <w:rPr>
                <w:sz w:val="20"/>
                <w:szCs w:val="20"/>
                <w:color w:val="auto"/>
              </w:rPr>
            </w:pPr>
            <w:r>
              <w:rPr>
                <w:rFonts w:ascii="Arial" w:cs="Arial" w:eastAsia="Arial" w:hAnsi="Arial"/>
                <w:sz w:val="18"/>
                <w:szCs w:val="18"/>
                <w:color w:val="auto"/>
              </w:rPr>
              <w:t>TOKYO</w:t>
            </w:r>
          </w:p>
        </w:tc>
      </w:tr>
      <w:tr>
        <w:trPr>
          <w:trHeight w:val="432"/>
        </w:trPr>
        <w:tc>
          <w:tcPr>
            <w:tcW w:w="15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72" w:right="339" w:bottom="1440" w:gutter="0" w:footer="0" w:header="0"/>
          <w:type w:val="continuous"/>
        </w:sectPr>
      </w:pPr>
    </w:p>
    <w:bookmarkStart w:id="1" w:name="page2"/>
    <w:bookmarkEnd w:id="1"/>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036955" cy="4203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036955" cy="42037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6,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Description of MTAC’s Securities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Convertible Preferred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Anti-dilution Provisins, page 327</w:t>
      </w:r>
    </w:p>
    <w:p>
      <w:pPr>
        <w:spacing w:after="0" w:line="211" w:lineRule="exact"/>
        <w:rPr>
          <w:sz w:val="20"/>
          <w:szCs w:val="20"/>
          <w:color w:val="auto"/>
        </w:rPr>
      </w:pPr>
    </w:p>
    <w:p>
      <w:pPr>
        <w:ind w:left="660" w:hanging="652"/>
        <w:spacing w:after="0" w:line="259" w:lineRule="auto"/>
        <w:tabs>
          <w:tab w:leader="none" w:pos="66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state whether the Sponsor and its affiliates may receive additional securities pursuant to an anti-dilution adjustment based on the company's additional financing activities with respect to the PIPE. If so, please quantify the number and value of securities the sponsor and its affiliates will receive. In addition, disclose the ownership percentages in the company before and after the additional financing to highlight dilution to public stockholders.</w:t>
      </w:r>
    </w:p>
    <w:p>
      <w:pPr>
        <w:spacing w:after="0" w:line="186" w:lineRule="exact"/>
        <w:rPr>
          <w:rFonts w:ascii="Arial" w:cs="Arial" w:eastAsia="Arial" w:hAnsi="Arial"/>
          <w:sz w:val="18"/>
          <w:szCs w:val="18"/>
          <w:b w:val="1"/>
          <w:bCs w:val="1"/>
          <w:i w:val="1"/>
          <w:iCs w:val="1"/>
          <w:color w:val="auto"/>
        </w:rPr>
      </w:pPr>
    </w:p>
    <w:p>
      <w:pPr>
        <w:ind w:left="660"/>
        <w:spacing w:after="0"/>
        <w:rPr>
          <w:rFonts w:ascii="Arial" w:cs="Arial" w:eastAsia="Arial" w:hAnsi="Arial"/>
          <w:sz w:val="18"/>
          <w:szCs w:val="18"/>
          <w:b w:val="1"/>
          <w:bCs w:val="1"/>
          <w:i w:val="1"/>
          <w:i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In response to the Staff’s comment, the Company has revised the disclosure on page 320 of the Amended Registration Statement.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Exhibits</w:t>
      </w:r>
    </w:p>
    <w:p>
      <w:pPr>
        <w:spacing w:after="0" w:line="225"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To the extent you have a placement agent or other agreement with Ceros Financial Services, Inc. please file it as an exhibit.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660" w:right="220" w:firstLine="648"/>
        <w:spacing w:after="0" w:line="308" w:lineRule="auto"/>
        <w:rPr>
          <w:sz w:val="20"/>
          <w:szCs w:val="20"/>
          <w:color w:val="auto"/>
        </w:rPr>
      </w:pPr>
      <w:r>
        <w:rPr>
          <w:rFonts w:ascii="Arial" w:cs="Arial" w:eastAsia="Arial" w:hAnsi="Arial"/>
          <w:sz w:val="17"/>
          <w:szCs w:val="17"/>
          <w:color w:val="auto"/>
        </w:rPr>
        <w:t>In response to the Staff’s comment, the Company has filed the Engagement Letter with Ceros Financial Services, Inc. and Amendment No. 1 to the Engagement Letter as Exhibit 10.27 and Exhibit 10.28 to the Amended Registration Statement, respectively.</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Staff has any questions with respect to any of the foregoing, please contact the undersigned at (813) 225-5441.</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Kevin M. Shuler,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Kevin M. Shuler, Esq.</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Foley &amp; Lardner LLP</w:t>
      </w:r>
    </w:p>
    <w:p>
      <w:pPr>
        <w:spacing w:after="0" w:line="211" w:lineRule="exact"/>
        <w:rPr>
          <w:sz w:val="20"/>
          <w:szCs w:val="20"/>
          <w:color w:val="auto"/>
        </w:rPr>
      </w:pPr>
    </w:p>
    <w:p>
      <w:pPr>
        <w:ind w:left="660" w:right="6620" w:hanging="652"/>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Christopher Dewey, MedTech Acquisition Corporation Robert Weiss, MedTech Acquisition Corporation</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2023-08-15T23:14:07Z</dcterms:created>
  <dcterms:modified xsi:type="dcterms:W3CDTF">2023-08-15T23:14:07Z</dcterms:modified>
</cp:coreProperties>
</file>