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403369.xml.htm"/>
      <w:bookmarkStart w:id="1" w:name="kswkform4_179140336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Cox Bryan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6272 W. 91ST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WESTMINSTER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TriSalus Life Sciences,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TLSI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of Research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4.39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162,805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sold to satisfy tax withholding obligations in connection with the vesting of restricted stock units previously granted to the Reporting Person. This transaction does not represent a discretionary sale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Mary Szela,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1787" TargetMode="External"/><Relationship Id="rId5" Type="http://schemas.openxmlformats.org/officeDocument/2006/relationships/hyperlink" Target="http://www.sec.gov/cgi-bin/browse-edgar?action=getcompany&amp;CIK=00018266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3286</Characters>
  <CharactersWithSpaces>3819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