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03362.xml.htm"/>
      <w:bookmarkStart w:id="1" w:name="kswkform4_17914033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Marshak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6272 W. 91ST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WESTMINSTER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TriSalus Life 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TLSI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4.39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127,994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to satisfy tax withholding obligations in connection with the vesting of restricted stock units previously granted to the Reporting Person. This transaction does not represent a discretionary sale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Mary Szela,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2638" TargetMode="External"/><Relationship Id="rId5" Type="http://schemas.openxmlformats.org/officeDocument/2006/relationships/hyperlink" Target="http://www.sec.gov/cgi-bin/browse-edgar?action=getcompany&amp;CIK=00018266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3297</Characters>
  <CharactersWithSpaces>3829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