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6" w:lineRule="exact"/>
        <w:rPr>
          <w:sz w:val="24"/>
          <w:szCs w:val="24"/>
          <w:color w:val="auto"/>
        </w:rPr>
      </w:pPr>
    </w:p>
    <w:p>
      <w:pPr>
        <w:ind w:left="3820" w:right="1580" w:hanging="3794"/>
        <w:spacing w:after="0" w:line="427" w:lineRule="auto"/>
        <w:tabs>
          <w:tab w:leader="none" w:pos="507"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6" w:lineRule="exact"/>
        <w:rPr>
          <w:sz w:val="24"/>
          <w:szCs w:val="24"/>
          <w:color w:val="auto"/>
        </w:rPr>
      </w:pPr>
    </w:p>
    <w:p>
      <w:pPr>
        <w:ind w:left="3780" w:right="1560" w:hanging="3754"/>
        <w:spacing w:after="0" w:line="443" w:lineRule="auto"/>
        <w:tabs>
          <w:tab w:leader="none" w:pos="5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001-39813</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TRISALUS LIFE SCIENCES,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69"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85-3009869</w:t>
            </w:r>
          </w:p>
        </w:tc>
      </w:tr>
      <w:tr>
        <w:trPr>
          <w:trHeight w:val="270"/>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3"/>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6272 W 91st Ave, Westminster, CO</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80031</w:t>
            </w:r>
          </w:p>
        </w:tc>
      </w:tr>
      <w:tr>
        <w:trPr>
          <w:trHeight w:val="270"/>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(888) 321-5212</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color w:val="auto"/>
        </w:rPr>
        <w:t>N/A (Former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7"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TLSI</w:t>
            </w:r>
          </w:p>
        </w:tc>
        <w:tc>
          <w:tcPr>
            <w:tcW w:w="4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TLSIW</w:t>
            </w:r>
          </w:p>
        </w:tc>
        <w:tc>
          <w:tcPr>
            <w:tcW w:w="4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r>
        <w:trPr>
          <w:trHeight w:val="216"/>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registrant's common stock at an exercise price of $11.50 per</w:t>
            </w:r>
          </w:p>
        </w:tc>
        <w:tc>
          <w:tcPr>
            <w:tcW w:w="2100" w:type="dxa"/>
            <w:vAlign w:val="bottom"/>
            <w:tcBorders>
              <w:right w:val="single" w:sz="8" w:color="auto"/>
            </w:tcBorders>
            <w:vMerge w:val="continue"/>
          </w:tcPr>
          <w:p>
            <w:pPr>
              <w:spacing w:after="0"/>
              <w:rPr>
                <w:sz w:val="18"/>
                <w:szCs w:val="18"/>
                <w:color w:val="auto"/>
              </w:rPr>
            </w:pPr>
          </w:p>
        </w:tc>
        <w:tc>
          <w:tcPr>
            <w:tcW w:w="4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2100" w:type="dxa"/>
            <w:vAlign w:val="bottom"/>
            <w:tcBorders>
              <w:righ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ind w:right="220"/>
        <w:spacing w:after="0" w:line="30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2" w:lineRule="exact"/>
        <w:rPr>
          <w:sz w:val="24"/>
          <w:szCs w:val="24"/>
          <w:color w:val="auto"/>
        </w:rPr>
      </w:pPr>
    </w:p>
    <w:p>
      <w:pPr>
        <w:jc w:val="both"/>
        <w:ind w:right="280"/>
        <w:spacing w:after="0" w:line="30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9" w:lineRule="exact"/>
        <w:rPr>
          <w:sz w:val="24"/>
          <w:szCs w:val="24"/>
          <w:color w:val="auto"/>
        </w:rPr>
      </w:pPr>
    </w:p>
    <w:p>
      <w:pPr>
        <w:jc w:val="both"/>
        <w:ind w:right="30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“smaller reporting company,” and "emerging growth company" in Rule 12b-2 of the Exchange Act. (Check one):</w:t>
      </w:r>
    </w:p>
    <w:p>
      <w:pPr>
        <w:spacing w:after="0" w:line="26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c>
          <w:tcPr>
            <w:tcW w:w="4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780"/>
              <w:spacing w:after="0"/>
              <w:rPr>
                <w:sz w:val="20"/>
                <w:szCs w:val="20"/>
                <w:color w:val="auto"/>
              </w:rPr>
            </w:pPr>
            <w:r>
              <w:rPr>
                <w:rFonts w:ascii="Wingdings" w:cs="Wingdings" w:eastAsia="Wingdings" w:hAnsi="Wingdings"/>
                <w:sz w:val="18"/>
                <w:szCs w:val="18"/>
                <w:b w:val="1"/>
                <w:bCs w:val="1"/>
                <w:color w:val="auto"/>
              </w:rPr>
              <w:t>o</w:t>
            </w:r>
          </w:p>
        </w:tc>
      </w:tr>
      <w:tr>
        <w:trPr>
          <w:trHeight w:val="27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940"/>
              <w:spacing w:after="0"/>
              <w:rPr>
                <w:sz w:val="20"/>
                <w:szCs w:val="20"/>
                <w:color w:val="auto"/>
              </w:rPr>
            </w:pPr>
            <w:r>
              <w:rPr>
                <w:rFonts w:ascii="Wingdings" w:cs="Wingdings" w:eastAsia="Wingdings" w:hAnsi="Wingdings"/>
                <w:sz w:val="18"/>
                <w:szCs w:val="18"/>
                <w:b w:val="1"/>
                <w:bCs w:val="1"/>
                <w:color w:val="auto"/>
              </w:rPr>
              <w:t>x</w:t>
            </w:r>
          </w:p>
        </w:tc>
        <w:tc>
          <w:tcPr>
            <w:tcW w:w="4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780"/>
              <w:spacing w:after="0"/>
              <w:rPr>
                <w:sz w:val="20"/>
                <w:szCs w:val="20"/>
                <w:color w:val="auto"/>
              </w:rPr>
            </w:pPr>
            <w:r>
              <w:rPr>
                <w:rFonts w:ascii="Wingdings" w:cs="Wingdings" w:eastAsia="Wingdings" w:hAnsi="Wingdings"/>
                <w:sz w:val="18"/>
                <w:szCs w:val="18"/>
                <w:b w:val="1"/>
                <w:bCs w:val="1"/>
                <w:color w:val="auto"/>
                <w:w w:val="94"/>
              </w:rPr>
              <w:t>x</w:t>
            </w:r>
          </w:p>
        </w:tc>
      </w:tr>
      <w:tr>
        <w:trPr>
          <w:trHeight w:val="270"/>
        </w:trPr>
        <w:tc>
          <w:tcPr>
            <w:tcW w:w="258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78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92" w:lineRule="exact"/>
        <w:rPr>
          <w:sz w:val="24"/>
          <w:szCs w:val="24"/>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ectPr>
          <w:pgSz w:w="11900" w:h="16838" w:orient="portrait"/>
          <w:cols w:equalWidth="0" w:num="1">
            <w:col w:w="11220"/>
          </w:cols>
          <w:pgMar w:left="320" w:top="243" w:right="35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27,159,327 shares of common stock outstanding as of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140" w:type="dxa"/>
            <w:vAlign w:val="bottom"/>
            <w:shd w:val="clear" w:color="auto" w:fill="CCEEFF"/>
          </w:tcPr>
          <w:p>
            <w:pPr>
              <w:spacing w:after="0"/>
              <w:rPr>
                <w:sz w:val="22"/>
                <w:szCs w:val="22"/>
                <w:color w:val="auto"/>
              </w:rPr>
            </w:pPr>
          </w:p>
        </w:tc>
        <w:tc>
          <w:tcPr>
            <w:tcW w:w="90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Page</w:t>
            </w:r>
          </w:p>
        </w:tc>
      </w:tr>
      <w:tr>
        <w:trPr>
          <w:trHeight w:val="405"/>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56"/>
        </w:trPr>
        <w:tc>
          <w:tcPr>
            <w:tcW w:w="1140" w:type="dxa"/>
            <w:vAlign w:val="bottom"/>
            <w:shd w:val="clear" w:color="auto" w:fill="CCEEFF"/>
          </w:tcPr>
          <w:p>
            <w:pPr>
              <w:spacing w:after="0"/>
              <w:rPr>
                <w:sz w:val="22"/>
                <w:szCs w:val="22"/>
                <w:color w:val="auto"/>
              </w:rPr>
            </w:pPr>
          </w:p>
        </w:tc>
        <w:tc>
          <w:tcPr>
            <w:tcW w:w="90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419"/>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Summary Risk Factors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56"/>
        </w:trPr>
        <w:tc>
          <w:tcPr>
            <w:tcW w:w="1140" w:type="dxa"/>
            <w:vAlign w:val="bottom"/>
            <w:shd w:val="clear" w:color="auto" w:fill="CCEEFF"/>
          </w:tcPr>
          <w:p>
            <w:pPr>
              <w:spacing w:after="0"/>
              <w:rPr>
                <w:sz w:val="22"/>
                <w:szCs w:val="22"/>
                <w:color w:val="auto"/>
              </w:rPr>
            </w:pPr>
          </w:p>
        </w:tc>
        <w:tc>
          <w:tcPr>
            <w:tcW w:w="90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8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8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Financial Statements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18"/>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50"/>
        </w:trPr>
        <w:tc>
          <w:tcPr>
            <w:tcW w:w="114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97"/>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Stockholders’ Deficit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spacing w:after="0"/>
              <w:rPr>
                <w:sz w:val="24"/>
                <w:szCs w:val="24"/>
                <w:color w:val="auto"/>
              </w:rPr>
            </w:pP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97"/>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57"/>
        </w:trPr>
        <w:tc>
          <w:tcPr>
            <w:tcW w:w="114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04"/>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Risk Factors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140" w:type="dxa"/>
            <w:vAlign w:val="bottom"/>
            <w:shd w:val="clear" w:color="auto" w:fill="CCEEFF"/>
          </w:tcPr>
          <w:p>
            <w:pPr>
              <w:spacing w:after="0"/>
              <w:rPr>
                <w:sz w:val="23"/>
                <w:szCs w:val="23"/>
                <w:color w:val="auto"/>
              </w:rPr>
            </w:pPr>
          </w:p>
        </w:tc>
        <w:tc>
          <w:tcPr>
            <w:tcW w:w="90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9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r>
    </w:tbl>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Form10-Q (the "Quarterly Report")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“outlook,” “believes,” “expects,” “potential,” “continues,” “may,” “will,” “should,” “could,” “seeks,” “approximately,” “predicts,” “intends,” “plans,” “estimates,” “anticipates” or the negative version of these words or other comparable words or phrases.</w:t>
      </w:r>
    </w:p>
    <w:p>
      <w:pPr>
        <w:spacing w:after="0" w:line="124"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w:t>
      </w:r>
    </w:p>
    <w:p>
      <w:pPr>
        <w:spacing w:after="0" w:line="9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caution you that these forward-looking statements are subject to numerous risks and uncertainties, most of which are difficult to predict and many of which are beyond our control. Some factors that could cause actual results to differ include:</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 and to access additional delayed draws that may in the future become available to us;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retain or recruit, or changes required in, our officers, key employees or directors;</w:t>
      </w:r>
    </w:p>
    <w:p>
      <w:pPr>
        <w:spacing w:after="0" w:line="116" w:lineRule="exact"/>
        <w:rPr>
          <w:rFonts w:ascii="Arial" w:cs="Arial" w:eastAsia="Arial" w:hAnsi="Arial"/>
          <w:sz w:val="18"/>
          <w:szCs w:val="18"/>
          <w:color w:val="auto"/>
        </w:rPr>
      </w:pPr>
    </w:p>
    <w:p>
      <w:pPr>
        <w:ind w:left="660" w:right="400" w:hanging="328"/>
        <w:spacing w:after="0" w:line="281"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successfully commercialize any product candidates that we successfully develop and that are approved by applicable regulatory authorities;</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for the timing and results of data from clinical trials and regulatory approval applications;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business, operations and financial performance including: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history of operating losses and expectations of significant expenses and continuing losses for the foreseeable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execute our business strategy, including the growth potential of the markets for our products and our ability to serve those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grow market share in our existing markets or any new markets we may enter;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develop and maintain our brand and reputation;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partner with other companies;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the size of the addressable markets for our product candidates;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in the Nasdaq Global Market, and the potential liquidity and trading of such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the outcome of any legal proceedings that may be instituted against us; and</w:t>
      </w:r>
    </w:p>
    <w:p>
      <w:pPr>
        <w:spacing w:after="0" w:line="116"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unfavorable conditions in our industry, the global economy or global supply chain, including financial and credit market fluctuations, international trade relations, pandemics, political turmoil, natural catastrophes, warfare and terrorist attacks.</w:t>
      </w:r>
    </w:p>
    <w:p>
      <w:pPr>
        <w:spacing w:after="0" w:line="9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Should one or more of the risks or uncertainties described in this Quarterly Report occur, or should underlying assumptions prove incorrect, actual results and plans could differ materially from those expressed in any forward-looking statements. For a further discussion of these and other factors that could cause our future results, performance or transactions to differ significantly from those expressed in any forward-looking statement, please see the section titled “Risk Factors.”</w:t>
      </w:r>
    </w:p>
    <w:p>
      <w:pPr>
        <w:spacing w:after="0" w:line="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Except to the extent required by applicable law, we are under no obligation (and expressly disclaim any such obligation) to update or revise their forward-looking statements whether as a result of new information, future events, or otherwise. You should read this Quarterly Report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in the more detailed discussion in Item 1A in this Quarterly Report, and the below summary is qualified in its entirety by that more complete discussion of such risks and uncertainties. You should carefully consider the risks and uncertainties described herein as part of your evaluation of an investment in our securities:</w:t>
      </w:r>
    </w:p>
    <w:p>
      <w:pPr>
        <w:spacing w:after="0" w:line="75" w:lineRule="exact"/>
        <w:rPr>
          <w:sz w:val="20"/>
          <w:szCs w:val="20"/>
          <w:color w:val="auto"/>
        </w:rPr>
      </w:pPr>
    </w:p>
    <w:p>
      <w:pPr>
        <w:ind w:left="660" w:right="7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losses since our inception and anticipate incurring increasing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Purchase Agreement dated July 31, 2020, which TriSalus Operating Life Sciences, Inc. (formerly known as TriSalus Life Sciences, Inc.) entered into with Dynavax Technologies Corporation (“Dynavax”) in connection with the purchase of nelitolimod requires us to make potentially significant payments to Dynavax before we will have regulatory approval of nelitolimod and be able to generate revenue from sales of nelitolimod.</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1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we are able to generate significant revenues or achieve profitability through product sales, we will require 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our indebtedness or borrow additional funds pursuant to our Loan Facility.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primarily generated from sales of our TriNav device and we are therefore highly dependent on it for our success. Failure to achieve continued market acceptance of TriNav for any reason will harm our business and future prospects.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TriNav is currently subject to an uncertain reimbursement environment, and any change to TriNav’s reimbursement status that reduces our level of reimbursement could cause TriNav sales to materially decline and impede market adoption.</w:t>
      </w:r>
    </w:p>
    <w:p>
      <w:pPr>
        <w:spacing w:after="0" w:line="5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 limited marketing, sales and distribution organization. If we are unable to successfully grow our marketing, sales and distribution capabilities, then our product revenues related to TriNav, our results of operations and financial condition will suffer.</w:t>
      </w:r>
    </w:p>
    <w:p>
      <w:pPr>
        <w:spacing w:after="0" w:line="5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pharmaceutical development efforts, and we have only one pharmaceutical product candidate, nelitolimod, in early clinical development. If we are unable to advance our product candidates, including nelitolimod, in clinical development for any reason (including due to lack of funding), obtain regulatory approval and ultimately commercialize our product candidates, or experience significant delays in doing so, our business, results of operations, financial condition, and prospects may be materially adversely affected.</w:t>
      </w:r>
    </w:p>
    <w:p>
      <w:pPr>
        <w:spacing w:after="0" w:line="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development is a lengthy and expensive process with an uncertain outcome. In addition, results of earlier preclinical studies and clinical trials may not be predictive of results of future preclinical studies or clinical trials. Failure can occur at any stage of clinical development.</w:t>
      </w:r>
    </w:p>
    <w:p>
      <w:pPr>
        <w:spacing w:after="0" w:line="31" w:lineRule="exact"/>
        <w:rPr>
          <w:rFonts w:ascii="Times New Roman" w:cs="Times New Roman" w:eastAsia="Times New Roman" w:hAnsi="Times New Roman"/>
          <w:sz w:val="17"/>
          <w:szCs w:val="17"/>
          <w:color w:val="auto"/>
        </w:rPr>
      </w:pPr>
    </w:p>
    <w:p>
      <w:pPr>
        <w:ind w:left="660" w:right="5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third-party coverage or our inability to maintain and secure favorable reimbursement may impact our ability to sell our products, which would materially and adversely impact our business, results of operations, financial condition and prospects.</w:t>
      </w:r>
    </w:p>
    <w:p>
      <w:pPr>
        <w:spacing w:after="0" w:line="5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industry in which we participate are highly competitive. If we are unable to compete effectively, we will not be able to establish our products in the marketplace or maintain or grow our products’ market share in the marketplace, and as a result, our business and results of operations will be adversely impacted.</w:t>
      </w:r>
    </w:p>
    <w:p>
      <w:pPr>
        <w:spacing w:after="0" w:line="6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complex regulatory requirements, and failure to comply with these regulations, or the cost of compliance with these regulations, may harm our business.</w:t>
      </w:r>
    </w:p>
    <w:p>
      <w:pPr>
        <w:spacing w:after="0" w:line="53"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spacing w:after="0" w:line="6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adequately protect, maintain or enforce our intellectual property rights could substantially harm our business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loss of patent protection may adversely affect our future revenues.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operating as a United States public company and may not be able to adequately develop and implement the governance, compliance, risk management and control infrastructure and culture required for a public company, including compliance with the Sarbanes Oxley Act.</w:t>
      </w:r>
    </w:p>
    <w:p>
      <w:pPr>
        <w:spacing w:after="0" w:line="67"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identified material weaknesses in its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has been and may continue to be volatile.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3"/>
        </w:trPr>
        <w:tc>
          <w:tcPr>
            <w:tcW w:w="780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0" w:type="dxa"/>
            <w:vAlign w:val="bottom"/>
          </w:tcPr>
          <w:p>
            <w:pPr>
              <w:spacing w:after="0"/>
              <w:rPr>
                <w:sz w:val="1"/>
                <w:szCs w:val="1"/>
                <w:color w:val="auto"/>
              </w:rPr>
            </w:pPr>
          </w:p>
        </w:tc>
      </w:tr>
      <w:tr>
        <w:trPr>
          <w:trHeight w:val="237"/>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20,862</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5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7"/>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and SEPA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0" w:type="dxa"/>
            <w:vAlign w:val="bottom"/>
          </w:tcPr>
          <w:p>
            <w:pPr>
              <w:spacing w:after="0"/>
              <w:rPr>
                <w:sz w:val="1"/>
                <w:szCs w:val="1"/>
                <w:color w:val="auto"/>
              </w:rPr>
            </w:pPr>
          </w:p>
        </w:tc>
      </w:tr>
      <w:tr>
        <w:trPr>
          <w:trHeight w:val="237"/>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51,663</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Series A, $0.0001 par value per share, $10.00 liquidation value per share. Authorized</w:t>
            </w:r>
          </w:p>
        </w:tc>
        <w:tc>
          <w:tcPr>
            <w:tcW w:w="200" w:type="dxa"/>
            <w:vAlign w:val="bottom"/>
          </w:tcPr>
          <w:p>
            <w:pPr>
              <w:spacing w:after="0"/>
              <w:rPr>
                <w:sz w:val="19"/>
                <w:szCs w:val="19"/>
                <w:color w:val="auto"/>
              </w:rPr>
            </w:pPr>
          </w:p>
        </w:tc>
        <w:tc>
          <w:tcPr>
            <w:tcW w:w="1440" w:type="dxa"/>
            <w:vAlign w:val="bottom"/>
            <w:gridSpan w:val="2"/>
            <w:vMerge w:val="restart"/>
          </w:tcPr>
          <w:p>
            <w:pPr>
              <w:ind w:left="112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54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10,000,000 shares at March 31, 2024 and December 31, 2023, respectively; issued and outstanding,</w:t>
            </w:r>
          </w:p>
        </w:tc>
        <w:tc>
          <w:tcPr>
            <w:tcW w:w="2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4,015,002 shares at March 31, 2024 and December 31, 2023, respectively.</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$0.0001 par value per share. Authorized 400,000,000 shares at March 31, 2024 and</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2023, respectively; issued and outstanding, 26,758,272 and 26,413,213 shares at March</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 2024, and December 31, 2023,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222,437</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(248,377)</w:t>
            </w:r>
          </w:p>
        </w:tc>
        <w:tc>
          <w:tcPr>
            <w:tcW w:w="0" w:type="dxa"/>
            <w:vAlign w:val="bottom"/>
          </w:tcPr>
          <w:p>
            <w:pPr>
              <w:spacing w:after="0"/>
              <w:rPr>
                <w:sz w:val="1"/>
                <w:szCs w:val="1"/>
                <w:color w:val="auto"/>
              </w:rPr>
            </w:pPr>
          </w:p>
        </w:tc>
      </w:tr>
      <w:tr>
        <w:trPr>
          <w:trHeight w:val="23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180"/>
          </w:cols>
          <w:pgMar w:left="320" w:top="13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9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5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7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5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7"/>
        </w:trPr>
        <w:tc>
          <w:tcPr>
            <w:tcW w:w="7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r>
      <w:tr>
        <w:trPr>
          <w:trHeight w:val="237"/>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w:t>
            </w: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equity issuance</w:t>
            </w:r>
          </w:p>
        </w:tc>
        <w:tc>
          <w:tcPr>
            <w:tcW w:w="4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Extinguishment of tranche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SEPA and warrant liabilities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r>
      <w:tr>
        <w:trPr>
          <w:trHeight w:val="23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Deemed dividend related to Series B-2 preferred stock down round provision</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7"/>
        </w:trPr>
        <w:tc>
          <w:tcPr>
            <w:tcW w:w="7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Undeclared dividends on Series A preferred stock</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(9,227)</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9"/>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23,323,045</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16,166,581</w:t>
            </w:r>
          </w:p>
        </w:tc>
      </w:tr>
      <w:tr>
        <w:trPr>
          <w:trHeight w:val="20"/>
        </w:trPr>
        <w:tc>
          <w:tcPr>
            <w:tcW w:w="7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35" w:right="7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65512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551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8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3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6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4,015,002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26,413,213</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222,437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(248,377)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(4,941) </w:t>
            </w:r>
            <w:r>
              <w:rPr>
                <w:rFonts w:ascii="Times New Roman" w:cs="Times New Roman" w:eastAsia="Times New Roman" w:hAnsi="Times New Roman"/>
                <w:sz w:val="10"/>
                <w:szCs w:val="10"/>
                <w:color w:val="auto"/>
              </w:rPr>
              <w:t>(1)</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5"/>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0" w:type="dxa"/>
            <w:vAlign w:val="bottom"/>
          </w:tcPr>
          <w:p>
            <w:pPr>
              <w:spacing w:after="0"/>
              <w:rPr>
                <w:sz w:val="1"/>
                <w:szCs w:val="1"/>
                <w:color w:val="auto"/>
              </w:rPr>
            </w:pPr>
          </w:p>
        </w:tc>
      </w:tr>
      <w:tr>
        <w:trPr>
          <w:trHeight w:val="26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March 31,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4,015,002</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26,758,272</w:t>
            </w:r>
          </w:p>
        </w:tc>
        <w:tc>
          <w:tcPr>
            <w:tcW w:w="2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226,671</w:t>
            </w:r>
          </w:p>
        </w:tc>
        <w:tc>
          <w:tcPr>
            <w:tcW w:w="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(261,596)</w:t>
            </w:r>
          </w:p>
        </w:tc>
        <w:tc>
          <w:tcPr>
            <w:tcW w:w="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(34,923)</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4"/>
          <w:szCs w:val="14"/>
          <w:color w:val="auto"/>
        </w:rPr>
        <w:t>(1) Amount reflects 2,906 shares issued for option exercises and 7,847 shares returned from options exercised in 2023 to correct clerical error.</w:t>
      </w:r>
    </w:p>
    <w:p>
      <w:pPr>
        <w:spacing w:after="0" w:line="242" w:lineRule="exact"/>
        <w:rPr>
          <w:sz w:val="20"/>
          <w:szCs w:val="20"/>
          <w:color w:val="auto"/>
        </w:rPr>
      </w:pPr>
    </w:p>
    <w:tbl>
      <w:tblPr>
        <w:tblLayout w:type="fixed"/>
        <w:tblInd w:w="118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8"/>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1760" w:type="dxa"/>
            <w:vAlign w:val="bottom"/>
            <w:tcBorders>
              <w:bottom w:val="single" w:sz="8" w:color="auto"/>
            </w:tcBorders>
            <w:gridSpan w:val="5"/>
          </w:tcPr>
          <w:p>
            <w:pPr>
              <w:spacing w:after="0"/>
              <w:rPr>
                <w:sz w:val="3"/>
                <w:szCs w:val="3"/>
                <w:color w:val="auto"/>
              </w:rPr>
            </w:pPr>
          </w:p>
        </w:tc>
        <w:tc>
          <w:tcPr>
            <w:tcW w:w="190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180" w:type="dxa"/>
            <w:vAlign w:val="bottom"/>
          </w:tcPr>
          <w:p>
            <w:pPr>
              <w:spacing w:after="0"/>
              <w:rPr>
                <w:sz w:val="17"/>
                <w:szCs w:val="17"/>
                <w:color w:val="auto"/>
              </w:rPr>
            </w:pPr>
          </w:p>
        </w:tc>
        <w:tc>
          <w:tcPr>
            <w:tcW w:w="17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90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18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2022</w:t>
            </w: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14,075,524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(176,329)</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3,877,352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Deemed dividend</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0" w:type="dxa"/>
            <w:vAlign w:val="bottom"/>
          </w:tcPr>
          <w:p>
            <w:pPr>
              <w:spacing w:after="0"/>
              <w:rPr>
                <w:sz w:val="1"/>
                <w:szCs w:val="1"/>
                <w:color w:val="auto"/>
              </w:rPr>
            </w:pPr>
          </w:p>
        </w:tc>
      </w:tr>
      <w:tr>
        <w:trPr>
          <w:trHeight w:val="26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March 31, 2023</w:t>
            </w:r>
          </w:p>
        </w:tc>
        <w:tc>
          <w:tcPr>
            <w:tcW w:w="920" w:type="dxa"/>
            <w:vAlign w:val="bottom"/>
            <w:tcBorders>
              <w:top w:val="single" w:sz="8" w:color="auto"/>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17,952,876</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(195,585)</w:t>
            </w:r>
          </w:p>
        </w:tc>
        <w:tc>
          <w:tcPr>
            <w:tcW w:w="8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(184,473)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35" w:right="9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9"/>
        </w:trPr>
        <w:tc>
          <w:tcPr>
            <w:tcW w:w="8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 in the carrying amount of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and SEPA liabilities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Extinguishment of tranche liability</w:t>
            </w:r>
          </w:p>
        </w:tc>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equity issuance</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4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Inventory, net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Deposits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(10,503)</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intellectual property and licenses</w:t>
            </w:r>
          </w:p>
        </w:tc>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preferred stock</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preferred stock warrants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 for common stock</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7,930</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of warrants issued with Series B-2 preferred stock</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warrant liability to preferred stock upon exercise of warrants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w:t>
            </w: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02"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August 10, 2023 (the "Closing Date"), TriSalus Life Sciences, Inc., a Delaware corporation (the “Company,” “TriSalus,” “we,” “us”), formerly known as MedTech Acquisition Corporation (“MTAC”), consummated the previously announced merger pursuant to the Agreement and Plan of Merger, dated as of November 11, 2022, as amended by that certain First Amendment to Agreement and Plan of Merger, dated as of April 4, 2023, the Second Amendment to Agreement and Plan of Merger, dated as of May 13, 2023, and the Third Amendment to Agreement and Plan of Merger, dated as of July 5, 2023 (as amended, the “Merger Agreement”), by and between MTAC Merger Sub, Inc., a Delaware corporation and wholly-owned subsidiary of MTAC (“Merger Sub”) and TriSalus Operating Life Sciences, Inc. (formerly known as TriSalus Life Sciences, Inc.), a Delaware corporation (“Legacy TriSalus”), whereby Merger Sub merged with and into Legacy TriSalus with the separate corporate existence of Merger Sub ceasing (the “Merger” and, together with the other transactions contemplated by the Merger Agreement, the “Business Combination”) and TriSalus Life Sciences, Inc. becoming the surviving company. The closing of the Business Combination is herein referred to as “the Closing.” In connection with the consummation of the Merger, on August 10, 2023, Legacy TriSalus changed its name from TriSalus Life Sciences, Inc. to TriSalus Operating Life Sciences, Inc., and MTAC changed its name from MedTech Acquisition Corporation to TriSalus Life Sciences, Inc., the surviving company ("New TriSalus”). As further described in Note </w:t>
      </w:r>
      <w:r>
        <w:rPr>
          <w:rFonts w:ascii="Times New Roman" w:cs="Times New Roman" w:eastAsia="Times New Roman" w:hAnsi="Times New Roman"/>
          <w:sz w:val="18"/>
          <w:szCs w:val="18"/>
          <w:i w:val="1"/>
          <w:i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Legacy TriSalus was deemed to be the accounting acquirer and predecessor company in the Business Combination. Thus,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presented in these condensed consolidated financial statements are of Legacy TriSalus.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engaged in the research, development, and sales of innovative drug delivery technology and immune-oncology therapeutics to improve outcomes in difficult to treat liver and pancreatic cancer. Our technology is utilized in the delivery of our therapeutics and administered by interventional radiologists. We are developing and marketing two product lines — Pressure Enabled Drug Delivery (“PEDD™) infusion systems, in use today, and an investigational agent, nelitolimod, which shows potential to enhance immune system response in the treatment of hepatocellular cancer, pancreatic cancer and other liver solid tumors. The combination of our PEDD technology with nelitolimod is focused on solving the two main barriers in the tumor microenvironment that inhibits the success of immunotherapy. The first barrier (mechanical) is comprised of high intratumoral pressure within tumors that limits drug uptake and the second barrier (biological) is the reversal of intratumoral immunosuppression. Our PEDD with SmartValve™ is the only technology designed to work in synchrony with the cardiac cycle to open collapsed vessels in the tumor to enable deeper perfusion and improve therapeutic drug delivery in tumors with high intratumoral pressure. PEDD with SmartValve has been shown in prospective and retrospective clinical studies and in multiple pre-clinical models to improve therapy uptake and tumor response. Nelitolimod has a dual mechanism of action in solid tumors which includes the alteration of the tumor microenvironment by reducing immunosuppressive myeloid derived suppressor cells while simultaneously activating immune response and recruiting T cells to the tumor, allowing checkpoint inhibitors to work more effectively.</w:t>
      </w:r>
    </w:p>
    <w:p>
      <w:pPr>
        <w:spacing w:after="0" w:line="12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TriNav™ is the newest therapy delivery device with SmartValve technology for the proprietary PEDD approach. Current sales consist of the TriNav Infusion System, introduced in 2020, and a family of related guiding catheters. In 2020, we gained transitional pass-through payments (“TPT”) approval from the Centers for Medicare &amp; Medicaid Services (“CMS”), which allows hospitals to cover the cost of using TriNav. The approval expired at the end of 2023. On June 1, 2023, </w:t>
      </w:r>
      <w:r>
        <w:rPr>
          <w:rFonts w:ascii="Times New Roman" w:cs="Times New Roman" w:eastAsia="Times New Roman" w:hAnsi="Times New Roman"/>
          <w:sz w:val="18"/>
          <w:szCs w:val="18"/>
          <w:color w:val="231F20"/>
        </w:rPr>
        <w:t>we applied for a new technology APC code with CMS. In December 2023, CMS granted a New Technology Healthcare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Procedure Coding System ("HCPCS") code for both mapping and therapeutic procedures involving TriNav. This new code, HCPCS C9797, has been assigned to the Ambulatory Payment Classification ("APC") code 5194 - Level 4 Endovascular procedures. The new code became effective on January 1, 2024, and may be reported by hospital outpatient departments and ambulatory surgical centers.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the full potential of our technology can be realized through the combination of our drug delivery technology with immune-oncology drugs. In July 2020, we acquired our first immune-oncology drug, nelitolimod, and began clinical development of nelitolimod for treatment of liver and pancreatic cancers.</w:t>
      </w:r>
    </w:p>
    <w:p>
      <w:pPr>
        <w:spacing w:after="0" w:line="12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have funded operations to date principally with proceeds from the sale of preferred stock, from the issuance of debt and convertible debt, and the closing of the Business Combination. Since inception of the Company in 2009 through March 31, 2024, we have issued for cash $164,364 of preferred stock (of which $36,854 was raised at the closing of the Business Combination, including issuance of Series A convertible preferred stock), which, along with $3,708 from common stock and $57,466 from convertible notes and warrants, has funded our accumulated deficit of</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$261,596. During the three months ended March 31, 2024, we raised $3,141 in cash through the sale of common stock under the Standby Equity Purchase Agreement, which we entered into with YA II PN, Ltd. ("Yorkville") on October 2, 2023 (the "SEPA") and $7 from the exercise of stock options. See Note </w:t>
      </w:r>
      <w:r>
        <w:rPr>
          <w:rFonts w:ascii="Times New Roman" w:cs="Times New Roman" w:eastAsia="Times New Roman" w:hAnsi="Times New Roman"/>
          <w:sz w:val="18"/>
          <w:szCs w:val="18"/>
          <w:i w:val="1"/>
          <w:iCs w:val="1"/>
          <w:color w:val="auto"/>
        </w:rPr>
        <w:t xml:space="preserve">(13) Standby Equity Purchase Agreement </w:t>
      </w:r>
      <w:r>
        <w:rPr>
          <w:rFonts w:ascii="Times New Roman" w:cs="Times New Roman" w:eastAsia="Times New Roman" w:hAnsi="Times New Roman"/>
          <w:sz w:val="18"/>
          <w:szCs w:val="18"/>
          <w:color w:val="auto"/>
        </w:rPr>
        <w:t>for discussion of the SEPA.</w:t>
      </w:r>
    </w:p>
    <w:p>
      <w:pPr>
        <w:spacing w:after="0" w:line="12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of March 31, 2024, we had cash, cash equivalents, and restricted cash of $4,320. The Company is still in its early stage, has a history of recurring operating losses, has yet to generate revenues sufficient to create positive cash flow and has an accumulated deficit of $261,596 as of March 31, 2024. We are currently undergoing a strategic transformation from a company focused solely on the sale of our infusion systems to a therapeutics company whereby our medical devices will be marketed in combination with the pharmaceutical drugs and other treatments that the devices deliver to patients. This transformation requires that we restructure our operating infrastructure, resulting in an increase in operating expenses — including the development of a candidate pharmaceutical — that, in the short term, will not be fully offset by increased revenues. We expect that our existing cash and cash equivalents, along with the proceeds from the Initial Commitment Amount we drew under the Credit Agreement (each as defined in Note </w:t>
      </w:r>
      <w:r>
        <w:rPr>
          <w:rFonts w:ascii="Times New Roman" w:cs="Times New Roman" w:eastAsia="Times New Roman" w:hAnsi="Times New Roman"/>
          <w:sz w:val="18"/>
          <w:szCs w:val="18"/>
          <w:i w:val="1"/>
          <w:iCs w:val="1"/>
          <w:color w:val="auto"/>
        </w:rPr>
        <w:t>(14) Debt</w:t>
      </w:r>
      <w:r>
        <w:rPr>
          <w:rFonts w:ascii="Times New Roman" w:cs="Times New Roman" w:eastAsia="Times New Roman" w:hAnsi="Times New Roman"/>
          <w:sz w:val="18"/>
          <w:szCs w:val="18"/>
          <w:color w:val="auto"/>
        </w:rPr>
        <w:t>), will not be sufficient to fund our projected liquidity requirement at least the next 12 months from the issuance date of the financial statements. If we are able to achieve certain targets specified in the Credit Agreement and are then able to draw the remainder of the funds available, and if market conditions allow us to sell additional shares under the SEPA, we believe we can fund our operations through the end of 2025.</w:t>
      </w:r>
    </w:p>
    <w:p>
      <w:pPr>
        <w:spacing w:after="0" w:line="8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ASC Topic 205-40, Presentation of Financial Statements, Going Concern: Discl</w:t>
      </w:r>
      <w:r>
        <w:rPr>
          <w:rFonts w:ascii="Times New Roman" w:cs="Times New Roman" w:eastAsia="Times New Roman" w:hAnsi="Times New Roman"/>
          <w:sz w:val="18"/>
          <w:szCs w:val="18"/>
          <w:i w:val="1"/>
          <w:iCs w:val="1"/>
          <w:color w:val="auto"/>
        </w:rPr>
        <w:t>osure of Uncertainties about an Entity’s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 as a Going Concern</w:t>
      </w:r>
      <w:r>
        <w:rPr>
          <w:rFonts w:ascii="Times New Roman" w:cs="Times New Roman" w:eastAsia="Times New Roman" w:hAnsi="Times New Roman"/>
          <w:sz w:val="18"/>
          <w:szCs w:val="18"/>
          <w:color w:val="auto"/>
        </w:rPr>
        <w:t>, we are required to evaluate whether there is substantial doubt about our ability to continue as a going concern each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evaluating our ability to continue as a going concern, management projected our cash flow sources and needs and evaluated the conditions and events have raised substantial doubt about our ability to continue as a going concern within one year after the date that these condensed consolidated financial statements were issued. Management’s plans to address the conditions and events have considered our current projections of future cash flows, current financial condition, sources of liquidity and debt obligations for at least one year from the date of issuance of these condensed consolidated financial statements in considering whether we have the ability to fund future operations and meet our obligations as they become due in the normal course of business.</w:t>
      </w:r>
    </w:p>
    <w:p>
      <w:pPr>
        <w:spacing w:after="0" w:line="7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ability to fund future operations and to continue the execution of our long-term business plan and strategy, including our transformation into a therapeutics company, will require that we raise additional capital through a combination of collaborations, strategic alliances and licensing arrangements, and issuance of additional equity and/or debt. As described in Note (13) Standby Equity Purchase Agreement, we have the right but not the obligation to sell up to $30,000 of our Common Stock at our request under the SEPA, subject to terms and conditions specified in the agreement. During the three months ended March 31, 2024, we sold 350,000 shares of common stock under the SEPA, raising $3,141. In April 2024, we sold 400,000 shares of common stock under the SEPA, raising $3,602. In addition, as described in Note </w:t>
      </w:r>
      <w:r>
        <w:rPr>
          <w:rFonts w:ascii="Times New Roman" w:cs="Times New Roman" w:eastAsia="Times New Roman" w:hAnsi="Times New Roman"/>
          <w:sz w:val="18"/>
          <w:szCs w:val="18"/>
          <w:i w:val="1"/>
          <w:iCs w:val="1"/>
          <w:color w:val="auto"/>
        </w:rPr>
        <w:t>(14) Debt</w:t>
      </w:r>
      <w:r>
        <w:rPr>
          <w:rFonts w:ascii="Times New Roman" w:cs="Times New Roman" w:eastAsia="Times New Roman" w:hAnsi="Times New Roman"/>
          <w:sz w:val="18"/>
          <w:szCs w:val="18"/>
          <w:color w:val="auto"/>
        </w:rPr>
        <w:t>, in April 2024, we entered into a secured loan for up to $50,000, of which we immediately drew $25,000, before expenses. Outside of these agreements, there can be no assurance that we will be able to raise such additional financing or, if available, that such financing can be obtained on satisfactory terms. If adequate capital resources are not available on a timely basis, we intend to consider limiting our operations substantially. This limitation of operations could include a hiring freeze, reductions in our workforce, reduction in cash compensation, deferring clinical trials and capital expenditures, and reducing other operating costs.</w:t>
      </w:r>
    </w:p>
    <w:p>
      <w:pPr>
        <w:spacing w:after="0" w:line="1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current operating plan, which is in part determined based on our most recent results and trends, along with the items noted above, causes substantial doubt to exist about our ability to continue as a going concern and management’s plans do not alleviate the existence of substantial doubt. Our financial statements have been prepared assuming we will continue as a going concern, which contemplates the continuity of normal business activities and realization of assets and settlement of liabilities in the normal course of business, and do not include any adjustments that might be necessary should we be unable to continue as a going concern.</w:t>
      </w:r>
    </w:p>
    <w:p>
      <w:pPr>
        <w:spacing w:after="0" w:line="15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various risks and uncertainties frequently encountered by companies in the early stages of growth, particularly companies in the rapidly evolving market for medical technology-based and pharmaceutical products and services. Such risks and uncertainties include, but are not limited to, a limited operating history, need for additional capital, a volatile business and technological environment, the process to test and obtain approval to market the candidate pharmaceutical, the process to obtain continuing CMS approval and application for a new ACS code for our PEDD product for reimbursement, an evolving business model, and demand for our products. To address these risks, we must, among other things, gain access to capital in sufficient amounts and on acceptable terms, maintain and increase our customer base, implement and successfully execute our business strategy, develop the candidate pharmaceutical, continue to enhance our technology, provide superior customer service, and attract, retain, and motivate qualified personnel. There can be no guarantee that we will succeed in addressing such risks.</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U.S. Generally Accepted Accounting Principles (“GAAP”). The interim unaudited condensed consolidated financial statements are comprised of the financial statements of the Company. In management’s opinion, the interim financial data presented includes all adjustments necessary for a fair presentation. All intercompany accounts and transactions have been eliminated. Certain information required by U.S. generally accepted accounting principles (“GAAP”) has been condensed or omitted in accordance with rules and regulations of the SEC. Operating results for the three months ended March 31, 2024, are not necessarily indicative of the results that may be expected for any future period or for the year ending December 31, 2024. The accompanying interim unaudited condensed financial statements should be read in conjunction with the Annual Report on Form 10-K for the year ended December 31, 2023. The December 31, 2023, condensed consolidated balance sheet is derived from the audited balance sheet included in the Annual Report on Form 10-K for the year ended December 31, 2023. A summary of our significant accounting policies is included in Note 2 to our consolidated financial statements in our Annual Report on Form 10-K for the year ended December 31, 2023. Certain of our accounting policies are considered critical, as these policies are the most important to the depiction of our financial statements and require significant, difficult or complex judgments by us, often employing the use of estimates about the effects of matters that are inherently uncertain. Such policies are summarized below. Certain amounts in prior periods have been reclassified to conform with the report classifications for the periods ended March 31, 2024 and 2024. Specifically, the Company reclassified certain components of other income (expense) on the condensed consolidated statements of operations and the condensed consolidated statements of cash flows to add clarity. Total other income (expense) did not change for the current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Warrants Liabilities</w:t>
      </w:r>
    </w:p>
    <w:p>
      <w:pPr>
        <w:spacing w:after="0" w:line="162" w:lineRule="exact"/>
        <w:rPr>
          <w:sz w:val="20"/>
          <w:szCs w:val="20"/>
          <w:color w:val="auto"/>
        </w:rPr>
      </w:pPr>
    </w:p>
    <w:p>
      <w:pPr>
        <w:ind w:right="300" w:firstLine="324"/>
        <w:spacing w:after="0" w:line="285" w:lineRule="auto"/>
        <w:rPr>
          <w:sz w:val="20"/>
          <w:szCs w:val="20"/>
          <w:color w:val="auto"/>
        </w:rPr>
      </w:pPr>
      <w:r>
        <w:rPr>
          <w:rFonts w:ascii="Times New Roman" w:cs="Times New Roman" w:eastAsia="Times New Roman" w:hAnsi="Times New Roman"/>
          <w:sz w:val="18"/>
          <w:szCs w:val="18"/>
          <w:color w:val="auto"/>
        </w:rPr>
        <w:t>Freestanding financial instruments that permit the holder to acquire shares that are either puttable by the holder, redeemable or contingently redeemable are required to be reported as liabilities in the financial statements. We present such liabilities on the balance sheets at their estimated fair values. Changes in fair value of the liability are calculated each reporting period, and any change in value are recognized in the condensed consolidated statements of operations. We have determined that the warrants issued to investors and lenders, which are exercisable for shares of our convertible preferred stock, should be classified as liabilities due to contingent redemption features of the underlying convertible preferred stock.</w:t>
      </w:r>
    </w:p>
    <w:p>
      <w:pPr>
        <w:spacing w:after="0" w:line="108"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warrants to purchase common stock. The warrants include both publicly traded and privately held warrants. We value the liability for both sets of warrants based on the trading price of the publicly held warrants. See Note </w:t>
      </w:r>
      <w:r>
        <w:rPr>
          <w:rFonts w:ascii="Times New Roman" w:cs="Times New Roman" w:eastAsia="Times New Roman" w:hAnsi="Times New Roman"/>
          <w:sz w:val="17"/>
          <w:szCs w:val="17"/>
          <w:i w:val="1"/>
          <w:iCs w:val="1"/>
          <w:color w:val="auto"/>
        </w:rPr>
        <w:t>(10) Warrants</w:t>
      </w:r>
      <w:r>
        <w:rPr>
          <w:rFonts w:ascii="Times New Roman" w:cs="Times New Roman" w:eastAsia="Times New Roman" w:hAnsi="Times New Roman"/>
          <w:sz w:val="17"/>
          <w:szCs w:val="17"/>
          <w:color w:val="auto"/>
        </w:rPr>
        <w:t xml:space="preserve"> and</w:t>
      </w:r>
    </w:p>
    <w:p>
      <w:pPr>
        <w:spacing w:after="0" w:line="1"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for further discussion.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Contingent Earnout Liability</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execution of the Merger Agreement, MTAC entered into a sponsor support agreement (the “Sponsor Support Agreement”) with MedTech Acquisition Sponsor LLC (the "Sponsor”), Legacy TriSalus and MTAC’s directors and officers (the Sponsor and MTAC’s directors and officers, collectively, the “Sponsor Holders”). Pursuant to the Sponsor Support Agreement, 3,125,000 shares of common stock in the Company ("Common Stock") held by the Sponsor Holders immediately after the Closing Date (such shares, the “Sponsor Earnout Shares”) became unvested and subject to potential forfeiture if certain triggering events are not achieved prior to the 5th anniversary of the Closing Date (the “Earnout Period”). The Sponsor Earnout Shares are classified as a liability in the Company’s condensed consolidated balance sheets because they do not qualify as being indexed to the Company’s own stock. The earnout liability was initially measured at fair value at the Closing Date and is subsequently remeasured at the end of each reporting period. The change in fair value of the earnout liability is recorded in the condensed consolidated statements of operations. See Notes </w:t>
      </w:r>
      <w:r>
        <w:rPr>
          <w:rFonts w:ascii="Times New Roman" w:cs="Times New Roman" w:eastAsia="Times New Roman" w:hAnsi="Times New Roman"/>
          <w:sz w:val="18"/>
          <w:szCs w:val="18"/>
          <w:i w:val="1"/>
          <w:iCs w:val="1"/>
          <w:color w:val="auto"/>
        </w:rPr>
        <w:t>(4) Financial Instruments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Contingent Earnout Liability </w:t>
      </w:r>
      <w:r>
        <w:rPr>
          <w:rFonts w:ascii="Times New Roman" w:cs="Times New Roman" w:eastAsia="Times New Roman" w:hAnsi="Times New Roman"/>
          <w:sz w:val="18"/>
          <w:szCs w:val="18"/>
          <w:color w:val="auto"/>
        </w:rPr>
        <w:t>for further detail.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Standby Equity Purchase Agreement</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we entered into the SEPA with YA II PN, Ltd. ("Yorkville"). Pursuant to the SEPA, we have the right, but not the obligation, to sell to Yorkville up to $30,000 of shares of Common Stock at our request at any time during the 24 months following the execution of the SEPA, subject to certain conditions. We evaluated the contract that includes the right to require Yorkville to purchase shares of common stock in the future (“put right”) considering the guidance in ASC 815-40, </w:t>
      </w:r>
      <w:r>
        <w:rPr>
          <w:rFonts w:ascii="Times New Roman" w:cs="Times New Roman" w:eastAsia="Times New Roman" w:hAnsi="Times New Roman"/>
          <w:sz w:val="18"/>
          <w:szCs w:val="18"/>
          <w:i w:val="1"/>
          <w:iCs w:val="1"/>
          <w:color w:val="auto"/>
        </w:rPr>
        <w:t>Derivatives and Hedging — Contracts on an Entity’s Own Equity</w:t>
      </w:r>
      <w:r>
        <w:rPr>
          <w:rFonts w:ascii="Times New Roman" w:cs="Times New Roman" w:eastAsia="Times New Roman" w:hAnsi="Times New Roman"/>
          <w:sz w:val="18"/>
          <w:szCs w:val="18"/>
          <w:color w:val="auto"/>
        </w:rPr>
        <w:t xml:space="preserve"> and concluded that it is an equity-linked contract that does not qualify for equity classification, and therefore requires fair value accounting.</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60"/>
        <w:spacing w:after="0" w:line="453" w:lineRule="auto"/>
        <w:rPr>
          <w:sz w:val="20"/>
          <w:szCs w:val="20"/>
          <w:color w:val="auto"/>
        </w:rPr>
      </w:pPr>
      <w:r>
        <w:rPr>
          <w:rFonts w:ascii="Times New Roman" w:cs="Times New Roman" w:eastAsia="Times New Roman" w:hAnsi="Times New Roman"/>
          <w:sz w:val="18"/>
          <w:szCs w:val="18"/>
          <w:color w:val="auto"/>
        </w:rPr>
        <w:t xml:space="preserve">Each period, we analyze the terms of the freestanding put right and record the balance as a liability. Changes in the fair value are recognized in earnings. </w:t>
      </w:r>
      <w:r>
        <w:rPr>
          <w:rFonts w:ascii="Times New Roman" w:cs="Times New Roman" w:eastAsia="Times New Roman" w:hAnsi="Times New Roman"/>
          <w:sz w:val="18"/>
          <w:szCs w:val="18"/>
          <w:b w:val="1"/>
          <w:bCs w:val="1"/>
          <w:i w:val="1"/>
          <w:iCs w:val="1"/>
          <w:color w:val="auto"/>
        </w:rPr>
        <w:t>(d) Use of Estimates</w:t>
      </w:r>
    </w:p>
    <w:p>
      <w:pPr>
        <w:spacing w:after="0" w:line="2" w:lineRule="exact"/>
        <w:rPr>
          <w:sz w:val="20"/>
          <w:szCs w:val="20"/>
          <w:color w:val="auto"/>
        </w:rPr>
      </w:pPr>
    </w:p>
    <w:p>
      <w:pPr>
        <w:jc w:val="both"/>
        <w:ind w:right="320" w:firstLine="324"/>
        <w:spacing w:after="0" w:line="281" w:lineRule="auto"/>
        <w:rPr>
          <w:sz w:val="20"/>
          <w:szCs w:val="20"/>
          <w:color w:val="auto"/>
        </w:rPr>
      </w:pPr>
      <w:r>
        <w:rPr>
          <w:rFonts w:ascii="Times New Roman" w:cs="Times New Roman" w:eastAsia="Times New Roman" w:hAnsi="Times New Roman"/>
          <w:sz w:val="17"/>
          <w:szCs w:val="17"/>
          <w:color w:val="auto"/>
        </w:rPr>
        <w:t>The preparation of the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significantly from those estimates. The most significant estimates relate to the valuation of earnout, warrant and tranche liabilities, and the valuation allowance on deferred tax assets.</w:t>
      </w:r>
    </w:p>
    <w:p>
      <w:pPr>
        <w:spacing w:after="0" w:line="133"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8"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Research and development (“R&amp;D”) costs include our engineering, regulatory, pre-clinical and clinical activities. R&amp;D costs are expensed as incurred.</w:t>
      </w:r>
    </w:p>
    <w:p>
      <w:pPr>
        <w:spacing w:after="0" w:line="15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condensed consolidated financial statements by matching those expenses with the period in which services and efforts are expended. We account for these expenses according to the progress of the agreements, along with the preparation of financial models, taking into account discussions with research and other key personnel as to the progress of studies or other services being performed. To date, we have had no material differences between our estimates of such expenses and the amounts actually incurred. Nonrefundable advance payments for goods and services are deferred and recognized as expense in the period that the related goods are consumed or services are performed.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of Equity Securities Subject to Contractual Sale Restrictions</w:t>
      </w:r>
      <w:r>
        <w:rPr>
          <w:rFonts w:ascii="Times New Roman" w:cs="Times New Roman" w:eastAsia="Times New Roman" w:hAnsi="Times New Roman"/>
          <w:sz w:val="18"/>
          <w:szCs w:val="18"/>
          <w:color w:val="auto"/>
        </w:rPr>
        <w:t>, which clarifies the guidance on ASC Topic 820 on the fair value measurement of equity security that is subject to a contractual sale restriction and requires specific disclosures related to such an equity security. Specifically, the ASU clarifies that a "contractual sale restriction prohibiting the sale of an equity security is a characteristic of the reporting entity holding the equity security and is not included in the equity security's unit of account." As such, the entity should not apply a discount related to the contractual sale restriction when measuring the equity security's fair value. In addition, the ASU prohibits an entity from recognizing a contractual sale restriction as a separate unit of account. For public companies, the amendments for this update are effective for fiscal years beginning after December 15, 2023. For all other entities, the amendments are effective for fiscal year beginning after December 15, 2024, and interim periods within those fiscal years. We adopted ASU 2022-03 on January 1, 2024. The effect of the adoption had an immaterial impact on our condensed consolidated financial statements.</w:t>
      </w:r>
    </w:p>
    <w:p>
      <w:pPr>
        <w:spacing w:after="0" w:line="14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Disclosures About Reportable Segments</w:t>
      </w:r>
      <w:r>
        <w:rPr>
          <w:rFonts w:ascii="Times New Roman" w:cs="Times New Roman" w:eastAsia="Times New Roman" w:hAnsi="Times New Roman"/>
          <w:sz w:val="18"/>
          <w:szCs w:val="18"/>
          <w:color w:val="auto"/>
        </w:rPr>
        <w:t>. The ASU improves reportable segment disclosure requirements through enhanced disclosures about significant segment expenses in annual and interim reports, clarifies circumstances in which an entity can disclose multiple segment measures of profit or loss, add disclosure requirements for entities with a single reportable segment, and other enhancements. The ASU is effective for all public entities for fiscal years beginning after December 15, 2023, and interim periods within fiscal years beginning after December 15, 2024. We adopted ASU 2023-07 on January 1, 2024. The effect of the adoption had no impact on our condensed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46" w:lineRule="exact"/>
        <w:rPr>
          <w:sz w:val="20"/>
          <w:szCs w:val="20"/>
          <w:color w:val="auto"/>
        </w:rPr>
      </w:pPr>
    </w:p>
    <w:p>
      <w:pPr>
        <w:ind w:right="2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Under the ASU, Public Business Entity ("PBE") must annually "(1) disclose specific categories in the rate reconciliation and (2) provide additional information for reconciling items that meet a quantitative threshold (if the effect of those reconciling items is equal to or greater than 5% of the amount computed by multiplying pretax income or loss by the applicable statutory income tax rate)." This guidance is effective for public companies for annual periods beginning after December 15, 2024. For other companies, the amendments are effective for annual periods beginning after December 15, 2025. We are currently evaluating the impact the adoption of this ASU will have on our condensed consolidated financial statements.</w:t>
      </w:r>
    </w:p>
    <w:p>
      <w:pPr>
        <w:spacing w:after="0" w:line="153"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8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On August 10, 2023, we consummated the previously announced merger pursuant to the Merger Agreement by and among MTAC, Merger Sub, Inc., and TriSalus Life Sciences, Inc. Upon the closing of the transactions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contemplated by the Merger Agreement, Merger Sub merged with and into Legacy TriSalus (the “Business Combination”) with Legacy TriSalus surviving the merger as a wholly owned subsidiary of MTAC, renamed “TriSalus Operating Life Sciences, Inc.” In addition, in connection with the consummation of the Business Combination, MTAC was renamed “TriSalus Life Sciences, Inc.”</w:t>
      </w:r>
    </w:p>
    <w:p>
      <w:pPr>
        <w:spacing w:after="0" w:line="1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Immediately prior to the effective time of the Business Combination, each in-the-money warrant of Legacy TriSalus that was unexercised and unexpired was automatically net exercised into the respective series of preferred stock of Legacy TriSalus. Each share of preferred stock of Legacy TriSalus (“Legacy TriSalus Preferred Stock”) that was issued and outstanding was then automatically converted into shares of common stock of Legacy TriSalus (“Legacy TriSalus Common Stock”) in accordance with the Amended and Restated Certificate of Incorporation of Legacy TriSalus at the then current conversion price, such that each converted share of Legacy TriSalus Preferred Stock was no longer outstanding and ceased to exist, and each holder of Legacy TriSalus Preferred Stock thereafter ceased to have any rights with respect to such securities.</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Proceeds from this transaction totaled $42,854. These proceeds were comprised of $2,704 from the MTAC trust account, and $40,150 received from the assumption of a concurrent private investment in public equity financing (“PIPE Financing”). Pursuant to the terms of the Merger Agreement, $6,000 of the proceeds were used to pay expenses incurred by MTAC related to the merger, resulting in net cash proceeds of $36,854. The Company incurred $6,069 in transaction costs relating to the merger with MTAC, of which $1,742 was recorded as a reduction of equity and the balance of $4,327 was recorded in general and administrative expense.</w:t>
      </w:r>
    </w:p>
    <w:p>
      <w:pPr>
        <w:spacing w:after="0" w:line="14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terms of the Merger Agreement, the existing stockholders of Legacy TriSalus exchanged their equity holdings at an exchange ratio of 0.02471853 (the “Exchange Ratio”) for an aggregate of 21,999,886 shares of our Common Stock. In addition, MTAC had previously issued public warrants and private placement warrants (collectively, the “MTAC Warrants”) as part of its initial public offering in November 2020. None of the terms of the MTAC Warrants were modified as a result of the Business Combination. See Note </w:t>
      </w:r>
      <w:r>
        <w:rPr>
          <w:rFonts w:ascii="Times New Roman" w:cs="Times New Roman" w:eastAsia="Times New Roman" w:hAnsi="Times New Roman"/>
          <w:sz w:val="18"/>
          <w:szCs w:val="18"/>
          <w:i w:val="1"/>
          <w:iCs w:val="1"/>
          <w:color w:val="auto"/>
        </w:rPr>
        <w:t>(10) Warrants</w:t>
      </w:r>
      <w:r>
        <w:rPr>
          <w:rFonts w:ascii="Times New Roman" w:cs="Times New Roman" w:eastAsia="Times New Roman" w:hAnsi="Times New Roman"/>
          <w:sz w:val="18"/>
          <w:szCs w:val="18"/>
          <w:color w:val="auto"/>
        </w:rPr>
        <w:t xml:space="preserve"> for additional discussion of the warrants.</w:t>
      </w:r>
    </w:p>
    <w:p>
      <w:pPr>
        <w:spacing w:after="0" w:line="149"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8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financial instruments consist of cash, cash equivalents, accounts receivable, trade payables, contingent earnout liability, and warrants to purchase preferred and common stock. The carrying values of these financial instruments (other than warrants and tranche and earnout liabilities, which are held at fair value) approximate fair value at March 31, 2024, and December 31, 2023. In general, asset and liability fair values are determined using the following categories: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Inputs utilize quoted prices in active markets for identical assets or liabilities.</w:t>
      </w:r>
    </w:p>
    <w:p>
      <w:pPr>
        <w:spacing w:after="0" w:line="198"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Level 2 — Inputs include quoted prices for similar assets or liabilities in active markets, and inputs other than quoted prices that are observable for the asset or liability, either directly or indirectly.</w:t>
      </w:r>
    </w:p>
    <w:p>
      <w:pPr>
        <w:spacing w:after="0" w:line="121"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Level 3 — Inputs are unobservable inputs and include situations where there is little, if any, market activity for the balance sheet items at period end. Pricing inputs are unobservable for the terms and are based on the Company’s own assumptions about the assumptions that a market participant would use.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warrant, tranche and earnout liabilities are measured at fair value on a recurring basis.</w:t>
      </w:r>
    </w:p>
    <w:p>
      <w:pPr>
        <w:spacing w:after="0" w:line="19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At the Closing Date, we assumed warrants to purchase 14,266,605 shares of common stock for $11.50 (see Note </w:t>
      </w:r>
      <w:r>
        <w:rPr>
          <w:rFonts w:ascii="Times New Roman" w:cs="Times New Roman" w:eastAsia="Times New Roman" w:hAnsi="Times New Roman"/>
          <w:sz w:val="18"/>
          <w:szCs w:val="18"/>
          <w:i w:val="1"/>
          <w:iCs w:val="1"/>
          <w:color w:val="auto"/>
        </w:rPr>
        <w:t>(10) Warrants</w:t>
      </w:r>
      <w:r>
        <w:rPr>
          <w:rFonts w:ascii="Times New Roman" w:cs="Times New Roman" w:eastAsia="Times New Roman" w:hAnsi="Times New Roman"/>
          <w:sz w:val="18"/>
          <w:szCs w:val="18"/>
          <w:color w:val="auto"/>
        </w:rPr>
        <w:t>). Of these, 8,333,272 are traded publicly (the "Public Warrants") and 5,933,333 are privately held (the "Private Placement Warrants" and together with the Public Warrants, the "SPAC Warrants"). At the Closing Date, we determined the fair value of all the SPAC warrants to be $2,568 based on the closing price of $0.18 for the Public Warrants (Level 1).</w:t>
      </w:r>
    </w:p>
    <w:p>
      <w:pPr>
        <w:spacing w:after="0" w:line="14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At the Closing Date, we determined the fair value of the earnout liability to be $28,927 based on a Monte Carlo simulation of future trading prices for our common stock. See Note </w:t>
      </w:r>
      <w:r>
        <w:rPr>
          <w:rFonts w:ascii="Times New Roman" w:cs="Times New Roman" w:eastAsia="Times New Roman" w:hAnsi="Times New Roman"/>
          <w:sz w:val="18"/>
          <w:szCs w:val="18"/>
          <w:i w:val="1"/>
          <w:iCs w:val="1"/>
          <w:color w:val="auto"/>
        </w:rPr>
        <w:t>(9) Contingent Earnout Liability</w:t>
      </w:r>
      <w:r>
        <w:rPr>
          <w:rFonts w:ascii="Times New Roman" w:cs="Times New Roman" w:eastAsia="Times New Roman" w:hAnsi="Times New Roman"/>
          <w:sz w:val="18"/>
          <w:szCs w:val="18"/>
          <w:color w:val="auto"/>
        </w:rPr>
        <w:t xml:space="preserve"> for further discussion.</w:t>
      </w:r>
    </w:p>
    <w:p>
      <w:pPr>
        <w:spacing w:after="0" w:line="94"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October 2, 2023, we entered into the SEPA with Yorkville. Upon execution of the SEPA, we determined the fair value of the SEPA derivative liability to be $183 based on a scenario-based model. See Note </w:t>
      </w:r>
      <w:r>
        <w:rPr>
          <w:rFonts w:ascii="Times New Roman" w:cs="Times New Roman" w:eastAsia="Times New Roman" w:hAnsi="Times New Roman"/>
          <w:sz w:val="18"/>
          <w:szCs w:val="18"/>
          <w:i w:val="1"/>
          <w:iCs w:val="1"/>
          <w:color w:val="auto"/>
        </w:rPr>
        <w:t>(13) Standby Equity Purchase Agreement</w:t>
      </w:r>
      <w:r>
        <w:rPr>
          <w:rFonts w:ascii="Times New Roman" w:cs="Times New Roman" w:eastAsia="Times New Roman" w:hAnsi="Times New Roman"/>
          <w:sz w:val="18"/>
          <w:szCs w:val="18"/>
          <w:color w:val="auto"/>
        </w:rPr>
        <w:t xml:space="preserve"> for further discussion. We determined the fair value of the SEPA derivative liability to be $366 at March 31, 2024; we recorded the change in fair value in other income and expense, net.</w:t>
      </w:r>
    </w:p>
    <w:p>
      <w:pPr>
        <w:spacing w:after="0" w:line="135"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 of our outstanding SPAC warrants liabilities was $14,214 at March 31, 2024. The carrying amount of outstanding earnout liability was $22,620 at March 31, 2024. The carrying amount of the outstanding SEPA derivative liability was $366 at March 31, 2024. The carrying values of the warrant liabilities represent the</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remeasurement to fair value each reporting period based on Level 1 inputs for the publicly traded Public Warrants and Level 2 inputs for the Private Placement Warrants. The carrying amounts of the contingent earnout liability and SEPA derivative liability represent the remeasurement to fair value each reporting period based on unobservable, or Level 3, inputs, using assumptions made by us, including the market price of our common stock and the observed volatility of a peer group of companies.</w:t>
      </w:r>
    </w:p>
    <w:p>
      <w:pPr>
        <w:spacing w:after="0" w:line="11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fair value of our outstanding warrant liabilities, contingent earnout liability and SEPA derivative liability for the three months ended March 31,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Warrant Liabilities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 - Level 1</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34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center"/>
              <w:ind w:left="640"/>
              <w:spacing w:after="0"/>
              <w:rPr>
                <w:sz w:val="20"/>
                <w:szCs w:val="20"/>
                <w:color w:val="auto"/>
              </w:rPr>
            </w:pPr>
            <w:r>
              <w:rPr>
                <w:rFonts w:ascii="Times New Roman" w:cs="Times New Roman" w:eastAsia="Times New Roman" w:hAnsi="Times New Roman"/>
                <w:sz w:val="18"/>
                <w:szCs w:val="18"/>
                <w:color w:val="auto"/>
              </w:rPr>
              <w:t>(1,574)</w:t>
            </w:r>
          </w:p>
        </w:tc>
        <w:tc>
          <w:tcPr>
            <w:tcW w:w="3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Private warrants - Level 2</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3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center"/>
              <w:ind w:left="640"/>
              <w:spacing w:after="0"/>
              <w:rPr>
                <w:sz w:val="20"/>
                <w:szCs w:val="20"/>
                <w:color w:val="auto"/>
              </w:rPr>
            </w:pPr>
            <w:r>
              <w:rPr>
                <w:rFonts w:ascii="Times New Roman" w:cs="Times New Roman" w:eastAsia="Times New Roman" w:hAnsi="Times New Roman"/>
                <w:sz w:val="18"/>
                <w:szCs w:val="18"/>
                <w:color w:val="auto"/>
              </w:rPr>
              <w:t>(1,128)</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34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center"/>
              <w:ind w:left="640"/>
              <w:spacing w:after="0"/>
              <w:rPr>
                <w:sz w:val="20"/>
                <w:szCs w:val="20"/>
                <w:color w:val="auto"/>
              </w:rPr>
            </w:pPr>
            <w:r>
              <w:rPr>
                <w:rFonts w:ascii="Times New Roman" w:cs="Times New Roman" w:eastAsia="Times New Roman" w:hAnsi="Times New Roman"/>
                <w:sz w:val="18"/>
                <w:szCs w:val="18"/>
                <w:color w:val="auto"/>
              </w:rPr>
              <w:t>(2,702)</w:t>
            </w:r>
          </w:p>
        </w:tc>
        <w:tc>
          <w:tcPr>
            <w:tcW w:w="3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3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62"/>
        </w:trPr>
        <w:tc>
          <w:tcPr>
            <w:tcW w:w="30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(Out)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04"/>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2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34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3,988</w:t>
            </w:r>
          </w:p>
        </w:tc>
        <w:tc>
          <w:tcPr>
            <w:tcW w:w="3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w:t>
            </w:r>
          </w:p>
        </w:tc>
        <w:tc>
          <w:tcPr>
            <w:tcW w:w="0" w:type="dxa"/>
            <w:vAlign w:val="bottom"/>
          </w:tcPr>
          <w:p>
            <w:pPr>
              <w:spacing w:after="0"/>
              <w:rPr>
                <w:sz w:val="1"/>
                <w:szCs w:val="1"/>
                <w:color w:val="auto"/>
              </w:rPr>
            </w:pPr>
          </w:p>
        </w:tc>
      </w:tr>
      <w:tr>
        <w:trPr>
          <w:trHeight w:val="24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SEPA derivative liability</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502"/>
        </w:trPr>
        <w:tc>
          <w:tcPr>
            <w:tcW w:w="3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62"/>
        </w:trPr>
        <w:tc>
          <w:tcPr>
            <w:tcW w:w="30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(Out)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04"/>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Series B-2 tranche liabilities</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3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700"/>
              <w:spacing w:after="0"/>
              <w:rPr>
                <w:sz w:val="20"/>
                <w:szCs w:val="20"/>
                <w:color w:val="auto"/>
              </w:rPr>
            </w:pPr>
            <w:r>
              <w:rPr>
                <w:rFonts w:ascii="Times New Roman" w:cs="Times New Roman" w:eastAsia="Times New Roman" w:hAnsi="Times New Roman"/>
                <w:sz w:val="18"/>
                <w:szCs w:val="18"/>
                <w:color w:val="auto"/>
                <w:w w:val="97"/>
              </w:rPr>
              <w:t>(608)</w:t>
            </w:r>
          </w:p>
        </w:tc>
        <w:tc>
          <w:tcPr>
            <w:tcW w:w="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7"/>
        </w:trPr>
        <w:tc>
          <w:tcPr>
            <w:tcW w:w="30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B-3 warrant liabilities</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w:t>
            </w:r>
          </w:p>
        </w:tc>
        <w:tc>
          <w:tcPr>
            <w:tcW w:w="3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6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(6,880) </w:t>
            </w:r>
            <w:r>
              <w:rPr>
                <w:rFonts w:ascii="Times New Roman" w:cs="Times New Roman" w:eastAsia="Times New Roman" w:hAnsi="Times New Roman"/>
                <w:sz w:val="21"/>
                <w:szCs w:val="21"/>
                <w:color w:val="auto"/>
                <w:vertAlign w:val="superscript"/>
              </w:rPr>
              <w:t>(1)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This amount includes settlements of $11,527, transferred to convertible preferred stock, offset by issuances of $4,647</w:t>
      </w:r>
    </w:p>
    <w:p>
      <w:pPr>
        <w:spacing w:after="0" w:line="22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Cash, Cash Equivalents and Restricted Cash</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as presented in the Condensed Consolidated Statements of Cash Flows,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0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0" w:type="dxa"/>
            <w:vAlign w:val="bottom"/>
          </w:tcPr>
          <w:p>
            <w:pPr>
              <w:spacing w:after="0"/>
              <w:rPr>
                <w:sz w:val="1"/>
                <w:szCs w:val="1"/>
                <w:color w:val="auto"/>
              </w:rPr>
            </w:pPr>
          </w:p>
        </w:tc>
      </w:tr>
      <w:tr>
        <w:trPr>
          <w:trHeight w:val="254"/>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Flows</w:t>
            </w: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Restricted cash of $350 is held by our bank to support our corporate credit card program.</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Inventory</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inventory are summarized as follows: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51"/>
        </w:trPr>
        <w:tc>
          <w:tcPr>
            <w:tcW w:w="80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760" w:firstLine="360"/>
        <w:spacing w:after="0" w:line="282" w:lineRule="auto"/>
        <w:rPr>
          <w:sz w:val="20"/>
          <w:szCs w:val="20"/>
          <w:color w:val="auto"/>
        </w:rPr>
      </w:pPr>
      <w:r>
        <w:rPr>
          <w:rFonts w:ascii="Times New Roman" w:cs="Times New Roman" w:eastAsia="Times New Roman" w:hAnsi="Times New Roman"/>
          <w:sz w:val="18"/>
          <w:szCs w:val="18"/>
          <w:color w:val="auto"/>
        </w:rPr>
        <w:t>Finished goods amounts include a reserve for excess or obsolete inventory of $211 and $117 as of March 31, 2024, and December 31, 2023, respectively.</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17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Intangible assets consist entirely of patent costs that provide the Company with rights, titles, and interests in the development of certain processes, discoveries, and inventions with the right to commercialize that are probable of future economic benefits. Patent costs associated with pharmaceutical intellectual property are expensed as incurred as future economic benefits are not deemed to be probable. Intangible assets are recorded at cost and are amortized over the estimated life of the patents, based on the approval and expiration dates applicable to each patent — typically 20 years — on a straight-line basis. Amortization expense related to intellectual property for three months ended March 31, 2024 and 2023 was $13 and $22, respectively. We did not record an impairment loss in either period presented. The estimated aggregate amortization expense for intangible assets subject to amortization for each of the five succeeding fiscal years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Liabilities</w:t>
            </w: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consists of the following:</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7"/>
                <w:szCs w:val="17"/>
                <w:color w:val="auto"/>
              </w:rPr>
            </w:pP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0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 clinical trials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Contingent Earnout Liability</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execution of the Merger Agreement (see Note </w:t>
      </w:r>
      <w:r>
        <w:rPr>
          <w:rFonts w:ascii="Times New Roman" w:cs="Times New Roman" w:eastAsia="Times New Roman" w:hAnsi="Times New Roman"/>
          <w:sz w:val="18"/>
          <w:szCs w:val="18"/>
          <w:i w:val="1"/>
          <w:iCs w:val="1"/>
          <w:color w:val="auto"/>
        </w:rPr>
        <w:t>(3) Business Combination)</w:t>
      </w:r>
      <w:r>
        <w:rPr>
          <w:rFonts w:ascii="Times New Roman" w:cs="Times New Roman" w:eastAsia="Times New Roman" w:hAnsi="Times New Roman"/>
          <w:sz w:val="18"/>
          <w:szCs w:val="18"/>
          <w:color w:val="auto"/>
        </w:rPr>
        <w:t>, MTAC entered into the Sponsor Support Agreement. Pursuant to the Sponsor Support Agreement, the 3,125,000 Sponsor Earnout Shares became unvested and subject to potential forfeiture if certain triggering events are not achieved prior to the 5th anniversary of the Closing Date. Pursuant to the Sponsor Support Agreement, (i) 25% of the shares of the unvested Common Stock held by the Sponsor Holders will only vest if, during the five year period following the Closing, the volume weighted average price of our Common Stock equals or exceeds $15.00 for any 20 trading days within a period of 30 consecutive trading days, (ii) 25% of the shares of the unvested Common Stock held by the Sponsor Holders will only vest if, during the five year period following the Closing, the volume weighted average price of our Common Stock equals or exceeds $20.00 for any 20 trading days within a period of 30 consecutive trading days, (iii) 25% of the shares of the unvested Common Stock held by the Sponsor Holders will only vest if, during the five year period following the Closing, the volume weighted average price of our Common Stock equals or exceeds $25.00 for any 20 trading days within a period of 30 consecutive trading days; and (iv) 25% of the shares of the unvested Common Stock held by the Sponsor Holders will only vest if, during the five year period following the Closing, the volume weighted average price of our Common Stock equals or exceeds $30.00 for any 20 trading days within a period of 30 consecutive trading days. Additionally, the Sponsor Earnout Shares will vest if there is a change in control of our company on or before the 5th anniversary of the Closing Date that results in the holders of our Common Stock receiving a price per share equal to or in excess of the applicable earnout targets. Any such shares held by the Sponsor Holders that remain unvested after the 5th anniversary of the Closing will be forfeited.</w:t>
      </w:r>
    </w:p>
    <w:p>
      <w:pPr>
        <w:spacing w:after="0" w:line="147"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estimated fair value of the total contingent earnout liability at the closing on August 10, 2023, was $28,927 based on a Monte Carlo simulation valuation model. The liability was remeasured to its fair value of $18,632 and $22,620 as of December 31, 2023 and March 31, 2024, respectively. This remeasurement resulted in the recording of $3,988 for the three months ended March 31, 2024, classified as change in fair value of contingent earnout liability in the Condensed Consolidated Statements of Operations. Assumptions used in the valuation are described below:</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8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8.45</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7"/>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 of the liability was determined using a Monte Carlo simulation valuation model using a distribution of potential outcomes.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and assumptions utilized in the calculation require management to apply judgment and make estimates including:</w:t>
      </w:r>
    </w:p>
    <w:p>
      <w:pPr>
        <w:spacing w:after="0" w:line="99" w:lineRule="exact"/>
        <w:rPr>
          <w:sz w:val="20"/>
          <w:szCs w:val="20"/>
          <w:color w:val="auto"/>
        </w:rPr>
      </w:pPr>
    </w:p>
    <w:p>
      <w:pPr>
        <w:ind w:left="660" w:right="80" w:hanging="328"/>
        <w:spacing w:after="0" w:line="282" w:lineRule="auto"/>
        <w:tabs>
          <w:tab w:leader="none" w:pos="6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which is based on the historical equity volatility of publicly traded peer companies for a term equal to the expected term of the earnout period;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which we based on the earnout period per the agreement;</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was determined by reference to the U.S. Treasury yield curve for time periods commensurate with the expected term of the earnout period;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which we estimate to be 0% based on the fact that we have never paid or declared dividends.</w:t>
      </w:r>
    </w:p>
    <w:p>
      <w:pPr>
        <w:spacing w:after="0" w:line="212"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These estimates may be subjective in nature and involve uncertainties and matters of judgment and therefore cannot be determined with exact precision.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Warrants outstanding at March 31, 2024, and December 31, 2023,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40" w:type="dxa"/>
            <w:vAlign w:val="bottom"/>
          </w:tcPr>
          <w:p>
            <w:pPr>
              <w:spacing w:after="0"/>
              <w:rPr>
                <w:sz w:val="15"/>
                <w:szCs w:val="15"/>
                <w:color w:val="auto"/>
              </w:rPr>
            </w:pP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040" w:type="dxa"/>
            <w:vAlign w:val="bottom"/>
          </w:tcPr>
          <w:p>
            <w:pPr>
              <w:spacing w:after="0"/>
              <w:rPr>
                <w:sz w:val="16"/>
                <w:szCs w:val="16"/>
                <w:color w:val="auto"/>
              </w:rPr>
            </w:pPr>
          </w:p>
        </w:tc>
        <w:tc>
          <w:tcPr>
            <w:tcW w:w="15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8,281,779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8,281,779</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5,933,333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5,933,333</w:t>
            </w:r>
          </w:p>
        </w:tc>
      </w:tr>
      <w:tr>
        <w:trPr>
          <w:trHeight w:val="27"/>
        </w:trPr>
        <w:tc>
          <w:tcPr>
            <w:tcW w:w="80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warrants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14,215,112</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14,215,112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Placement Warrant Liabilities</w:t>
      </w:r>
    </w:p>
    <w:p>
      <w:pPr>
        <w:spacing w:after="0" w:line="202"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consummation of the Business Combination, we assumed the warrant liabilities associated with 8,333,272 Public Warrants. Each Public Warrant is exercisable to purchase one share of common stock at a price of $11.50 per share, subject to adjustment. Under a plan approved by the Board, we repurchased 51,493 Public Warrants for $20 during the fourth quarter of 2023. The purchase plan was discontinued in December 2023. As of March 31, 2024, there were 8,281,779 Public Warrants outstanding.</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expire 5 years after the completion of the Business Combination or earlier upon redemption or liquidation. We may redeem for cash the outstanding Public Warrants:</w:t>
      </w:r>
    </w:p>
    <w:p>
      <w:pPr>
        <w:spacing w:after="0" w:line="54"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1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closing price of the Common Stock equals or exceeds $18.00 per share (as adjusted for stock splits, stock dividends, reorganizations, recapitalizations and the like) for any 20 trading days within a 30 trading day period ending three business days before the Company sends the notice of redemption to the warrant holders.</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and when the SPAC Warrants become redeemable by the Company, we may exercise its redemption right even if it is unable to register or qualify the underlying securities for sale under all applicable state securities laws.</w:t>
      </w:r>
    </w:p>
    <w:p>
      <w:pPr>
        <w:spacing w:after="0" w:line="13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we call the Public Warrants for redemption, management will have the option to require all holders that wish to exercise the Public Warrants to do so on a “cashless basis.” The exercise price and number of shares of common stock issuable upon exercise of the warrants may be adjusted in certain circumstances including in the event of a stock dividend, or recapitalization, reorganization, merger or consolidation. However, except as described below, the warrants will not be adjusted for issuances of common stock at a price below its exercise price. Additionally, in no event will the Company be required to net cash settle the warrants. Accordingly, the warrants may expire worthless.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Public Warrants, we assumed the warrant liabilities associated with 5,933,333 Private Placement Warrants. The Private Placement Warrants are identical to the Public Warrants, except that the Private Placement Warrants and the common stock issuable upon the exercise of the Private Placement Warrants were not transferable, assignable or saleable until 30 days after the completion of the Business Combination, subject to certain limited exceptions. Additionally, the Private Placement Warrants are exercisable on a cashless basis and are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 As of March 31, 2024, there were 5,933,333 Private Placement Warrants outstanding.</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determined that both the Public and Private placement Warrants do not meet the criteria to be equity classified and should be recorded as liabilities. Our analysis concluded liability classification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these warrants include a provision that could allow cash settlement upon an event outside the control of the Company, and such event may not result in a change in control of the Company. As a result, the Private and Public Warrants do not meet the criteria for equity classification.</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the close of the Business Combination, the fair values of the Public Warrants and Private Placement Warrants were $1,500 and $1,068, respectively. As of March 31, 2024, the fair values of the Public Warrants and Private Placement Warrants were $8,281 and $5,933, respectively. The fair value of the Public Warrants has been measured based on the quoted price of such warrants on the Nasdaq Global Market. The transfer of Private Placement Warrants to anyone outside of a small group of individuals who are permitted transferees would result in the Private Placement Warrants having substantially the same terms as the Public Warrants. Therefore, we determined that the fair value of each Private Warrant is equivalent to that of each Public Warrant.</w:t>
      </w:r>
    </w:p>
    <w:p>
      <w:pPr>
        <w:spacing w:after="0" w:line="14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warrants to purchase common stock in the three months ended March 31, 2024. There was no activity in the three months ended March 31,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Retirements /</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204"/>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Exercises</w:t>
            </w:r>
          </w:p>
        </w:tc>
        <w:tc>
          <w:tcPr>
            <w:tcW w:w="12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Conversions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37"/>
        </w:trPr>
        <w:tc>
          <w:tcPr>
            <w:tcW w:w="3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4"/>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8,281,779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8,281,779</w:t>
            </w:r>
          </w:p>
        </w:tc>
      </w:tr>
      <w:tr>
        <w:trPr>
          <w:trHeight w:val="24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5,933,333</w:t>
            </w:r>
          </w:p>
        </w:tc>
        <w:tc>
          <w:tcPr>
            <w:tcW w:w="100" w:type="dxa"/>
            <w:vAlign w:val="bottom"/>
          </w:tcPr>
          <w:p>
            <w:pPr>
              <w:spacing w:after="0"/>
              <w:rPr>
                <w:sz w:val="21"/>
                <w:szCs w:val="21"/>
                <w:color w:val="auto"/>
              </w:rPr>
            </w:pPr>
          </w:p>
        </w:tc>
        <w:tc>
          <w:tcPr>
            <w:tcW w:w="16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1"/>
                <w:szCs w:val="21"/>
                <w:color w:val="auto"/>
              </w:rPr>
            </w:pPr>
          </w:p>
        </w:tc>
        <w:tc>
          <w:tcPr>
            <w:tcW w:w="1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5,933,333</w:t>
            </w:r>
          </w:p>
        </w:tc>
      </w:tr>
    </w:tbl>
    <w:p>
      <w:pPr>
        <w:spacing w:after="0" w:line="302"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At the end of each interim period, we make our best estimate of the effective tax rate expected to be applicable for the full calendar year and use that rate to provide for income taxes on a current year-to-date basis before discrete items. If a reliable estimate cannot be made, we may make a reasonable estimate of the annual effective tax rate, including use of the actual effective rate for the year-to-date. The impact of the discrete items is recorded in the quarter in which they occur.</w:t>
      </w:r>
    </w:p>
    <w:p>
      <w:pPr>
        <w:spacing w:after="0" w:line="139" w:lineRule="exact"/>
        <w:rPr>
          <w:sz w:val="20"/>
          <w:szCs w:val="20"/>
          <w:color w:val="auto"/>
        </w:rPr>
      </w:pPr>
    </w:p>
    <w:p>
      <w:pPr>
        <w:jc w:val="both"/>
        <w:ind w:right="380" w:firstLine="324"/>
        <w:spacing w:after="0" w:line="258" w:lineRule="auto"/>
        <w:rPr>
          <w:sz w:val="20"/>
          <w:szCs w:val="20"/>
          <w:color w:val="auto"/>
        </w:rPr>
      </w:pPr>
      <w:r>
        <w:rPr>
          <w:rFonts w:ascii="Times New Roman" w:cs="Times New Roman" w:eastAsia="Times New Roman" w:hAnsi="Times New Roman"/>
          <w:sz w:val="18"/>
          <w:szCs w:val="18"/>
          <w:color w:val="auto"/>
        </w:rPr>
        <w:t>We utilize the balance sheet method of accounting for income taxes and deferred taxes which are determined based on the differences between the financial statements and tax basis of assets and liabilities given the provisions of the enacted tax laws. In assessing the realizability of the deferred tax assets, we considered whether it is more likely than not that some portion or all of the deferred tax assets will not be realized through the generation of future taxable income. In making this determination, we assessed all of the evidence available at the time including recent earnings, forecasted income projections, and historical financial performance. We have fully reserved deferred tax assets as a result of this assessment.</w:t>
      </w:r>
    </w:p>
    <w:p>
      <w:pPr>
        <w:spacing w:after="0" w:line="14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Based on our full valuation allowance against the net deferred tax assets, our effective federal tax rate for the calendar year is zero, and we recorded an immaterial income tax expense in the three months ended March 31, 2024 and 2023. We continue to believe it is more likely than not that some or all of the benefits from its deferred tax assets will not be realized, and accordingly, believe a valuation allowance is still warranted on these assets. Management assesses the available positive and negative evidence, including future reversals of temporary differences, tax-planning strategies and future taxable income, to estimate whether sufficient future taxable income will be generated to permit the use of deferred tax assets. If we conclude it is more likely than not that a portion, or all, of our deferred tax assets will not be realized, the deferred tax asset is reduced by a valuation allowance. A significant piece of objective negative evidence evaluated is the cumulative loss incurred over recent years. Such objective negative evidence limits the ability to consider other subjective positive evidence. The amount of the deferred tax asset considered realizable could be adjusted if estimates of future taxable income change or if objective negative evidence, in the form of cumulative losses, is no longer present and additional weight is given to subjective evidence such as future growth. We evaluate the appropriateness of its valuation allowance on a quarterly basis.</w:t>
      </w: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Dynavax Purchase</w:t>
      </w:r>
    </w:p>
    <w:p>
      <w:pPr>
        <w:spacing w:after="0" w:line="16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We purchased all of the intellectual property and trial drug substance for nelitolimod from Dynavax Technologies (“Dynavax”) in 2020. This was a purchase of in-process research and development (“IPR&amp;D”). nelitolimod, an investigational agent in development, is a toll-like receptor 9 (“TLR9”) agonist which is believed to bind to the TLR9 receptors found on suppressive immune cells including myeloid-derived suppressor cells (“MDSCs”) and antigen-presenting immune cells. We believe that nelitolimod, when delivered using our PEDD devices, can improve therapeutic distribution to solid tumors and improve outcomes for liver metastases and pancreatic cancer.</w:t>
      </w:r>
    </w:p>
    <w:p>
      <w:pPr>
        <w:spacing w:after="0" w:line="11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Payments under the Dynavax purchase agreement consist of: (a) one upfront payment of $9,000 that was split into two payments ($5,000 and $4,000, paid in July and December 2020, respectively), (b) milestone payments upon the achievement of certain development and commercial milestones, and (c) royalty payments based on aggregate annual net sales after nelitolimod receives Food and Drug Administration ("FDA") approval to be sold.</w:t>
      </w:r>
    </w:p>
    <w:p>
      <w:pPr>
        <w:spacing w:after="0" w:line="9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milestone payments range from $1,000 to $10,000, triggered by development achievements for each of up to four indications. The development milestone payments cannot exceed $170,000. We have made milestone payments of $1,000 in September 2021, after initiating our clinical study of uveal melanoma liver metastases, June 2022, after initiating our clinical study for primary liver tumors, and August 2023, after initiating our clinical study for pancreatic cancer. In aggregate, the commercial milestones shall not exceed $80,000. We will also pay annual royalties at the rate of 10% for aggregate annual net sales less than or equal to $1,000,000 and 12% for aggregate annual net sales above that amount.</w:t>
      </w:r>
    </w:p>
    <w:p>
      <w:pPr>
        <w:spacing w:after="0" w:line="11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record the milestone payments in R&amp;D expense when they are incurred. We have reflected these milestone payments in the Condensed Consolidated Statements of Cash Flows as investing activities to reflect the contractual investment in the IPR&amp;D. The milestone payments and royalty payments are contingent upon future events and therefore will also be recorded as expense when it is probable that a milestone has been achieved or when royalties are due.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Standby Equity Purchase Agreement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Yorkville is a fund managed by Yorkville Advisors Global, LP.</w:t>
      </w:r>
    </w:p>
    <w:p>
      <w:pPr>
        <w:spacing w:after="0" w:line="17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$30.0 million of Common Stock, par value $0.0001 per share, at the Company’s request any time during the commitment period commencing on October 2, 2023 (the “Effective Date”), and terminating on the first day of the month following the 24-month anniversary of the Effective Date. Each issuance and sale by the Company to Yorkville under the SEPA (an “Advance”) is subject to a maximum limit equal to the greater of: (i) an amount equal to 100% of the average of the daily volume of the Common Stock on the Nasdaq Stock Market (“Nasdaq”) for the 10 trading days immediately preceding an Advance notice, or (ii) 1,000,000 shares of Common Stock. At the election of the Company, the shares will be issued and sold to Yorkville at a per-share price equal to: (i) 96% of the Market Price (as defined below) for any period commencing on the receipt of the Advance notice by Yorkville and ending on 4:00 p.m. New York City time on the applicable Advance notice date (the “Option 1 Pricing Period”), or (ii) 97%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volume-weighted average price (“VWAP”) of the Common Stock on Nasdaq, and for any Option 2 Pricing Period, the lowest VWAP of the Common Stock on the Nasdaq during the Option 2 Pricing Period. The Advances are subject to certain limitations, including that Yorkville cannot purchase any shares that would result in it beneficially owning more than 4.99% of the outstanding voting power or Common Stock. Further, Yorkville cannot purchase shares that would result in it acquiring more than 5,260,704 shares of Common Stock, which represents 19.99% of the outstanding Common Stock, as of the Effective Date of SEPA.</w:t>
      </w:r>
    </w:p>
    <w:p>
      <w:pPr>
        <w:spacing w:after="0" w:line="128" w:lineRule="exact"/>
        <w:rPr>
          <w:sz w:val="20"/>
          <w:szCs w:val="20"/>
          <w:color w:val="auto"/>
        </w:rPr>
      </w:pPr>
    </w:p>
    <w:p>
      <w:pPr>
        <w:ind w:right="2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the SEPA is accounted for as a derivative and is recognized as a liability measured at fair value in accordance with ASC 820. The Company intends to utilize the SEPA to access capital to fund its operations. The Company did not issue any Advances during the year ended December 31, 2023.</w:t>
      </w:r>
    </w:p>
    <w:p>
      <w:pPr>
        <w:spacing w:after="0" w:line="9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estimated fair value of the SEPA liability on December 31, 2023, was $185, which was determined using a scenario-based valuation model. The liability was remeasured to its fair value of $366 as of March 31, 2024, and is classified within other long-term liabilities in the Condensed Consolidated Balance Sheets. This remeasurement resulted in the recognition of a loss of $181 for three months ended March 31, 2024, classified as change in fair value of SEPA, tranche and warrant liabilities in the Condensed Consolidated Statement of Operations. Assumptions used in the valuation are described below:</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assumptions:</w:t>
            </w:r>
          </w:p>
        </w:tc>
        <w:tc>
          <w:tcPr>
            <w:tcW w:w="252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20"/>
                <w:szCs w:val="20"/>
                <w:color w:val="auto"/>
              </w:rPr>
            </w:pPr>
          </w:p>
        </w:tc>
        <w:tc>
          <w:tcPr>
            <w:tcW w:w="17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7"/>
        </w:trPr>
        <w:tc>
          <w:tcPr>
            <w:tcW w:w="45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draws</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11,900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probability of draws</w:t>
            </w:r>
          </w:p>
        </w:tc>
        <w:tc>
          <w:tcPr>
            <w:tcW w:w="25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r>
      <w:tr>
        <w:trPr>
          <w:trHeight w:val="27"/>
        </w:trPr>
        <w:tc>
          <w:tcPr>
            <w:tcW w:w="4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25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
        </w:trPr>
        <w:tc>
          <w:tcPr>
            <w:tcW w:w="45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of the liability was determined using a scenario-based valuation model which assigned a probability to a number of different outcomes. The inputs and assumptions utilized in the calculation require management to apply judgment and make estimates including:</w:t>
      </w:r>
    </w:p>
    <w:p>
      <w:pPr>
        <w:spacing w:after="0" w:line="54" w:lineRule="exact"/>
        <w:rPr>
          <w:sz w:val="20"/>
          <w:szCs w:val="20"/>
          <w:color w:val="auto"/>
        </w:rPr>
      </w:pPr>
    </w:p>
    <w:p>
      <w:pPr>
        <w:ind w:left="340" w:right="240" w:hanging="8"/>
        <w:spacing w:after="0" w:line="282" w:lineRule="auto"/>
        <w:tabs>
          <w:tab w:leader="none" w:pos="6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expected draws of $11,900 and $5,000, at March 31, 2024, and December 31, 2023, respectively, through the issuance of multiple separate advances under the Option 2 Pricing Period at March 31, 2024, and Option 1 Pricing Period at December 31, 2023;</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probability of the draws on the SEPA, which we estimate based on our expectation of the draws being completed; and</w:t>
      </w:r>
    </w:p>
    <w:p>
      <w:pPr>
        <w:spacing w:after="0" w:line="117" w:lineRule="exact"/>
        <w:rPr>
          <w:rFonts w:ascii="Times New Roman" w:cs="Times New Roman" w:eastAsia="Times New Roman" w:hAnsi="Times New Roman"/>
          <w:sz w:val="18"/>
          <w:szCs w:val="18"/>
          <w:color w:val="auto"/>
        </w:rPr>
      </w:pPr>
    </w:p>
    <w:p>
      <w:pPr>
        <w:ind w:left="340" w:right="120" w:hanging="8"/>
        <w:spacing w:after="0" w:line="282" w:lineRule="auto"/>
        <w:tabs>
          <w:tab w:leader="none" w:pos="6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was determined by reference to the U.S. Treasury yield curve for time periods commensurate with the expected term of the agreement in relation to the date of the expected draw.</w:t>
      </w:r>
    </w:p>
    <w:p>
      <w:pPr>
        <w:spacing w:after="0" w:line="81"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These estimates may be subjective in nature and involve uncertainties and matters of judgment and therefore cannot be determined with exact precision.</w:t>
      </w:r>
    </w:p>
    <w:p>
      <w:pPr>
        <w:spacing w:after="0" w:line="94"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sold 350,000 shares of common stock under the SEPA, raising approximately $3,141. In April 2024, we sold 400,000 shares of common stock under the SEPA, raising $3,602.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Debt</w:t>
      </w:r>
    </w:p>
    <w:p>
      <w:pPr>
        <w:spacing w:after="0" w:line="121"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On April 30, 2024 (the "OrbiMed Closing Date"), we entered into a Credit Agreement (the "Credit Agreement") with OrbiMed Royalty &amp; Credit Opportunities IV, LP ("OrbiMed"), a healthcare investment firm, and certain of its affiliates to support the execution of strategic expansion plans, fuel continued growth, and provide financial flexibility.</w:t>
      </w:r>
    </w:p>
    <w:p>
      <w:pPr>
        <w:spacing w:after="0" w:line="6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up to $50,000 in senior secured term debt (the “Loan Facility”), of which (i) $25,000 was made available to us on the Closing Date (the “Initial Commitment Amount”) and (ii) up to $10,000 will be made available to us on or prior to June 30, 2025 and up to $15,000 will be made available to us on or prior to December 31, 2025, in each case, subject to the satisfaction of certain revenue requirements (such additional commitment amounts, the “Delayed Draw Commitment Amount”). The term loan will mature on April 30, 2029. On April 30, 2024, we borrowed the Initial Commitment Amount, resulting in gross proceeds of $25,000.</w:t>
      </w:r>
    </w:p>
    <w:p>
      <w:pPr>
        <w:spacing w:after="0" w:line="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Initial Commitment Amount, we also issued OrbiMed a warrant to purchase 130,805 shares of our common stock, with an exercise price of $9.5562 (the "Initial OrbiMed Warrant"). The Initial OrbiMed Warrant expires on April 30, 2031. On each of the closings of the Delayed Draw Commitment Amounts, if any, we agreed to issue additional warrants to purchase a number of shares of our common stock determined by dividing 5% of the applicable Delayed Draw Commitment Amount by the 10-day volume weighted average sale price of our common stock as of the issue date (the “Subsequent OrbiMed Warrants” and collectively, with the Initial OrbiMed Warrant, the “OrbiMed Warrants” and together with the SPAC Warrants, the “Warrants”). The Subsequent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w:t>
      </w:r>
    </w:p>
    <w:p>
      <w:pPr>
        <w:spacing w:after="0" w:line="18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(15)</w:t>
        <w:tab/>
        <w:t>Convertible Preferred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At the Closing Date on August 2023, we issued 4,015,002 shares of Series A Convertible Preferred Stock at a purchase price of $10.00 per share for an aggregate purchase price of $40,150, pursuant to separate subscription agreements dated June 7, 2023, and July 4, 2023 (collectively, the “Subscription Agreements”).</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the Company is authorized to issue up to 10,000,000 shares of preferred stock with 5,984,998 shares available for issuance. The original issue price of the Series A Convertible Preferred Stock was $10.00. The Series A Convertible Preferred Stock accrues cumulative dividends at the rate of 8.00% per annum on the original issue price. As of March 31, 2024, total undeclared cumulative dividends were $2,059. We have not recorded the undeclared dividends in our condensed consolidated financial statements, except the statement of operations.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shares of Series A Convertible Preferred Stock had the following rights: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Conversion</w:t>
      </w:r>
    </w:p>
    <w:p>
      <w:pPr>
        <w:spacing w:after="0" w:line="184"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231F20"/>
        </w:rPr>
        <w:t>Optional Conversion</w:t>
      </w:r>
    </w:p>
    <w:p>
      <w:pPr>
        <w:spacing w:after="0" w:line="200" w:lineRule="exact"/>
        <w:rPr>
          <w:sz w:val="20"/>
          <w:szCs w:val="20"/>
          <w:color w:val="auto"/>
        </w:rPr>
      </w:pPr>
    </w:p>
    <w:p>
      <w:pPr>
        <w:ind w:left="660" w:right="80" w:firstLine="324"/>
        <w:spacing w:after="0" w:line="256" w:lineRule="auto"/>
        <w:rPr>
          <w:sz w:val="20"/>
          <w:szCs w:val="20"/>
          <w:color w:val="auto"/>
        </w:rPr>
      </w:pPr>
      <w:r>
        <w:rPr>
          <w:rFonts w:ascii="Times New Roman" w:cs="Times New Roman" w:eastAsia="Times New Roman" w:hAnsi="Times New Roman"/>
          <w:sz w:val="18"/>
          <w:szCs w:val="18"/>
          <w:color w:val="auto"/>
        </w:rPr>
        <w:t>The Series A Convertible Preferred Stock are convertible at any time at the option of the holder thereof into the number of shares of our Common Stock determined by the quotient of (i) the sum of $10.00 (as adjusted for any stock dividend, stock split, reverse stock split, combination or similar event affecting the Series A Convertible Preferred Stock) (the “Liquidation Preference”) and, if we have not elected to otherwise pay the accrued Annual Dividends (as defined below) in cash to the holder, the accrued Annual Dividends on such shares as of the date of conversion, divided by (ii) the Conversion Price (as defined in our Certificate of Designations, Preferences, and Rights of Series A Convertible Preferred Stock (the "Certificate of Designations")) of such shares in effect at the time of conversion.</w:t>
      </w:r>
    </w:p>
    <w:p>
      <w:pPr>
        <w:spacing w:after="0" w:line="14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231F20"/>
        </w:rPr>
        <w:t xml:space="preserve">Automatic </w:t>
      </w:r>
      <w:r>
        <w:rPr>
          <w:rFonts w:ascii="Times New Roman" w:cs="Times New Roman" w:eastAsia="Times New Roman" w:hAnsi="Times New Roman"/>
          <w:sz w:val="18"/>
          <w:szCs w:val="18"/>
          <w:i w:val="1"/>
          <w:iCs w:val="1"/>
          <w:color w:val="000000"/>
        </w:rPr>
        <w:t>Conversion</w:t>
      </w:r>
    </w:p>
    <w:p>
      <w:pPr>
        <w:spacing w:after="0" w:line="187" w:lineRule="exact"/>
        <w:rPr>
          <w:sz w:val="20"/>
          <w:szCs w:val="20"/>
          <w:color w:val="auto"/>
        </w:rPr>
      </w:pPr>
    </w:p>
    <w:p>
      <w:pPr>
        <w:ind w:left="660" w:right="180" w:firstLine="324"/>
        <w:spacing w:after="0" w:line="261" w:lineRule="auto"/>
        <w:rPr>
          <w:sz w:val="20"/>
          <w:szCs w:val="20"/>
          <w:color w:val="auto"/>
        </w:rPr>
      </w:pPr>
      <w:r>
        <w:rPr>
          <w:rFonts w:ascii="Times New Roman" w:cs="Times New Roman" w:eastAsia="Times New Roman" w:hAnsi="Times New Roman"/>
          <w:sz w:val="18"/>
          <w:szCs w:val="18"/>
          <w:color w:val="auto"/>
        </w:rPr>
        <w:t>On the four-year anniversary of the Closing, all then outstanding shares of Series A Convertible Preferred Stock shall automatically convert into the number of shares of our Common Stock equal to the quotient of (i) the sum of the Liquidation Preference and if we had not elected to otherwise pay the accrued Annual Dividends in cash to the holder, the accrued Annual Dividends on such shares as of the date of conversion, divided by (ii) the Conversion Price of such shares in effect at the time of conversion.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Voting Rights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Holders of the Series A Convertible Preferred Stock are entitled to vote with the holders of our Common Stock on all matters submitted to a vote of our stockholders, except as otherwise provided in the Certificate of Designations or as required by applicable law, voting together with the holders of our Common Stock as a single class. Each holder is entitled to a number of votes in respect of the shares of Series A Convertible Preferred Stock owned as of the record date by it, or if no such record date is established, as of the date such vote is taken or any written consent of stockholders is solicited, equal to the quotient of (i) $10.00 divided by (ii) the Minimum Price (as defined in Nasdaq Listing Rule 5635(d)) of our Common Stock as determined at Closing.</w:t>
      </w:r>
    </w:p>
    <w:p>
      <w:pPr>
        <w:spacing w:after="0" w:line="14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As long as any shares of Series A Convertible Preferred Stock are outstanding, we shall not, without the affirmative vote of the Holders of a majority of the then-outstanding shares of the Series A Convertible Preferred Stock, (i) amend, alter, repeal or otherwise modify any provision of our certificate of incorporation or the Certificate of Designations in a manner that would alter or change the terms or the powers, preferences, rights or privileges of the Series A Convertible Preferred Stock as to affect them adversely; (ii) authorize, create, increase the authorized amount of, or issue any class or series of capital stock senior to the Series A Convertible Preferred Stock; (iii) increase the authorized number of shares of Series A Convertible Preferred Stock or enter into any agreement with respect to the foregoing.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Dividends</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Holders of the Series A Convertible Preferred Stock are entitled to participate equally in any dividends declared to holders of Common Stock. In addition, each holder of the Series A Convertible Preferred Stock is entitled to receive cumulative annual dividends that accrue and accumulate daily at a rate per annum (calculated on the basis of an actual 365- or 366-day year, as applicable) equal to 8.00% of the original issue price of $10.00 per share (the "Annual Dividends”). The Annual Dividends will be either paid in cash, paid by issuing fully paid and nonassessable shares of Common Stock, or a combination thereof when, as and if authorized and declared by our Board. Upon conversion or a change of control, any unpaid Annual Dividends will be paid to the holders, either in the form of common stock upon a conversion, or in cash upon a change of control. So long as any shares of Series A Convertible Preferred Stock remain outstanding, unless all Annual Dividends on all outstanding shares of Series A Convertible Preferred Stock have been declared and paid in cash, we will be prohibited from declaring any dividends on, or making any distributions relating to, other classes of our capital stock ranking junior to the Series A Convertible Preferred Stock, subject to certain exceptions.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(iv) Anti-dilution Provisions</w:t>
      </w:r>
    </w:p>
    <w:p>
      <w:pPr>
        <w:spacing w:after="0" w:line="20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initial Conversion Price of $10.00 is subject to customary adjustments in the case of certain distributions to holders of our Common Stock payable in shares of our Common Stock, subdivisions, splits or combinations of the shares of our Common Stock and distributions to all holders of shares of our Common Stock of any convertible securities or options or any other assets for which there is no corresponding distribution in respect of the Series A Convertible Preferred Stock.</w:t>
      </w:r>
    </w:p>
    <w:p>
      <w:pPr>
        <w:spacing w:after="0" w:line="200" w:lineRule="exact"/>
        <w:rPr>
          <w:sz w:val="20"/>
          <w:szCs w:val="20"/>
          <w:color w:val="auto"/>
        </w:rPr>
      </w:pPr>
    </w:p>
    <w:p>
      <w:pPr>
        <w:spacing w:after="0" w:line="3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Conversion Price will automatically reset upon each of February 10, 2025, and July 10, 2027, the eighteen-month and forty-seven-month anniversaries of the Closing Date, to be equal to the lowest of:</w:t>
      </w:r>
    </w:p>
    <w:p>
      <w:pPr>
        <w:spacing w:after="0" w:line="54" w:lineRule="exact"/>
        <w:rPr>
          <w:sz w:val="20"/>
          <w:szCs w:val="20"/>
          <w:color w:val="auto"/>
        </w:rPr>
      </w:pPr>
    </w:p>
    <w:p>
      <w:pPr>
        <w:ind w:left="660" w:right="440" w:hanging="328"/>
        <w:spacing w:after="0" w:line="282" w:lineRule="auto"/>
        <w:tabs>
          <w:tab w:leader="none" w:pos="6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Conversion Price, subject to adjustments for stock dividends and distributions or other distributions made to common stockholders for which there is no corresponding distribution for Preferred Stock,</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then-current Conversion Price,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higher of 1) the Floor Price ($2.10 per share) or 2) the trailing ten-Trading Day VWAP of the Common Stock determined as of the date of such reset.</w:t>
      </w:r>
    </w:p>
    <w:p>
      <w:pPr>
        <w:spacing w:after="0" w:line="13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Liquidation Preferences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terms of the Series A Convertible Preferred Stock provide for liquidation preferences in the event of a change in control, liquidation, dissolution, or certain other fundamental transactions of the Company (a “Liquidation Event”), none of which were deemed probable as of March 31, 2024. The Liquidation Preferences of $10.00 per share, plus all unpaid dividends, are payable prior to payment to any class of capital stock that is junior to the Series A Convertible Preferred Stock.</w:t>
      </w:r>
    </w:p>
    <w:p>
      <w:pPr>
        <w:spacing w:after="0" w:line="13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If the assets of the Company or the consideration received in such Liquidation Event are insufficient to make payment of the full Liquidation Preferences to all holders of Series A Convertible Preferred Stock, then such assets will be distributed ratably to the holders of Series A Convertible Preferred Stock in proportion to the full amounts to which they would otherwise have been entitled. After payment of the aforementioned Liquidation Preferences, any remaining proceeds from a Liquidation Event will be distributed to all classes of capital stock that are junior to the Series A Convertible Preferred Stock pro rata on an as-if converted basis.</w:t>
      </w:r>
    </w:p>
    <w:p>
      <w:pPr>
        <w:spacing w:after="0" w:line="15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Series A convertible preferred stock in the three months ended March 31, 2024. There was no activity in the three months ended March 31,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9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280" w:type="dxa"/>
            <w:vAlign w:val="bottom"/>
          </w:tcPr>
          <w:p>
            <w:pPr>
              <w:spacing w:after="0"/>
              <w:rPr>
                <w:sz w:val="16"/>
                <w:szCs w:val="16"/>
                <w:color w:val="auto"/>
              </w:rPr>
            </w:pP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20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37"/>
        </w:trPr>
        <w:tc>
          <w:tcPr>
            <w:tcW w:w="5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4"/>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(assuming maximum conversion)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25,237,155</w:t>
            </w:r>
          </w:p>
        </w:tc>
      </w:tr>
      <w:tr>
        <w:trPr>
          <w:trHeight w:val="256"/>
        </w:trPr>
        <w:tc>
          <w:tcPr>
            <w:tcW w:w="5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83"/>
        </w:trPr>
        <w:tc>
          <w:tcPr>
            <w:tcW w:w="5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25,237,155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25,237,155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(16)</w:t>
        <w:tab/>
        <w:t>Net Loss Per Share</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if any, participates in any dividends declared by us and are therefore considered to be participating securities. Participating securities have the effect of diluting both basic and diluted earnings per share during periods of income. During periods where we incurred net losses, we allocate no loss to participating securities because they have no contractual obligation to share in our losses. We computed diluted loss per common share after giving consideration to the dilutive effect of stock options and warrants that are outstanding during the period, except where such nonparticipating securities would be antidilutive. Because we have reported net losses for the three-month periods ended March 31, 2024 and 2023, diluted net loss per common share is the same as basic net loss per common share for those periods.</w:t>
      </w:r>
    </w:p>
    <w:p>
      <w:pPr>
        <w:spacing w:after="0" w:line="16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(in common stock equivalent shares) have been excluded from the computation of diluted weighted-average shares outstanding because such securities have an antidilutive impact due to losses reported: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08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4,015,002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14,897,532</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warrants</w:t>
            </w:r>
          </w:p>
        </w:tc>
        <w:tc>
          <w:tcPr>
            <w:tcW w:w="20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1,429,942</w:t>
            </w:r>
          </w:p>
        </w:tc>
      </w:tr>
      <w:tr>
        <w:trPr>
          <w:trHeight w:val="27"/>
        </w:trPr>
        <w:tc>
          <w:tcPr>
            <w:tcW w:w="8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14,215,112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4,882,418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1,538,083</w:t>
            </w:r>
          </w:p>
        </w:tc>
      </w:tr>
      <w:tr>
        <w:trPr>
          <w:trHeight w:val="236"/>
        </w:trPr>
        <w:tc>
          <w:tcPr>
            <w:tcW w:w="804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23,674,960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17,865,557</w:t>
            </w:r>
          </w:p>
        </w:tc>
      </w:tr>
      <w:tr>
        <w:trPr>
          <w:trHeight w:val="27"/>
        </w:trPr>
        <w:tc>
          <w:tcPr>
            <w:tcW w:w="80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currently maintain the 2023 Equity Incentive Plan (the “2023 Plan”), which our Board of Directors and stockholders approved in connection with the Business Combination, for purposes of granting equity-based incentive awards to our employees and consultants, including our executive officers and directors. Prior to the Business Combination, TriSalus granted equity incentive awards under the 2009 Amended and Restated Equity Incentive Plan (the “2009 Plan”). The 2009 Plan will not be used following the Business Combination. However, any awards granted under the 2009 Plan remain subject to the terms of the 2009 Plan and the applicable award agreement. Historically, we have used options as an incentive for long-term compensation to our executive officers because options allow our executive officers to realize value from this form of equity compensation only if the value of the underlying equity securities increase relative to the option’s exercise price, which exercise price is set at the fair market value of the underlying equity securities on the grant date.</w:t>
      </w:r>
    </w:p>
    <w:p>
      <w:pPr>
        <w:spacing w:after="0" w:line="15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2009 Plan and the 2023 Plan are administered by our chief executive officer and chief financial officer, who act on the recommendation of managers of the Company to select the individuals to whom the awards will be granted and to determine the amount and vesting period for the grants. All grants are subject to approval by the board of directors.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the balances under the two plans are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00" w:type="dxa"/>
            <w:vAlign w:val="bottom"/>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20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2080" w:type="dxa"/>
            <w:vAlign w:val="bottom"/>
            <w:tcBorders>
              <w:bottom w:val="single" w:sz="8" w:color="auto"/>
            </w:tcBorders>
            <w:shd w:val="clear" w:color="auto" w:fill="CCEEFF"/>
          </w:tcPr>
          <w:p>
            <w:pPr>
              <w:spacing w:after="0"/>
              <w:rPr>
                <w:sz w:val="22"/>
                <w:szCs w:val="22"/>
                <w:color w:val="auto"/>
              </w:rPr>
            </w:pPr>
          </w:p>
        </w:tc>
      </w:tr>
      <w:tr>
        <w:trPr>
          <w:trHeight w:val="242"/>
        </w:trPr>
        <w:tc>
          <w:tcPr>
            <w:tcW w:w="4100" w:type="dxa"/>
            <w:vAlign w:val="bottom"/>
          </w:tcPr>
          <w:p>
            <w:pPr>
              <w:spacing w:after="0"/>
              <w:rPr>
                <w:sz w:val="21"/>
                <w:szCs w:val="21"/>
                <w:color w:val="auto"/>
              </w:rPr>
            </w:pPr>
          </w:p>
        </w:tc>
        <w:tc>
          <w:tcPr>
            <w:tcW w:w="21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Available for Issue</w:t>
            </w:r>
          </w:p>
        </w:tc>
      </w:tr>
      <w:tr>
        <w:trPr>
          <w:trHeight w:val="27"/>
        </w:trPr>
        <w:tc>
          <w:tcPr>
            <w:tcW w:w="4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 Plan</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1,570,793</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1,570,793</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Plan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7,970,702</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3,874,053</w:t>
            </w:r>
          </w:p>
        </w:tc>
        <w:tc>
          <w:tcPr>
            <w:tcW w:w="1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4,096,649</w:t>
            </w:r>
          </w:p>
        </w:tc>
      </w:tr>
      <w:tr>
        <w:trPr>
          <w:trHeight w:val="27"/>
        </w:trPr>
        <w:tc>
          <w:tcPr>
            <w:tcW w:w="4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89"/>
        </w:trPr>
        <w:tc>
          <w:tcPr>
            <w:tcW w:w="4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9,541,495</w:t>
            </w:r>
          </w:p>
        </w:tc>
        <w:tc>
          <w:tcPr>
            <w:tcW w:w="8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5,444,846</w:t>
            </w:r>
          </w:p>
        </w:tc>
        <w:tc>
          <w:tcPr>
            <w:tcW w:w="1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4,096,649</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 Equity Incentive Plan</w:t>
      </w:r>
    </w:p>
    <w:p>
      <w:pPr>
        <w:spacing w:after="0" w:line="18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there were in total 1,506,620 stock options and 64,173 RSUs issued and outstanding under the 2009 Plan. Stock options were granted with an exercise price equal to the estimated fair value of the stock at the date of grant. Prior to the Business Combination, the fair value was determined by a third-party valuation performed in accordance with IRS Section 409A. No awards have been granted subsequent to the Business Combination, as the 2009 Plan was frozen and replaced by the 2023 Plan (see below). Options generally have a ten-year contractual term and typically have graded vesting over one to four years.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March 31, 2024, we had unrecognized compensation expense of $836 and $554, respectively, for options and RSUs granted under the 2009 Plan.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March 31, 2024, balance will be recognized over a weighted average period of 1.6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Under the 2023 Plan, the Company’s Board may grant equity-based incentive awards to employees, consultants and other service providers of the Company and its affiliates within the meaning of Section 422 of the Internal Revenue Code of 1986, as amended. Initially, 5,585,008 shares were authorized under the 2023 Plan. In addition, the share reserve will automatically increase on January 1 of each year for a period of 10 years, commencing on January 1, 2024, and ending on January 1, 2033, in an amount equal to (1) five percent of the total number of shares of the fully diluted Common Stock determined on December 31 of the preceding year, or (2) a lesser number of shares of Common Stock determined by our Board prior to January 1 of a given year. On January 1, 2024, the authorized shares under the 2023 Plan increased by 2,419,316 shares to 8,004,324. During the three months ended March 31, 2024, we granted 1,316,093 options with a weighted average fair value of $5.36, and 498,255 restricted stock units with a weighted average fair value of $9.46.</w:t>
      </w:r>
    </w:p>
    <w:p>
      <w:pPr>
        <w:spacing w:after="0" w:line="15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we had unrecognized compensation expense of $12,852 and $4,547, respectively, for options and RSUs granted under the 2023 Plan. The balance at March 31, 2024, will be recognized over a weighted average period of 3.5 years.</w:t>
      </w:r>
    </w:p>
    <w:p>
      <w:pPr>
        <w:spacing w:after="0" w:line="13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Board, or a duly authorized committee thereof, administers the 2023 Plan. Our Board may also delegate to one or more of our officers the authority to, among other things, (1) designate employees (other than officers) to receive specified stock awards and (2) determine the number of shares subject to such stock awards. Under the 2023 Plan, the Board has the authority to determine award recipients, grant dates, the numbers and types of stock awards to be granted, the applicable fair market value and exercise price, and the provisions of each stock award, including the exercise period and the vesting schedule applicable to a stock award, subject to the limitations of the 2023 Plan.</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40" w:firstLine="324"/>
        <w:spacing w:after="0" w:line="422" w:lineRule="auto"/>
        <w:rPr>
          <w:sz w:val="20"/>
          <w:szCs w:val="20"/>
          <w:color w:val="auto"/>
        </w:rPr>
      </w:pPr>
      <w:r>
        <w:rPr>
          <w:rFonts w:ascii="Times New Roman" w:cs="Times New Roman" w:eastAsia="Times New Roman" w:hAnsi="Times New Roman"/>
          <w:sz w:val="18"/>
          <w:szCs w:val="18"/>
          <w:color w:val="auto"/>
        </w:rPr>
        <w:t xml:space="preserve">Stock options are granted with an exercise price no less than 100% of the estimated fair value of a share of Common Stock at the date of grant. </w:t>
      </w:r>
      <w:r>
        <w:rPr>
          <w:rFonts w:ascii="Times New Roman" w:cs="Times New Roman" w:eastAsia="Times New Roman" w:hAnsi="Times New Roman"/>
          <w:sz w:val="18"/>
          <w:szCs w:val="18"/>
          <w:b w:val="1"/>
          <w:bCs w:val="1"/>
          <w:color w:val="auto"/>
        </w:rPr>
        <w:t>Employee Stock Purchase Plan</w:t>
      </w:r>
    </w:p>
    <w:p>
      <w:pPr>
        <w:spacing w:after="0" w:line="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maintain an Employee Stock Purchase Plan ("ESPP"), which provides our eligible employees with an opportunity to purchase shares of Common Stock, to assist us in retaining the services of eligible employees, to secure and retain the services of new employees and to provide incentives for such persons to exert maximum efforts for our success. The ESPP became active in 2024. There are 2,350,530 shares of Common Stock reserved for issuance under the ESPP. The number of shares of Common Stock reserved for issuance under the ESPP will automatically increase on January 1 of each year for a period of up to ten years, beginning on January 1, 2024, and continuing through and including January 1, 2033, by an amount equal to the lesser of (a) two percent (2%) of the total number of shares of the Fully Diluted Common Stock determined on December 31 of the preceding year, and (b) 200% of the Initial Share Reserve. On January 1, 2024, the authorized shares under ESPP increased by 954,278 shares to 2,350,530.</w:t>
      </w:r>
    </w:p>
    <w:p>
      <w:pPr>
        <w:spacing w:after="0" w:line="14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(18)</w:t>
        <w:tab/>
        <w:t>Commitments And Contingencies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have certain contingent liabilities, including litigation, which arise in the ordinary course of its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condensed consolidated financial position, results of operations, or cash flows.</w:t>
      </w:r>
    </w:p>
    <w:p>
      <w:pPr>
        <w:spacing w:after="0" w:line="15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Registration Rights Agreement, subject to certain requirements and customary conditions, the Company also grants piggyback registration rights and demand registration rights to the parties thereto, will pay certain expenses related to such registrations and will indemnify the parties thereto against certain liabilities related to such registrations. The Company’s registration obligations under the Amended and Restated Registration Rights Agreement will terminate with respect to any party thereto on the date that such party no longer holds any Registrable Securities (as defined in the Amended and Restated Registration Rights Agreement). The Amended and Restated Registration Rights Agreement does not contain liquidated damages or other cash settlement provisions resulting from delays in registering the Company’s securities.</w:t>
      </w:r>
    </w:p>
    <w:p>
      <w:pPr>
        <w:spacing w:after="0" w:line="14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are not a party to any legal proceedings, and we are not aware of any claims or actions pending or threatened against us. In the future, we might from time to time become involved in litigation relating to claims arising from our ordinary course of business.</w:t>
      </w:r>
    </w:p>
    <w:p>
      <w:pPr>
        <w:spacing w:after="0" w:line="200" w:lineRule="exact"/>
        <w:rPr>
          <w:sz w:val="20"/>
          <w:szCs w:val="20"/>
          <w:color w:val="auto"/>
        </w:rPr>
      </w:pPr>
    </w:p>
    <w:p>
      <w:pPr>
        <w:spacing w:after="0" w:line="34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the related notes thereto included elsewhere in this Quarterly Report on Form 10-Q ("Quarterly Report"). Information included in this Form 10-Q contains forward-looking statements within the meaning of Section 27A of the Securities Act of 1933, as amended (“Securities Act”), and Section 21E of the Securities Exchange Act of 1934, as amended (“Exchange Act”). This information may involve known and unknown risks, uncertainties and other factors which may cause the actual results, performance or achievements of TriSalus Life Sciences, Inc., (the “Company”), to be materially different from future results, performance or achievements expressed or implied by any forward-looking statements. Forward-looking statements, which involve assumptions and describe future plans, strategies and expectations of the Company, are generally identifiable by use of the words “may,” “will,” “should,” “expect,” “anticipate," “estimate,” “believe,” “intend,” or “project” or the negative of these words or other variations on these words or comparable terminology. These forward-looking statements are based on assumptions that may be incorrect, and there can be no assurance that these projections included in these forward-looking statements will come to pass. Actual results of the Company could differ materially from those expressed or implied by the forward-looking statements as a result of various factors. Except as required by applicable laws, the Company has no obligation to update publicly any forward-looking statements for any reason, even if new information becomes available or other events occur in the future.</w:t>
      </w:r>
    </w:p>
    <w:p>
      <w:pPr>
        <w:spacing w:after="0" w:line="16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For purposes of this discussion, “TriSalus,” “the Company,” “we,” “us” or “our” refer to TriSalus Life Sciences, Inc. (which changed its name to TriSalus Operating Life Sciences, Inc. in connection with the Business Combination) and its subsidiaries prior to the consummation of the Business Combination and TriSalus Life Sciences, Inc. (formerly known as MedTech Acquisition Corporation) after the consummation of the Business Combination, unless the context otherwise requires.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right="220" w:firstLine="324"/>
        <w:spacing w:after="0" w:line="275" w:lineRule="auto"/>
        <w:rPr>
          <w:sz w:val="20"/>
          <w:szCs w:val="20"/>
          <w:color w:val="auto"/>
        </w:rPr>
      </w:pPr>
      <w:r>
        <w:rPr>
          <w:rFonts w:ascii="Times New Roman" w:cs="Times New Roman" w:eastAsia="Times New Roman" w:hAnsi="Times New Roman"/>
          <w:sz w:val="17"/>
          <w:szCs w:val="17"/>
          <w:color w:val="auto"/>
        </w:rPr>
        <w:t>We are engaged in the research, development, and sales of innovative drug delivery technology and immune-oncology therapeutics to improve outcomes in difficult to treat liver and pancreatic cancer. Our technology is utilized in the delivery of our therapeutics and administered by interventional radiologists. We are developing and marketing two product lines: Pressure Enabled Drug Delivery (“PEDD”) infusion systems, in use today, and an investigational agent, called nelitolimod which shows potential to enhance immune system response in the treatment of hepatocellular cancer, pancreatic cancer and other solid tumors in the liver. The combination of our PEDD technology with nelitolimod is focused on solving the two main barriers in the</w:t>
      </w:r>
    </w:p>
    <w:p>
      <w:pPr>
        <w:spacing w:after="0" w:line="1" w:lineRule="exact"/>
        <w:rPr>
          <w:sz w:val="20"/>
          <w:szCs w:val="20"/>
          <w:color w:val="auto"/>
        </w:rPr>
      </w:pPr>
    </w:p>
    <w:p>
      <w:pPr>
        <w:ind w:right="480"/>
        <w:spacing w:after="0" w:line="297" w:lineRule="auto"/>
        <w:rPr>
          <w:sz w:val="20"/>
          <w:szCs w:val="20"/>
          <w:color w:val="auto"/>
        </w:rPr>
      </w:pPr>
      <w:r>
        <w:rPr>
          <w:rFonts w:ascii="Times New Roman" w:cs="Times New Roman" w:eastAsia="Times New Roman" w:hAnsi="Times New Roman"/>
          <w:sz w:val="18"/>
          <w:szCs w:val="18"/>
          <w:color w:val="auto"/>
        </w:rPr>
        <w:t>tumor microenvironment that inhibits the success of immunotherapy. The first barrier (mechanical) is comprised of high intratumoral pressure within tumors that limits drug uptake and the second barrier (biological) is the reversal of intratumoral immunosuppression.</w:t>
      </w:r>
    </w:p>
    <w:p>
      <w:pPr>
        <w:spacing w:after="0" w:line="6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2020, we launched TriNav™, which is our newest liver therapy delivery device with SmartValve technology for our proprietary PEDD approach. Current sales consist of the TriNav Infusion System, introduced in 2020. In 2020, we gained transitional pass-through payments (“TPT”) approval from the Centers for Medicare &amp; Medicaid Services (“CMS”), which allows hospitals to cover the cost of using TriNav. The approval began in January 2020 and expired at the end of 2023. On December 14, 2023, CMS created a permanent New Technology Healthcare Common Procedure Coding System (HCPCS) code for procedures involving the TriNav® Infusion System. This new code became effective on January 1, 2024, and may be reported by hospital outpatient departments (HOPDs) and ambulatory surgical centers (ASCs) for the Company to obtain reimbursement for TriNav device.</w:t>
      </w:r>
    </w:p>
    <w:p>
      <w:pPr>
        <w:spacing w:after="0" w:line="12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currently in our early stage of development and have yet to generate revenues sufficient to drive positive cash flows from operations. Beginning in 2020, we began a strategic transformation from a company focused solely on the sale of our infusion systems to a therapeutic company whereby our medical devices are marketed alongside the pharmaceutical drugs and other treatments that the devices deliver to patients. This transformation led us to acquire our first immune-oncology drug, nelitolimod, in July 2020, and to begin clinical development of nelitolimod for the treatment of liver and pancreatic cancers. If our clinical trials are successful, we anticipate submitting a New Drug Approval (“NDA”) request to the FDA no sooner than 2025, and assuming we receive FDA approval, commercial sales would begin thereafter, possibly in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48"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On November 11, 2022, Legacy TriSalus entered into an Agreement and Plan of Merger (the “Merger Agreement”) with MedTech Acquisition Corporation (“MTAC”) and MTAC Merger Sub, Inc., a wholly owned subsidiary of MTAC (“Merger Sub”), pursuant to which, Legacy TriSalus would merge with and into Merger Sub, with Legacy TriSalus surviving the merger and becoming a wholly owned subsidiary of MTAC (the “Business Combination”). The aggregate consideration payable to the stockholders of Legacy TriSalus was $220.0 million, payable in approximately 22,000,000 shares of MTAC common stock.</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August 8, 2023, the stockholders of MTAC approved the Business Combination, and the Business Combination closed on August 10, 2023. Pursuant to the Merger Agreement, 890,020,482 shares of Legacy TriSalus common stock (after conversion of all outstanding shares of Legacy TriSalus preferred stock and all in-the-money warrants) were exchanged for approximately 22,000,000 shares of MTAC common stock, reflecting an exchange ratio of approximately 0.02471853. All share and per share amounts of our common and preferred stock have been retrospectively adjusted for the exchange ratio in the following discussion.</w:t>
      </w:r>
    </w:p>
    <w:p>
      <w:pPr>
        <w:spacing w:after="0" w:line="1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Business Combination, we were deemed the accounting acquirer and are accounting for the Business Combination as a reverse recapitalization.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the section of this Quarterly Report on Form 10-Q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particular, our performance is affected by:</w:t>
      </w:r>
    </w:p>
    <w:p>
      <w:pPr>
        <w:spacing w:after="0" w:line="66" w:lineRule="exact"/>
        <w:rPr>
          <w:sz w:val="20"/>
          <w:szCs w:val="20"/>
          <w:color w:val="auto"/>
        </w:rPr>
      </w:pPr>
    </w:p>
    <w:p>
      <w:pPr>
        <w:ind w:left="660" w:right="280" w:hanging="328"/>
        <w:spacing w:after="0" w:line="26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continued acceptance and growth of TriNav in the marketplace</w:t>
      </w:r>
      <w:r>
        <w:rPr>
          <w:rFonts w:ascii="Times New Roman" w:cs="Times New Roman" w:eastAsia="Times New Roman" w:hAnsi="Times New Roman"/>
          <w:sz w:val="18"/>
          <w:szCs w:val="18"/>
          <w:color w:val="auto"/>
        </w:rPr>
        <w:t>. While we believe TriNav to be a superior technology for the delivery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therapies to tumors, particularly high-density tumors, there are other technologies with which we compete. Our ability to increase TriNav sales depends on the skills of our sales force and the willingness of the marketplace to use TriNav.</w:t>
      </w:r>
    </w:p>
    <w:p>
      <w:pPr>
        <w:spacing w:after="0" w:line="78" w:lineRule="exact"/>
        <w:rPr>
          <w:rFonts w:ascii="Times New Roman" w:cs="Times New Roman" w:eastAsia="Times New Roman" w:hAnsi="Times New Roman"/>
          <w:sz w:val="18"/>
          <w:szCs w:val="18"/>
          <w:color w:val="auto"/>
        </w:rPr>
      </w:pPr>
    </w:p>
    <w:p>
      <w:pPr>
        <w:ind w:left="660" w:hanging="328"/>
        <w:spacing w:after="0" w:line="252"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 xml:space="preserve">Our ability to maintain our current TriNav pricing and gross margins to help fund the rest of our activities. </w:t>
      </w:r>
      <w:r>
        <w:rPr>
          <w:rFonts w:ascii="Times New Roman" w:cs="Times New Roman" w:eastAsia="Times New Roman" w:hAnsi="Times New Roman"/>
          <w:sz w:val="18"/>
          <w:szCs w:val="18"/>
          <w:color w:val="auto"/>
        </w:rPr>
        <w:t>Our current pricing allows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a substantial gross margin, which provides funds to support our growth and our research and development (“R&amp;D”) for both TriNav and nelitolimod. TriNav sells at a significant premium to competitive products. Our higher price was previously supported by the TPT payment program from CMS; however, the TPT authorization expired on December 31, 2023. In December 2023, CMS granted a New Technology HCPCS for both mapping and therapeutic procedures involving TriNav. This new code, HCPCS C9797, has been assigned to the Ambulatory Payment Classification (APC) 5194 - Level 4 Endovascular Procedures. The new code became effective on January 1, 2024, and may be reported by hospital outpatient departments and ambulatory surgical centers, but there can be no assurance that continuing reimbursement will be available at similar reimbursement rates or at all. 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promptly obtain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spacing w:after="0" w:line="81" w:lineRule="exact"/>
        <w:rPr>
          <w:rFonts w:ascii="Times New Roman" w:cs="Times New Roman" w:eastAsia="Times New Roman" w:hAnsi="Times New Roman"/>
          <w:sz w:val="20"/>
          <w:szCs w:val="20"/>
          <w:color w:val="auto"/>
        </w:rPr>
      </w:pPr>
    </w:p>
    <w:p>
      <w:pPr>
        <w:jc w:val="both"/>
        <w:ind w:left="660" w:right="100" w:hanging="328"/>
        <w:spacing w:after="0" w:line="26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success and cost of our clinical trials of nelitolimod</w:t>
      </w:r>
      <w:r>
        <w:rPr>
          <w:rFonts w:ascii="Times New Roman" w:cs="Times New Roman" w:eastAsia="Times New Roman" w:hAnsi="Times New Roman"/>
          <w:sz w:val="18"/>
          <w:szCs w:val="18"/>
          <w:color w:val="auto"/>
        </w:rPr>
        <w:t>. Nelitolimod is in Phase 1 human trials to determine if, when delivered via TriNav,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 and effective in treating certain cancers. As with all drug candidates, the cost of operating clinical trials can be substantial, with no guarantee that the trials will result in favorable data.</w:t>
      </w:r>
    </w:p>
    <w:p>
      <w:pPr>
        <w:spacing w:after="0" w:line="65" w:lineRule="exact"/>
        <w:rPr>
          <w:rFonts w:ascii="Times New Roman" w:cs="Times New Roman" w:eastAsia="Times New Roman" w:hAnsi="Times New Roman"/>
          <w:sz w:val="18"/>
          <w:szCs w:val="18"/>
          <w:color w:val="auto"/>
        </w:rPr>
      </w:pPr>
    </w:p>
    <w:p>
      <w:pPr>
        <w:ind w:left="660" w:right="660" w:hanging="328"/>
        <w:spacing w:after="0" w:line="28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FDA approval of nelitolimod for sale</w:t>
      </w:r>
      <w:r>
        <w:rPr>
          <w:rFonts w:ascii="Times New Roman" w:cs="Times New Roman" w:eastAsia="Times New Roman" w:hAnsi="Times New Roman"/>
          <w:sz w:val="18"/>
          <w:szCs w:val="18"/>
          <w:color w:val="auto"/>
        </w:rPr>
        <w:t>. Our clinical trials are still in early stages, and there is no certainty that we will generate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data or that, upon review, the FDA will approve nelitolimod for sale.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 Sales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sold 350,000 shares of common stock under the SEPA, raising $3.1 million. In April 2024, we sold 400,000 shares of common stock under the SEPA, raising $3.6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April 2024 (the "OrbiMed Closing Date"), we entered into the Credit Agreement, OrbiMed, a healthcare investment firm, and certain of its affiliates to support the execution of strategic expansion plans, fuel continued growth, and provide financial flexibility.</w:t>
      </w:r>
    </w:p>
    <w:p>
      <w:pPr>
        <w:spacing w:after="0" w:line="10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up to $50.0 million in senior secured term debt, of which (i) $25.0 million was made available to us on the Closing Date (the “Initial Commitment Amount”) and (ii) up to $10.0 million will be made available to us on or prior to June 30, 2025 and up to $15.0 million will be made available to us on or prior to December 31, 2025, in each case, subject to the satisfaction of certain revenue requirements (such additional</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commitment amounts, the “Delayed Draw Commitment Amount”). The term loan will mature on April 30, 2029. On April 30, 2024, we borrowed the Initial Commitment Amount, resulting in gross proceeds of $25.0 million.</w:t>
      </w:r>
    </w:p>
    <w:p>
      <w:pPr>
        <w:spacing w:after="0" w:line="94"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In connection with the closing of the Initial commitment Amount, we also issued OrbiMed a warrant to purchase 130,805 shares of our common stock, with an exercise price of $9.5562. The Initial OrbiMed Warrant expires on April 30, 2031. On each of the closings of the Delayed Draw Commitment Amounts, if any, we agreed to issue additional warrants to purchase a number of shares of our common stock determined by dividing 5% of the applicable Delayed Draw Commitment Amount by the 10-day volume weighted average sale price of our common stock as of the issue date. The Subsequent Warrants will expire seven years from each applicable issuance date, if any. In connection with the OrbiMed Warrants, we entered into a Registration Rights Agreement with OrbiMed, whereby OrbiMed will have certain customary registration rights with respect to the shares of common stock underlying the OrbiMed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0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sets forth certain components of our condensed consolidated statements of operations as well as factors that impact those items.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currently operate in one reportable segment and revenue is generated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w:t>
      </w:r>
    </w:p>
    <w:p>
      <w:pPr>
        <w:spacing w:after="0" w:line="9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primary end-user customers for our products are hospitals, clinics, and physicians. We had certain arrangements with our distributors under which they purchase our products and then resell them in geographic markets where we do not have a sales presence. These arrangements provided for a discount on the invoice when the distributor resold our units at our normal sales price. Such sales are recorded net of the discounts. All such arrangements were terminated on or before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goods sold primarily consists of raw materials, direct labor and manufacturing overhead costs related to production of TriNav.</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89"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goods sold. Gross margin is gross profit expressed as a percentage of revenue. Our gross margin and overall profitability may in the future fluctuate from period to period based on several factors, such as the innovation initiatives we undertake, manufacturing costs and efficiencies, and obtaining a permanent reimbursement code for our product.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consist of R&amp;D, sales and marketing and general and administrative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R&amp;D expenses include engineering, regulatory, pre-clinical and clinical activities.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0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R&amp;D activities account for a significant portion of our operating expenses. We expect our R&amp;D expenses to increase significantly in future periods as we continue to implement our business strategy, which includes advancing our manufacturing technologies into and through clinical development of nelitolimod, expanding our R&amp;D efforts, including hiring additional personnel to support our R&amp;D efforts, and seeking regulatory approvals for our drug candidates that successfully complete clinical trials. In addition, drug candidates in later stages of clinical development generally incur higher development costs than those in earlier stages of clinical development, primarily due to the increased size and duration of later-stage clinical trials. Accordingly, although we expect our R&amp;D expenses to</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increase as nelitolimod advances into later stages of clinical development, we do not believe that it is possible at this time to accurately project total program-specific expenses through to commercialization.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 consists primarily of salaries, commissions, travel and related business expenses for our sales force, which is principally engaged in physician education regarding the features and benefits of TriNav. We also incur expenses for attendance at medical society meetings, product promotions and marketing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4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includes executive management, finance, information technology, human resources, business development, legal, one-time costs associated with the Business Combination, and the administrative and professional costs associated with those activities. General and administrative costs also include corporate facility costs, including rent, utilities, depreciation, and maintenance, not otherwise included in production or R&amp;D expenses, as well as regulatory and professional fees for legal, patent, accounting and other consulting services. We also record public company costs in general and administrative, including board expenses, insurance, audit fees, NASDAQ fees, and costs associated with public company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Equity Issuance</w:t>
      </w:r>
    </w:p>
    <w:p>
      <w:pPr>
        <w:spacing w:after="0" w:line="16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Loss on equity issuance represents the excess of the fair value of the warrants to purchase Series B-3 preferred stock and the Series B-2 tranche liabilities over the proceeds received from the Initial Preferred Stock Financing and subsequent tranche closings.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Earnout Liability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earnout liability represents the change recorded as a result of remeasurement of the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SEPA, Tranche and Warrant Liabilities</w:t>
      </w:r>
    </w:p>
    <w:p>
      <w:pPr>
        <w:spacing w:after="0" w:line="148"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Change in fair value of SEPA, warrant and tranche liabilities represents the change in fair value of the SEPA, the warrants to purchase Series B-3 preferred stock and the Series B-2 tranche liabilities at each reporting period that were issued as part of the Initial Preferred Stock Financing, and the change in fair value of the SPAC Warrants we assumed in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dividend related to Series B-2 preferred stock down round provision</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deemed dividend represents the value attributed to the increase in shares of Legacy TriSalus common stock that preferred stockholders received as a result of the Series B-2 preferred stock financing rounds in October 2022, March 2023 and June 2023, which were deemed to be down rounds and triggered the anti-dilution provisions associated with our preferred stock. The resulting increase in value of the preferred stock was deemed to be a dividend to the preferred stockholders and was recognized as a non-cash adjustment to additional paid-in-capital.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p>
      <w:pPr>
        <w:spacing w:after="0" w:line="16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our condensed consolidated statements of operations data for each of the periods indicated (in thousands):</w:t>
      </w:r>
    </w:p>
    <w:p>
      <w:pPr>
        <w:sectPr>
          <w:pgSz w:w="11900" w:h="16838" w:orient="portrait"/>
          <w:cols w:equalWidth="0" w:num="1">
            <w:col w:w="11220"/>
          </w:cols>
          <w:pgMar w:left="320" w:top="135" w:right="359" w:bottom="1440" w:gutter="0" w:footer="0" w:header="0"/>
        </w:sectPr>
      </w:pPr>
    </w:p>
    <w:p>
      <w:pPr>
        <w:spacing w:after="0" w:line="257"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41910</wp:posOffset>
            </wp:positionV>
            <wp:extent cx="17659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62" w:lineRule="exact"/>
        <w:rPr>
          <w:sz w:val="20"/>
          <w:szCs w:val="20"/>
          <w:color w:val="auto"/>
        </w:rPr>
      </w:pPr>
    </w:p>
    <w:p>
      <w:pPr>
        <w:ind w:left="5820"/>
        <w:spacing w:after="0"/>
        <w:tabs>
          <w:tab w:leader="none" w:pos="7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Percent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41910</wp:posOffset>
            </wp:positionV>
            <wp:extent cx="19462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6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6" w:lineRule="exact"/>
        <w:rPr>
          <w:sz w:val="20"/>
          <w:szCs w:val="20"/>
          <w:color w:val="auto"/>
        </w:rPr>
      </w:pPr>
    </w:p>
    <w:p>
      <w:pPr>
        <w:sectPr>
          <w:pgSz w:w="11900" w:h="16838" w:orient="portrait"/>
          <w:cols w:equalWidth="0" w:num="2">
            <w:col w:w="8040" w:space="720"/>
            <w:col w:w="2460"/>
          </w:cols>
          <w:pgMar w:left="320" w:top="135" w:right="35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100.0 %</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15.0</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r>
      <w:tr>
        <w:trPr>
          <w:trHeight w:val="27"/>
        </w:trPr>
        <w:tc>
          <w:tcPr>
            <w:tcW w:w="5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85.0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77.8</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90.7</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189.1</w:t>
            </w: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103.6</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108.9</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71.7</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119.0</w:t>
            </w:r>
          </w:p>
        </w:tc>
      </w:tr>
      <w:tr>
        <w:trPr>
          <w:trHeight w:val="237"/>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(181.0)</w:t>
            </w:r>
          </w:p>
        </w:tc>
        <w:tc>
          <w:tcPr>
            <w:tcW w:w="11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(339.2)</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equity issuance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(49.1)</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Extinguishment of tranche liability</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(881)</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SEPA and warrant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39.0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81.1</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4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(61.8)</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(204.7)</w:t>
            </w:r>
          </w:p>
        </w:tc>
        <w:tc>
          <w:tcPr>
            <w:tcW w:w="11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(277.2)</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(204.7)%</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7"/>
        </w:trPr>
        <w:tc>
          <w:tcPr>
            <w:tcW w:w="5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52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Deemed dividend related to Series B-2 preferred stock down round</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1"/>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Undeclared dividends on Series A preferred stock</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(217.1)%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Revenue increased by $3.5 million or 116.4% for the three months ended March 31, 2024, as compared to the three months ended March 31, 2023. The increase in revenue was due to an increase of $3.5 million in units of TriNav sold as our launch of the product, which began in 2020, recovered from the impact of the COVID-19 pandemic.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Cost of goods sold increased by $0.3 million, or 46.7%, for the three months ended March 31, 2024, as compared to the three months ended March 31, 2023. The increase in cost of goods sold was primarily due to higher production volumes to support our increased revenue.</w:t>
      </w:r>
    </w:p>
    <w:p>
      <w:pPr>
        <w:ind w:right="140" w:firstLine="324"/>
        <w:spacing w:after="0" w:line="234" w:lineRule="auto"/>
        <w:rPr>
          <w:sz w:val="20"/>
          <w:szCs w:val="20"/>
          <w:color w:val="auto"/>
        </w:rPr>
      </w:pPr>
      <w:r>
        <w:rPr>
          <w:rFonts w:ascii="Times New Roman" w:cs="Times New Roman" w:eastAsia="Times New Roman" w:hAnsi="Times New Roman"/>
          <w:sz w:val="18"/>
          <w:szCs w:val="18"/>
          <w:color w:val="auto"/>
        </w:rPr>
        <w:t>Gross profit increased by $3.2 million or 136.3%, and gross margin increased to 85.0% from 77.8% for the three months ended March 31, 2024, as compared to the three months ended March 31, 2023. The increase in gross profit was due primarily to the increase in sales volume. The increase in gross margin percentage was driven principally by increased manufacturing efficiencies due to improved production yields and additional production volume absorbing fixed overhead costs.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R&amp;D expenses increased by $0.2 million, or 3.8%, for the three months ended March 31, 2024, as compared to the three months ended March 31, 2023. The increase was primarily driven by a $0.8 million increase in headcount-related expenses, a $0.3 million increase in patent expenses, and a $0.1 million increase in facility expenses, partially offset by a $1.0 million reduction in expenses for our three clinical trials.</w:t>
      </w:r>
    </w:p>
    <w:p>
      <w:pPr>
        <w:sectPr>
          <w:pgSz w:w="11900" w:h="16838" w:orient="portrait"/>
          <w:cols w:equalWidth="0" w:num="1">
            <w:col w:w="11220"/>
          </w:cols>
          <w:pgMar w:left="320" w:top="135" w:right="35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$3.4 million or 105.8%, for the three months ended March 31, 2024, as compared to the three months ended March 31, 2023. The increase was primarily driven by a $3.4 million increase for payroll and travel expenses due to increased headcount of sales and marketing personnel to support our sales of TriNav.</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4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$1.1 million, or 30.3%, for the three months ended March 31, 2024, as compared to the three months ended March 31, 2023. The increase was primarily due to a $1.0 million increase in headcount-related expenses, including travel, and a $0.1 million increase in facility and other expenses.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Interest income increased by $0.1 million, or 162.9% for the three months ended March 31, 2024, as compared to the three months ended March 31, 2023. The increase was due to additional interest received from the investment of our excess cash in short-term money market funds for three months ended March 31, 2024.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Tranche and Warrant Liabilities</w:t>
      </w:r>
    </w:p>
    <w:p>
      <w:pPr>
        <w:spacing w:after="0" w:line="14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tranche and warrant liabilities reported in three months ended March 31, 2023, related to gains from the exercise of warrants to purchase series B-3 preferred stock of $1.6 million and a gain from the decrease in tranche liabilities of $0.8 million. The change in fair value of tranche and warrant liabilities reported in the three months ended March 31, 2024, was related to a reduction of warrant liabilities of $2.7 million and an increase of the SEPA liability of $0.2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Earnout Liabilities</w:t>
      </w:r>
    </w:p>
    <w:p>
      <w:pPr>
        <w:spacing w:after="0" w:line="16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earnout liability resulted in a loss of $4.0 million in the three months ended March 31, 2024, due to the increase in the market price of the underlying common stock. There was no earnout liability for the three months ended March 31,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Net</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Other income and expense, net, increased by $0.1 million, or 705.3%, for the three months ended March 31, 2024, as compared to the three months ended March 31, 2023, primarily due to additional franchise taxes paid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7"/>
          <w:szCs w:val="17"/>
          <w:color w:val="auto"/>
        </w:rPr>
        <w:t>Since inception, we have incurred significant net losses and expect to continue to incur net losses for the foreseeable future due to the investments we will continue to make in R&amp;D and sales and marketing, and due to additional general and administrative costs we expect to incur as a public company. We incurred net losses of $13.2 million for the three months ended March 31, 2024. We had cash and cash equivalents of approximately $4.0 million at March 31, 2024. Since inception, we have financed operations primarily through the issuance and sales of common and preferred stock, convertible notes, and term loans. We are still in our early stages of development and have yet to generate revenues sufficient to fund cash flows from operations. Our ability to fund future operations and execute our long-term business plan and strategy, including our transformation into a therapeutics company, will require that we raise additional capital through a combination of securities offerings, debt financing, collaborations, strategic alliances and licensing arrangements. There can be no assurance that we will be able to raise such additional financing on satisfactory terms. If additional capital is not secured when required, we may need to delay or curtail our operations until such funding is received. If we cannot expand our operations or otherwise capitalize on our business opportunities because we lack sufficient capital, our business, financial condition and results of operations could be materially adversely affected.</w:t>
      </w:r>
    </w:p>
    <w:p>
      <w:pPr>
        <w:spacing w:after="0" w:line="13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we raised $3.1 million from the sale of 350,000 shares of common stock under the SEPA. In April 2024, we sold 400,000 shares of common stock under the SEPA, raising $3.6 million. In addition, in April 2024, we entered into the Credit Agreement providing for up to $50.0 million in senior secured term debt, of which we immediately drew $25.0 million, before expenses, Unless we are able to secure additional capital on favorable terms, we anticipate will have to further rely on the SEPA to continue to fund our operations. We expect that our existing cash and cash equivalents, along with the proceeds from the Initial Commitment Amount we drew under the Credit Agreement, will not be sufficient to fund our projected liquidity</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requirements for at least the next 12 months from the date of this Quarterly Report. If we are able to achieve certain targets specified in the Credit Agreement and are then able to draw the remainder of the funds available, and if market conditions allow us to sell additional shares under the SEPA, we believe we can fund our operations through the end of 2025.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Quarterly Report. See also “Funding Requirements” below.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2024, and March 31, 2023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cash from operating, investing, and financing activities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0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r>
      <w:tr>
        <w:trPr>
          <w:trHeight w:val="26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1"/>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6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net cash used in operating activities was $10.9 million. The net cash used in operating activities consisted of net loss of $13.2 million, adjusted for non-cash charges totaling $2.8 million, primarily related to a loss on the adjustment of the fair value of the contingent earnout liability of $4.0 million, depreciation of $0.2 million and share-based compensation of $1.1 million, partially offset by a gain on the adjustment of the fair value of warrants to purchase common stock of $2.5 million. Net operating assets and liabilities decreased $0.5 million, due primarily to an increase in accounts receivable and inventory, an increase in prepaid expenses, and a decrease in accounts payable.</w:t>
      </w:r>
    </w:p>
    <w:p>
      <w:pPr>
        <w:spacing w:after="0" w:line="11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2023, net cash used in operating activities was $10.5 million. The net cash used in operating activities consisted of net loss of $8.3 million, adjusted for non-cash charges totaling $1.6 million, primarily related to a gain from the change in fair value of warrant liabilities of $2.4 million, partially offset by a loss on equity issuance of $1.5 million, depreciation and amortization of $0.2 million and stock-based compensation expense of $0.1 million. In addition, there was a net increase of $0.7 million in our net operating assets and liabilities. The increase in our net operating assets and liabilities was driven by an increase in prepaid expenses of $0.3 million and inventory of $0.3 million, and a decrease in trade payable, accrued expenses and other current liabilities of $0.0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60"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$0.1 million for the three months ended March 31, 2024, was primarily due to purchases of property and equipment of $0.1 million.</w:t>
      </w:r>
    </w:p>
    <w:p>
      <w:pPr>
        <w:spacing w:after="0" w:line="8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$0.1 million for the three months ended March 31, 2023, was primarily due to payments to acquire or maintain intellectual property.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4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$3.1 million for the three months ended March 31, 2024, consisted of proceeds from the sale of common stock under the SEPA.</w:t>
      </w:r>
    </w:p>
    <w:p>
      <w:pPr>
        <w:spacing w:after="0" w:line="94" w:lineRule="exact"/>
        <w:rPr>
          <w:sz w:val="20"/>
          <w:szCs w:val="20"/>
          <w:color w:val="auto"/>
        </w:rPr>
      </w:pPr>
    </w:p>
    <w:p>
      <w:pPr>
        <w:ind w:right="280" w:firstLine="324"/>
        <w:spacing w:after="0" w:line="312" w:lineRule="auto"/>
        <w:rPr>
          <w:sz w:val="20"/>
          <w:szCs w:val="20"/>
          <w:color w:val="auto"/>
        </w:rPr>
      </w:pPr>
      <w:r>
        <w:rPr>
          <w:rFonts w:ascii="Times New Roman" w:cs="Times New Roman" w:eastAsia="Times New Roman" w:hAnsi="Times New Roman"/>
          <w:sz w:val="17"/>
          <w:szCs w:val="17"/>
          <w:color w:val="auto"/>
        </w:rPr>
        <w:t>Net cash provided by financing activities of $8.0 million for the three months ended March 31, 2023, consisted principally of proceeds from the exercise of warrants to purchase Series B-3 preferred stock of $4.7 million and proceeds from the issuance of Series B-2 preferred stock of $3.2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4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of research, development and clinical expenses related to our lead product candidate nelitolimod , and preclinical programs, sales and marketing expenses related to the growth of TriNav, as well as general and administrative expenses. We plan to advance the development of nelitolimod , initiate new research and pre-clinical development efforts and seek marketing approval for product candidates that we successfully develop. If we obtain approval for our product candidates, we expect to incur commercialization expenses, which may be significant, related to establishing sales, marketing, manufacturing</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capabilities, distribution and other commercial infrastructure to commercialize such products. Accordingly, we will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war in Ukraine and conflicts in the Middle East.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w:t>
      </w:r>
    </w:p>
    <w:p>
      <w:pPr>
        <w:spacing w:after="0" w:line="11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also expect to continue to incur significant expenses in connection with our ongoing activities related to TriNav, including sales and marketing expenses and expenditures to support expansion of our production capacity to support our expected sales growth. Our future capital requirements, both near and long-term, will depend on many 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nelitolimod by the FDA, including the potential for the FDA to require that we perform more studies and clinical trials than those that we currently expect; our ability to draw the Delayed Draw Commitment Amount if and when needed;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 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spacing w:after="0" w:line="168"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the price of our securities. Additionally, we are subject to a number of affirmative and restrictive covenants pursuant to the Credit Agreement, which limit or restrict our ability to take specific actions, such as incurring additional debt, making capital expenditures or declaring dividends.</w:t>
      </w:r>
    </w:p>
    <w:p>
      <w:pPr>
        <w:spacing w:after="0" w:line="10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2"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We will likely require additional capital in the near term in order to continue to fund our operations through one or a combination of securities offerings, debt financings, collaborations, strategic alliances and/or licensing arrangements which may not be available on a timely basis, on favorable terms, or at all, and such capital, if obtained, may not be sufficient to enable us to continue to implement our long-term business strategy. See factors further described in the sections titled "Risk Factors" in this Quarterly Report.</w:t>
      </w:r>
    </w:p>
    <w:p>
      <w:pPr>
        <w:spacing w:after="0" w:line="13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continuation as a going concern is dependent on our ability to generate sufficient cash flows from operations and/or obtain additional capital through one or a combination of securities offerings, debt financings, collaborations, strategic alliances and/or licensing arrangements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As discussed in Note </w:t>
      </w:r>
      <w:r>
        <w:rPr>
          <w:rFonts w:ascii="Times New Roman" w:cs="Times New Roman" w:eastAsia="Times New Roman" w:hAnsi="Times New Roman"/>
          <w:sz w:val="18"/>
          <w:szCs w:val="18"/>
          <w:i w:val="1"/>
          <w:iCs w:val="1"/>
          <w:color w:val="auto"/>
        </w:rPr>
        <w:t>(1) Nature of Business</w:t>
      </w:r>
      <w:r>
        <w:rPr>
          <w:rFonts w:ascii="Times New Roman" w:cs="Times New Roman" w:eastAsia="Times New Roman" w:hAnsi="Times New Roman"/>
          <w:sz w:val="18"/>
          <w:szCs w:val="18"/>
          <w:color w:val="auto"/>
        </w:rPr>
        <w:t xml:space="preserve"> to our unaudited condensed</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accompanying this Quarterly Report, there is substantial doubt regarding our ability to continue as a going concern as of March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4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contractual obligations as of March 31, 2024, include lease obligations of $1.6 million, reflecting the minimum commitments for our principal administrative and production facility and other office spaces.</w:t>
      </w:r>
    </w:p>
    <w:p>
      <w:pPr>
        <w:spacing w:after="0" w:line="9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the Asset Purchase Agreement, dated July 31, 2020, between TriSalus and Dynavax, we have paid Dynavax $12 million as of March 31, 2024, and may be required to pay Dynavax up to an additional $158 million upon the achievement of certain development and regulatory milestones with respect to nelitolimod. Subject to obtaining marketing approval for nelitolimod, we will also be required to pay up to $80 million upon achieving certain commercial milestones once sales of nelitolimod have begun. The Dynavax Agreement also obligates us to pay low double-digit royalties based on potential future net sales of product containing nelitolimod compound on a product-by-product and country-by-country basis during the applicable royalty term. Such royalties are subject to reduction by up to 50% in certain circumstances.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0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significant accounting policies are summarized in Note </w:t>
      </w:r>
      <w:r>
        <w:rPr>
          <w:rFonts w:ascii="Times New Roman" w:cs="Times New Roman" w:eastAsia="Times New Roman" w:hAnsi="Times New Roman"/>
          <w:sz w:val="18"/>
          <w:szCs w:val="18"/>
          <w:i w:val="1"/>
          <w:iCs w:val="1"/>
          <w:color w:val="auto"/>
        </w:rPr>
        <w:t>(2) Summary of Significant Accounting Policies</w:t>
      </w:r>
      <w:r>
        <w:rPr>
          <w:rFonts w:ascii="Times New Roman" w:cs="Times New Roman" w:eastAsia="Times New Roman" w:hAnsi="Times New Roman"/>
          <w:sz w:val="18"/>
          <w:szCs w:val="18"/>
          <w:color w:val="auto"/>
        </w:rPr>
        <w:t xml:space="preserve"> in the unaudited condensed consolidated financial statements accompanying this Quarterly Report. There have been no significant changes in our critical accounting policies during the three months ended March 31, 2024, as compared to the critical accounting policies disclosed in Management's Discussion and Analysis of Financial Condition and Results of Operations included in our Annual Report on Form 10-K for the year ended December 31, 2023, filed with the SEC on April 11, 2024.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Additionally, changes in accounting estimates could occur in the future from period to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under Item 10(f)(1) of Regulation S-K of the Securities Act; we are not required to provide the information contemplated by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the Securities Exchange Act of 1934, as amended (the "Exchange Act") Rule 13a-15) that are designed to provide reasonable assurance that the information required to be disclosed by us in reports that we file or submit under the Exchange Act, is recorded, processed, summarized and reported within the time periods specified in the rules and forms promulgated by the Securities and Exchange Commission, and that such information is accumulated and communicated to our management, including our Chief Executive Officer and Chief Financial Officer, as appropriate to allow timely decisions regarding required disclosure. Because of the inherent limitations to the effectiveness of any system of disclosure controls and procedures, no evaluation of disclosure controls and procedures can provide absolute assurance that all control issues and instances of fraud, if any, with a company have been prevented or detected on a timely basis. Even disclosure controls and procedures determined to be effective can only provide reasonable assurance that their objectives are achieved.</w:t>
      </w:r>
    </w:p>
    <w:p>
      <w:pPr>
        <w:spacing w:after="0" w:line="12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we carried out an evaluation, under the supervision and with the participation of our management, including our Chief Executive Officer and Chief Financial Officer, of the effectiveness of the design and operation of our disclosure controls and procedures (as defined in Exchange Act Rule 13a-15(e)) pursuant to Rule 13a-15 of the Exchange Act. Based upon that evaluation, our Chief Executive Officer and Chief Financial Officer concluded that our disclosure controls and procedures are not effective at the reasonable assurance level.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management has identified material weaknesses in our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9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 material weakness is a deficiency or combination of deficiencies in internal control over financial reporting such that there is a reasonable possibility that a material misstatement of our condensed consolidated financial statements would not be prevented or detected on a timely basis. </w:t>
      </w:r>
      <w:r>
        <w:rPr>
          <w:rFonts w:ascii="Times New Roman" w:cs="Times New Roman" w:eastAsia="Times New Roman" w:hAnsi="Times New Roman"/>
          <w:sz w:val="18"/>
          <w:szCs w:val="18"/>
          <w:color w:val="231F20"/>
        </w:rPr>
        <w:t>In connection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audited consolidated financial statements for the years ended December 31, 2022 and December 31, 2023, management identified material weaknesses in our internal control over financial reporting with respect to:</w:t>
      </w:r>
    </w:p>
    <w:p>
      <w:pPr>
        <w:spacing w:after="0" w:line="72" w:lineRule="exact"/>
        <w:rPr>
          <w:sz w:val="20"/>
          <w:szCs w:val="20"/>
          <w:color w:val="auto"/>
        </w:rPr>
      </w:pPr>
    </w:p>
    <w:p>
      <w:pPr>
        <w:ind w:left="660" w:right="20" w:hanging="328"/>
        <w:spacing w:after="0" w:line="282" w:lineRule="auto"/>
        <w:tabs>
          <w:tab w:leader="none" w:pos="654"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lack of sufficient number of trained resources with the appropriate skills and knowledge and with assigned responsibilities and accountability for the design and operation of internal controls over:</w:t>
      </w:r>
    </w:p>
    <w:p>
      <w:pPr>
        <w:spacing w:after="0" w:line="53"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reporting,</w:t>
      </w:r>
    </w:p>
    <w:p>
      <w:pPr>
        <w:spacing w:after="0" w:line="117"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accounting for costs associated with the SEPA,</w:t>
      </w:r>
    </w:p>
    <w:p>
      <w:pPr>
        <w:spacing w:after="0" w:line="117"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costs, and</w:t>
      </w:r>
    </w:p>
    <w:p>
      <w:pPr>
        <w:spacing w:after="0" w:line="117"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R&amp;D accruals;</w:t>
      </w:r>
    </w:p>
    <w:p>
      <w:pPr>
        <w:spacing w:after="0" w:line="11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inadequate controls over the accounting and financial reporting for the Business Combination;</w:t>
      </w:r>
    </w:p>
    <w:p>
      <w:pPr>
        <w:spacing w:after="0" w:line="117" w:lineRule="exact"/>
        <w:rPr>
          <w:rFonts w:ascii="Times New Roman" w:cs="Times New Roman" w:eastAsia="Times New Roman" w:hAnsi="Times New Roman"/>
          <w:sz w:val="18"/>
          <w:szCs w:val="18"/>
          <w:color w:val="231F20"/>
        </w:rPr>
      </w:pPr>
    </w:p>
    <w:p>
      <w:pPr>
        <w:ind w:left="660" w:right="560" w:hanging="328"/>
        <w:spacing w:after="0" w:line="282" w:lineRule="auto"/>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inadequate internal controls over the valuation of the warrant and tranche rights and obligations and liabilities resulting from the series B-2 preferred stock financing; and</w:t>
      </w:r>
    </w:p>
    <w:p>
      <w:pPr>
        <w:spacing w:after="0" w:line="53"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inadequate design and implementation of controls over the conversion of data from our legacy equity management system to our new system, and over the assumptions used to calculate fair value of certain equity awards to support the recognition of stock compensation expense.</w:t>
      </w:r>
    </w:p>
    <w:p>
      <w:pPr>
        <w:spacing w:after="0" w:line="9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Our management developed a remediation plan, and we are taking steps to remediate each of the material weaknesses described above. The remediation plan included hiring four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Activities</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To the extent reasonably possible given our limited resources, we intend to take measures to cure the aforementioned weaknesses, including, but not limited to, increasing the capacity and quantity of our qualified financial personnel to ensure that accounting policies and procedures are consistent across the organization and that we have adequate control over our Exchange Act reporting disclosures. Our management developed a remediation plan, and we are taking steps to remediate each of the material weaknesses described above. The remediation plan included hiring four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 As of </w:t>
      </w:r>
      <w:r>
        <w:rPr>
          <w:rFonts w:ascii="Times New Roman" w:cs="Times New Roman" w:eastAsia="Times New Roman" w:hAnsi="Times New Roman"/>
          <w:sz w:val="18"/>
          <w:szCs w:val="18"/>
          <w:color w:val="000000"/>
        </w:rPr>
        <w:t>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we have hired two of the four additional trained resources with such requisite experience. The material weaknesses will be considered remediated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when our management designs and implements effective controls that operate for a sufficient period of time and management has concluded, through testing, that these controls are effective. Our management will continue to monitor the effectiveness of the remediation plan and will make the changes it determines to be appropriate. Although our management intends to complete this remediation process as quickly as practicable, it cannot at this time estimate how long it will take, and initiatives may not prove to be successful in remediating the material weaknesses.</w:t>
      </w:r>
    </w:p>
    <w:p>
      <w:pPr>
        <w:spacing w:after="0" w:line="12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material weaknesses discussed above will not be considered remediated until the applicable new or enhanced controls operate for a sufficient period of time and management has concluded, through testing that these controls are designed and operating effectively.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Other than the material weaknesses and remediation efforts described above, there have been no changes in our internal control procedures over financial reporting (as defined in Rules 13a-15(f) and 15d-15(f) of the Exchange Act) during the three months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proceedings against us that we believe could have a material adverse effect on our business, operating results, cash flows, or financial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8"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i w:val="1"/>
          <w:iCs w:val="1"/>
          <w:color w:val="231F20"/>
        </w:rPr>
        <w:t>Investing in our securities involves a high degree of risk. Before you make a decision to buy our securities, in addition to the risks and uncertainties discussed above under “Special Note Regarding Forward-Looking Statements,” you should carefully consider the risks and uncertainties described below together with all of the other information contained in this Quarterly Report, including the accompanying financial statements and related notes, and in the section titled “Management’s Discussion and Analysis of Financial Condition and Results of Operations.” If any of the following events or developments described as risks were to occur, either alone or taken together, our business, financial condition, results of operations and future growth prospects would likely be materially and adversely affected. In these circumstances, the market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 The risk factors set forth below with an asterisk (*) next to the title contain changes to the description of the risk factors associated with our business previously disclosed in Item 1A of our 2023 Annual Report on Form 10-K for the year ended December 31,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158" w:lineRule="exact"/>
        <w:rPr>
          <w:sz w:val="20"/>
          <w:szCs w:val="20"/>
          <w:color w:val="auto"/>
        </w:rPr>
      </w:pPr>
    </w:p>
    <w:p>
      <w:pPr>
        <w:ind w:right="6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a limited operating history, have incurred significant losses since our inception and anticipate incurring increasing expenses and continuing losses for the foreseeable future. *</w:t>
      </w:r>
    </w:p>
    <w:p>
      <w:pPr>
        <w:spacing w:after="0" w:line="7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We are a commercial-stage medical device and Phase I clinical-stage pharmaceutical company with a limited operating history upon which you can evaluate our business and prospects. We have incurred significant losses since inception, including net losses of $13.2 million </w:t>
      </w:r>
      <w:r>
        <w:rPr>
          <w:rFonts w:ascii="Times New Roman" w:cs="Times New Roman" w:eastAsia="Times New Roman" w:hAnsi="Times New Roman"/>
          <w:sz w:val="18"/>
          <w:szCs w:val="18"/>
          <w:color w:val="000000"/>
        </w:rPr>
        <w:t>for the three months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As of</w:t>
      </w:r>
      <w:r>
        <w:rPr>
          <w:rFonts w:ascii="Times New Roman" w:cs="Times New Roman" w:eastAsia="Times New Roman" w:hAnsi="Times New Roman"/>
          <w:sz w:val="18"/>
          <w:szCs w:val="18"/>
          <w:color w:val="000000"/>
        </w:rPr>
        <w:t xml:space="preserve"> March 31, 2024</w:t>
      </w:r>
      <w:r>
        <w:rPr>
          <w:rFonts w:ascii="Times New Roman" w:cs="Times New Roman" w:eastAsia="Times New Roman" w:hAnsi="Times New Roman"/>
          <w:sz w:val="18"/>
          <w:szCs w:val="18"/>
          <w:color w:val="231F20"/>
        </w:rPr>
        <w:t>, we had an accumulated deficit of $261.6 million. We anticipate incurring increasing research and development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general and administrative expenses related to our operations and transition into a public company for the foreseeable future. Losses will likely continue and may increase in the future as we continue to incur significant expenses related to drug development. We may find that these efforts are more expensive than we currently anticipate or that these efforts may not result in revenues, which would further increase our losses. In addition, we have limited experience and have not yet demonstrated an ability to successfully overcome many of the risks and uncertainties frequently encountered by clinical-stage pharmaceutical companies. If we are unable to achieve and/or sustain profitability, or if we are unable to achieve the growth that we expect from these efforts, it could have a material adverse effect on our business, financial condition or results of operations. Even if we achieve profitability in the future, we may not be able to sustain profitability in subsequent periods.</w:t>
      </w:r>
    </w:p>
    <w:p>
      <w:pPr>
        <w:spacing w:after="0" w:line="123"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Dynavax Agreement, entered into by Legacy TriSalus in connection with its purchase of nelitolimod, requires us to make potentially significant payments to Dynavax before we will have regulatory approval of nelitolimod and be able to generate revenue from sales of nelitolimod. *</w:t>
      </w:r>
    </w:p>
    <w:p>
      <w:pPr>
        <w:spacing w:after="0" w:line="11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Pursuant to the Dynavax Agreement, as of the date of this Quarterly Report on Form 10-Q, we have paid Dynavax $12 million to date and we may be required to pay Dynavax up to an additional $158 million upon the achievement of certain development and regulatory milestones with respect to nelitolimod. We will also be required to pay up to $80 million upon achieving certain commercial milestones once sales of nelitolimod have begun. The Dynavax Agreement also obligates us to pay royalties based on potential future net sales of products containing nelitolimod compound on a product-by-product and country-by-country basis during the applicable royalty term. Such royalties are subject to reduction by up to 50% in certain circumstances. Our failure to satisfy these payment obligations or other obligations under the Dynavax Agreement could result in penalties or litigation, which could have a material adverse effect on our business, financial condition, and results of operations.</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Until we are able to generate significant revenues or achieve profitability through product sales, we will require 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 *</w:t>
      </w:r>
    </w:p>
    <w:p>
      <w:pPr>
        <w:spacing w:after="0" w:line="200" w:lineRule="exact"/>
        <w:rPr>
          <w:sz w:val="20"/>
          <w:szCs w:val="20"/>
          <w:color w:val="auto"/>
        </w:rPr>
      </w:pPr>
    </w:p>
    <w:p>
      <w:pPr>
        <w:spacing w:after="0" w:line="35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Based on our sales, operations, and research and development plans, we expect that our existing cash and cash equivalents, along with the proceeds from the Initial Commitment Amount we drew under the Credit Agreement, will not be sufficient to fund operations for at least the next 12 months from the issuance date of this Quarterly Report. We expect to incur significant expenses and operating losses for the foreseeable future as we continue to invest in the commercialization of TriNav, clinical trials and other development, manufacturing and regulatory activities for TriNav, nelitolimod and our other product candidates, and discovery research and development. Based on our history of losses, we do not expect that we will be able to fund our longer-term capital and liquidity needs through our cash balances, operating cash flow, and the proceeds from the Credit Agreement alone.</w:t>
      </w:r>
    </w:p>
    <w:p>
      <w:pPr>
        <w:spacing w:after="0" w:line="10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Until we can generate a sufficient amount of revenue, we will need to finance our operations through strategic alliance and licensing arrangements and/or public or private debt and equity financings. We expect to need to obtain substantial additional funding in connection with our continuing operations and planned activities, including to continue the clinical development of, and seek regulatory approval for, nelitolimod in any indication, to expand our business, to respond to competitive pressure and to make acquisitions. The amount of capital we will need may change depending on, among other things, the success of our efforts to grow revenue, our efforts to continue to effectively manage expenses, the results of our research and development and clinical trials for product candidates, and costs arising from seeking regulatory approvals. We may not succeed in raising additional funds in a timely manner. The timing of our need for additional funds will depend on many factors, which are difficult to predict or may be outside of our control, including:</w:t>
      </w:r>
    </w:p>
    <w:p>
      <w:pPr>
        <w:spacing w:after="0" w:line="8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revenue received from sales of TriNav;</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and timing of research and development programs, including for additional Pressure- Enabled Drug Delivery (“PEDD”) devices;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access the Delayed Draw Commitment Amount if and when needed;</w:t>
      </w:r>
    </w:p>
    <w:p>
      <w:pPr>
        <w:spacing w:after="0" w:line="117" w:lineRule="exact"/>
        <w:rPr>
          <w:rFonts w:ascii="Times New Roman" w:cs="Times New Roman" w:eastAsia="Times New Roman" w:hAnsi="Times New Roman"/>
          <w:sz w:val="18"/>
          <w:szCs w:val="18"/>
          <w:color w:val="231F20"/>
        </w:rPr>
      </w:pPr>
    </w:p>
    <w:p>
      <w:pPr>
        <w:ind w:left="660" w:right="240" w:hanging="328"/>
        <w:spacing w:after="0" w:line="282" w:lineRule="auto"/>
        <w:tabs>
          <w:tab w:leader="none" w:pos="6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scope, progress, results, resources, time and costs of preclinical development, laboratory testing and clinical trials for our current and future product candidates;</w:t>
      </w:r>
    </w:p>
    <w:p>
      <w:pPr>
        <w:spacing w:after="0" w:line="5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establish collaborations on favorable terms, if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timing and outcome of the regulatory review and approval of nelitolimod and any future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of any milestone payments or royalties due to Dynavax;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of operating as a public company.</w:t>
      </w:r>
    </w:p>
    <w:p>
      <w:pPr>
        <w:spacing w:after="0" w:line="15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If our estimates and predictions relating to any of these factors are incorrect, we may need to modify our business plans. Conducting preclinical testing and clinical trials is a time-consuming, expensive and uncertain process that takes years to complete, and we may never generate the necessary data or results required to obtain regulatory approval and achieve product sales for nelitolimod or any of our product candidates. In addition, nelitolimod and any future product candidates, if approved, may not achieve commercial success.</w:t>
      </w:r>
    </w:p>
    <w:p>
      <w:pPr>
        <w:spacing w:after="0" w:line="11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231F20"/>
        </w:rPr>
        <w:t>Our ability to raise additional capital in the equity and debt markets, should we choose to do so, will depend upon many factors, including but not limited to, the market demand for our Common Stock, which itself is subject to a number of development and business risks and uncertainties, as well as investor perception of our creditworthiness and prospects. It will also depend on a number of factors, including market conditions, interest rates, our operating performance and our credit rating. If we are unable to raise funds on acceptable terms, we may not be able to execute our business plan, take advantage of future opportunities, or respond to competitive pressures or unanticipated requirements. This may seriously harm our business, financial condition and results of operations. If we are not able to continue operations, investors may suffer a complete loss of their investments in our securities.</w:t>
      </w:r>
    </w:p>
    <w:p>
      <w:pPr>
        <w:spacing w:after="0" w:line="10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If we raise additional funds through future issuances of equity or convertible debt securities, our existing stockholders could suffer significant dilution, and any new equity securities we issue could have rights, preferences and privileges superior to those of holders of Common Stock. Subject to limited exception, we are prohibited from incurring indebtedness without the prior written consent of OrbiMed pursuant to the Credit Agreement. Regardless, any debt financing that we may secure in the future could involve significant fixed payment obligations and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needed, we may need to delay, reduce the scope of or put on hold one or more research and development programs or commercialization efforts while we seek strategic alternatives,</w:t>
      </w:r>
    </w:p>
    <w:p>
      <w:pPr>
        <w:spacing w:after="0" w:line="200" w:lineRule="exact"/>
        <w:rPr>
          <w:sz w:val="20"/>
          <w:szCs w:val="20"/>
          <w:color w:val="auto"/>
        </w:rPr>
      </w:pPr>
    </w:p>
    <w:p>
      <w:pPr>
        <w:spacing w:after="0" w:line="3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and our ability to continue to support our business growth and to respond to business challenges and opportunities could be significantly impaired.</w:t>
      </w:r>
    </w:p>
    <w:p>
      <w:pPr>
        <w:spacing w:after="0" w:line="14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may also need to seek collaborators for nelitolimod and any future product candidates at an earlier stage than otherwise would be desirable or on terms that are less favorable than might otherwise be available or relinquish or license on unfavorable terms our rights to nelitolimod and any future product candidates in markets where we otherwise would seek to pursue development or commercialization ourselves. Any of the above events could significantly harm our business, prospects, financial condition, and results of operations and cause the price of Common Stock to decline. Further, our ability to raise additional capital and the interest rate of our term loans under the Credit Agreement may be adversely impacted by potential worsening global economic conditions, and the continued disruptions to and volatility in the credit and financial markets in the United States and worldwide resulting from geopolitical events, including the wars in Ukraine and the Middle East, and disruptions to the U.S. banking system due to bank failures, particularly in light of the recent events that have occurred with respect to Silicon Valley Bank, Signature Bank, and First Republic Bank. 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If we are unable to raise sufficient additional capital, we could be forced to curtail our planned operations and the pursuit of our growth strategy and business development efforts, which could jeopardize our ability to continue our business operations.</w:t>
      </w:r>
    </w:p>
    <w:p>
      <w:pPr>
        <w:spacing w:after="0" w:line="11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future capital needs may require us to sell additional equity or debt securities that may dilute our stockholders, adversely affect the market price of our Common Stock or introduce covenants that may restrict our operations. *</w:t>
      </w:r>
    </w:p>
    <w:p>
      <w:pPr>
        <w:spacing w:after="0" w:line="186"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231F20"/>
        </w:rPr>
        <w:t>We may seek additional capital through a combination of public and private equity offerings, debt financings, strategic partnerships and licensing arrangements. To the extent that we raise additional capital through the sale of equity or convertible debt securities, the ownership interest of existing stockholders will be diluted, such offerings may reduce the market price of the Common Stock, and the terms may include a preference on liquidating distributions or a preference on dividend payments liquidation or other preferences that adversely affect the rights of existing stockholders. Thus, existing holders of our Common Stock bear the risk of our future offerings reducing the market price of our Common Stock and diluting their shareholdings in us. For instance, in October 2023, we entered into a standby equity purchase agreement (the “SEPA”) with YA II PN, LTD., a Cayman Islands exempt limited partnership (“Yorkville”), whereby we have the right, but not the obligation, to sell to Yorkville up to $30.0 million of our Common Stock at our request, subject to terms and conditions specified in the SEPA. We have, and in the future may continue to, sell shares of our Common stock to Yorkville under the SEPA. In addition, the Credit Agreement with OrbiMed, requires us to make payments of interest and principal and subject us to a number of restrictive covenants, including among others, limitations on our ability to incur additional debt; create liens and encumbrances; merge, dissolve, merge, dissolve, liquidate or consolidate; make acquisitions, investments, advances or loans; dispose of or transfer assets; pay dividends or make other payments in respect of our capital stock; amend certain material documents; redeem or repurchase certain debt; engage in certain transactions with our affiliates; enter into certain restrictive agreements; and license intellectual property rights. 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w:t>
      </w:r>
    </w:p>
    <w:p>
      <w:pPr>
        <w:spacing w:after="0" w:line="12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Because our decision to issue additional equity or debt securities in any future offering or to enter into any strategic partnership or licensing arrangement will depend on market conditions and other factors beyond our control, we cannot predict or estimate the amount, timing, nature or success of our future capital raising efforts or partnership and licensing arrangements. In addition, a significant decline in the trading price of our Common Stock could potentially impact our ability to use equity securities as consideration in acquisitions. If we are unable to raise additional capital when needed, we may be required to delay, limit, reduce or terminate our product development or commercialization efforts, or grant rights to develop and market products or product candidates that we would otherwise develop and market ourselves.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generate sufficient cash to service our indebtedness or borrow additional funds pursuant to our Loan Facility. *</w:t>
      </w:r>
    </w:p>
    <w:p>
      <w:pPr>
        <w:spacing w:after="0" w:line="162"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231F20"/>
        </w:rPr>
        <w:t>We have entered into a Credit Agreement with OrbiMed, pursuant to which we may borrow up to $50 million in senior secured term debt. Our obligations under the Credit Agreement are secured by substantially all of our assets.</w:t>
      </w:r>
    </w:p>
    <w:p>
      <w:pPr>
        <w:spacing w:after="0" w:line="94" w:lineRule="exact"/>
        <w:rPr>
          <w:sz w:val="20"/>
          <w:szCs w:val="20"/>
          <w:color w:val="auto"/>
        </w:rPr>
      </w:pPr>
    </w:p>
    <w:p>
      <w:pPr>
        <w:ind w:right="400" w:firstLine="324"/>
        <w:spacing w:after="0" w:line="281" w:lineRule="auto"/>
        <w:rPr>
          <w:sz w:val="20"/>
          <w:szCs w:val="20"/>
          <w:color w:val="auto"/>
        </w:rPr>
      </w:pPr>
      <w:r>
        <w:rPr>
          <w:rFonts w:ascii="Times New Roman" w:cs="Times New Roman" w:eastAsia="Times New Roman" w:hAnsi="Times New Roman"/>
          <w:sz w:val="17"/>
          <w:szCs w:val="17"/>
          <w:color w:val="231F20"/>
        </w:rPr>
        <w:t>We are subject to a number of affirmative and restrictive covenants pursuant to the Credit Agreement, which limit or restrict our ability to, among others (subject to certain qualifications and exceptions): create liens and encumbrances; incur additional indebtedness; merge, dissolve, liquidate or consolidate; make acquisitions, investments, advances or loans; dispose of or transfer assets; pay dividends or make other payments in respect of our capital stock; amend certain material documents; redeem or repurchase certain debt; engage in certain transactions with our affiliates; and</w:t>
      </w: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enter into certain restrictive agreements. In addition, we are required to maintain at least $5.0 million of unrestricted cash and cash equivalents at all times (which requirement will increase to $10.0 million at all times after March 31, 2025). Our obligations under the Credit Agreement are subject to acceleration upon the occurrence of an event of default (subject to applicable notice and grace periods). We are currently in compliance with the Credit Agreement covenants. If we are unable to achieve certain milestones, generate sufficient revenue and maintain certain minimum cash threshold, we may fall out of compliance with these covenants. We may also enter into other debt agreements in the future which may contain similar or more restrictive terms.</w:t>
      </w:r>
    </w:p>
    <w:p>
      <w:pPr>
        <w:spacing w:after="0" w:line="1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ability to make scheduled monthly payments or to refinance our debt obligations depends on numerous factors, including the amount of our cash reserves and our actual and projected financial and operating performance. These amounts and our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and interest on our existing or future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or that these actions would permit us to meet our scheduled debt service obligations. Failure to comply with the conditions of the Credit Agreement could result in an event of default, which could result in an acceleration of amounts due under the Credit Agreement. We may not have sufficient funds or may be unable to arrange for additional financing to repay our indebtedness or to make any accelerated payments, and OrbiMed could seek to enforce security interests in the collateral securing such indebtedness, which would harm our business.</w:t>
      </w:r>
    </w:p>
    <w:p>
      <w:pPr>
        <w:spacing w:after="0" w:line="1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In addition, the Credit Agreement provides up to $10 million will be made available on or prior to June 30, 2025, and up to $15.0 million will be made available on or prior to December 31, 2025, in each case, subject to certain revenue requirement. If we are unable to achieve the revenue requirements by the applicable dates, we would be unable to borrow additional funds pursuant to the Loan Facility, which could negatively impact our ability to fund our operations.</w:t>
      </w:r>
    </w:p>
    <w:p>
      <w:pPr>
        <w:spacing w:after="0" w:line="10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issue additional Common Stock from time to time under our equity incentive plans. Any such issuances would dilute the interest of our stockholders and likely present other risks.</w:t>
      </w:r>
    </w:p>
    <w:p>
      <w:pPr>
        <w:spacing w:after="0" w:line="7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may issue additional Common Stock from time to time under our equity incentive plans. Common Stock reserved for future issuance under our equity incentive plans will become eligible for sale in the public market once those shares are issued, subject to provisions relating to time-based and performance-based vesting conditions, lock-up agreements and, in some cases, limitations on volume and manner of sale applicable to affiliates under Rule 144, as applicable. We have filed a registration statement on Form S-8 under the Securities Act to register additional shares we may issue pursuant to our 2023 Equity Incentive Plan (the “2023 Plan”) and 2023 Employee Stock Purchase Plan. In addition, we may file one or more registration statements on Form S-8 under the Securities Act to register additional Common Stock or securities convertible into or exchangeable for Common Stock issued pursuant to our equity incentive plans. Any future Form S-8 registration statements will automatically become effective upon filing. Accordingly, Common Stock registered under such registration statements may be immediately available for sale in the open market.</w:t>
      </w:r>
    </w:p>
    <w:p>
      <w:pPr>
        <w:spacing w:after="0" w:line="12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9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assumption or occurrence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issuance of our equity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integration;</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diversion of our management’s attention from our existing product programs and initiatives in pursuing such an acquisition or strategic partnership;</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retention of key employees, the loss of key personnel, and uncertainties in our ability to maintain key business relationships;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3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related regulatory approvals;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9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In addition, if we undertake acquisitions, we may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TriNav</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revenue is primarily generated from sales of our TriNav device and we are therefore highly dependent on it for our success. Failure to achieve continued market acceptance of TriNav for any reason will harm our business and future prospects. *</w:t>
      </w:r>
    </w:p>
    <w:p>
      <w:pPr>
        <w:spacing w:after="0" w:line="9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231F20"/>
        </w:rPr>
        <w:t>We began selling TriNav in 2020 in the United States, and sales of TriNav account for primarily all of our revenue and will continue to account for primarily all of our revenue going forward. Our ability to execute our growth strategy and become profitable will therefore depend upon the adoption of TriNav by physicians and hospitals, among others.</w:t>
      </w:r>
    </w:p>
    <w:p>
      <w:pPr>
        <w:spacing w:after="0" w:line="9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TriNav is a relatively new drug delivery platform designed to overcome the barriers of the high pressure tumor microenvironment. As a result, physician awareness of TriNav, and experience with TriNav, is limited. A number of factors that are outside of our control may contribute to fluctuations in our financial results, including:</w:t>
      </w:r>
    </w:p>
    <w:p>
      <w:pPr>
        <w:spacing w:after="0" w:line="68" w:lineRule="exact"/>
        <w:rPr>
          <w:sz w:val="20"/>
          <w:szCs w:val="20"/>
          <w:color w:val="auto"/>
        </w:rPr>
      </w:pPr>
    </w:p>
    <w:p>
      <w:pPr>
        <w:ind w:left="660" w:right="8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physician experience and hospital demand for our products and the extent of adoption of TriNav, including the rate at which physicians recommend TriNav for use on their patients;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or failure to supply product, component and material deliveries by our third-party suppliers;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positive or negative media coverage, or public, patient and/or physician perception, of TriNav or competing products and procedures;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safety or effectiveness concerns that arise regarding TriNav;</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extent of reimbursement by CMS for purchases of TriNav;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introduction of new products or procedures for delivering drugs into the tumor microenvironment that compete with TriNav.</w:t>
      </w:r>
    </w:p>
    <w:p>
      <w:pPr>
        <w:spacing w:after="0" w:line="15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There is no assurance that TriNav will achieve broad market acceptance among physicians and hospitals. Any failure of TriNav to satisfy physician or hospital demand or to achieve meaningful market acceptance will harm our business and future prospects. Further, to the extent broad market acceptance is achieved in the future, there is no assurance that such acceptance will be sustained.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business is dependent upon the continued adoption of TriNav by hospitals and physicians.</w:t>
      </w:r>
    </w:p>
    <w:p>
      <w:pPr>
        <w:spacing w:after="0" w:line="14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Our future growth and profitability largely depend on our ability to increase physician awareness and adoption of TriNav and on the willingness of physicians to recommend the device to more of their patients. Physicians may not use our products unless they are able to determine, based on experience, clinical data, medical society recommendations and other analyses, that our product provides a safe and effective treatment alternative for drug delivery. Even if we are able to raise awareness and increase adoption of TriNav among physicians, physicians tend to be slow in changing their medical treatment practices and may be hesitant to select TriNav for recommendation to patients for a variety of reasons, including:</w:t>
      </w:r>
    </w:p>
    <w:p>
      <w:pPr>
        <w:spacing w:after="0" w:line="7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Long-standing relationships with competing companies and distributors that sell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Competitive response and negative selling efforts from providers of alternative catheter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Perceived liability risk generally associated with the use of new products and procedures;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Lack of sufficient clinical evidence, including long-term data, supporting the clinical benefits of TriNav;</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Reluctance to change to or use new products and procedures;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Time commitment and skill development that may be required to gain familiarity and proficiency with TriNav.</w:t>
      </w:r>
    </w:p>
    <w:p>
      <w:pPr>
        <w:spacing w:after="0" w:line="15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Physicians play a significant role in determining the course of a patient’s treatment and, as a result, the type of treatment that will be recommended or provided to a patient. We focus our sales, marketing, and education efforts primarily on interventional radiologists with the goal of educating these physicians regarding the patient population that we believe would benefit from TriNav. However, we cannot assure you that we will achieve broad education or</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market acceptance among these practitioners. For example, if treating physicians are not made aware of TriNav, they may not treat patients using our product, and those patients may instead not seek treatment at all or may be treated with alternative products or procedures. In addition, some physicians may choose to utilize TriNav on only a subset of their total patient population or may not adopt TriNav at all. If a physician experiences an adverse event in one or more of their TriNav patients or if any issues with the safety or efficacy of TriNav develop, physicians may not continue offering TriNav as a drug delivery method at the same rate or at all. If we are not able to effectively demonstrate that TriNav is beneficial in a broad range of patients, adoption of TriNav will be limited and may not occur as rapidly as we anticipate, which would have a material adverse effect on our business, financial condition, and results of operations. We cannot assure you that TriNav will achieve broad market acceptance among hospitals and physicians. Any failure of TriNav to satisfy demand or to achieve meaningful market acceptance and penetration will harm our future prospects and have a material adverse effect on our business, financial condition, and results of operations.</w:t>
      </w:r>
    </w:p>
    <w:p>
      <w:pPr>
        <w:spacing w:after="0" w:line="107"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231F20"/>
        </w:rPr>
        <w:t>In addition, the medical device industry’s interactions and relationships with health care providers, including physicians and hospitals are under increasing scrutiny by the U.S Department of Health and Human Services Office of the Inspector General (“OIG”), the Department of Justice (“DOJ”), state attorneys general, and other foreign and domestic government agencies. Our failure to comply with laws, rules and regulations governing our relationships with health care providers, including physicians and hospitals, or an investigation into our compliance by the OIG, DOJ, state attorneys general or other government agencies, could significantly harm our business.</w:t>
      </w:r>
    </w:p>
    <w:p>
      <w:pPr>
        <w:spacing w:after="0" w:line="11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In most cases, before physicians can use our products for the first time, our products must be approved for use by a hospital’s new product or value analysis committee, or the staff of a hospital or health system. Following such approval, we may be required to enter into purchase contracts with such hospital or health system. Such approvals or requirements to enter into a purchase contract could deter or delay the use of our products by physicians. We cannot provide assurance that our efforts to obtain such approvals, enter into purchase contracts, or generate adoption will be successful or increase the use of our products, and if we are not successful, it could have a material adverse effect on our business, financial condition and results of operations.</w:t>
      </w:r>
    </w:p>
    <w:p>
      <w:pPr>
        <w:spacing w:after="0" w:line="11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change to TriNav’s reimbursement status that reduces our level of reimbursement could cause TriNav sales to materially decline and impede market adoption. *</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presently benefit from various reimbursement codes in the United States, including the following:</w:t>
      </w:r>
    </w:p>
    <w:p>
      <w:pPr>
        <w:spacing w:after="0" w:line="11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Healthcare Common Procedure Coding System Code ("HCPCS"): C1982; and</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Current Procedural Terminology for physicians to support reimbursement for physician- rendered healthcare services Codes: 37242 Mapping and 37243 Treatment.</w:t>
      </w:r>
    </w:p>
    <w:p>
      <w:pPr>
        <w:spacing w:after="0" w:line="9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In December 2023, CMS granted a New Technology HCPCS for both mapping and therapeutic procedures involving TriNav. This new code, HCPCS C9797, has been assigned to the Ambulatory Payment Classification ("APC") 5194 - Level 4 Endovascular Procedures. The new code became effective on January 1, 2024, and may be reported by hospital outpatient departments and ambulatory surgical centers, but there can be no assurance that continuing reimbursement will be available at similar reimbursement rates or at all.</w:t>
      </w:r>
    </w:p>
    <w:p>
      <w:pPr>
        <w:spacing w:after="0" w:line="11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maintain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spacing w:after="0" w:line="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currently have a limited marketing, sales and distribution organization. If we are unable to successfully grow our marketing, sales and distribution capabilities, then our product revenues related to TriNav, our results of operations and financial condition will suffer.</w:t>
      </w:r>
    </w:p>
    <w:p>
      <w:pPr>
        <w:spacing w:after="0" w:line="9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We currently have limited in-house sales and marketing capabilities. Until January 1, 2023, we contracted with a limited number of third-party distributors for a significant portion of our commercial sales of TriNav. Although we continue to further develop an in-house marketing organization and sales force with technical expertise and supporting distribution capabilities to commercialize TriNav, which will require significant capital expenditures, management resources and time, we may be unable to accurately predict the future level of demand for TriNav that will be generated by our existing or potential customers, or the future demand for our medical device products by these customers or new customers. We will also have to compete with other pharmaceutical and biotechnology companies to recruit, hire, train and retain marketing and sales personnel. We may not be able to build an effective sales and marketing organization with supporting distribution capabilities in the United States, the European Union (“EU”) or other key global markets in compliance with applicable legal requirements. Any failure or delay in the development of our internal sales, marketing and distribution capabilities would adversely impact our revenues, results of operations and financial condition.</w:t>
      </w:r>
    </w:p>
    <w:p>
      <w:pPr>
        <w:spacing w:after="0" w:line="200" w:lineRule="exact"/>
        <w:rPr>
          <w:sz w:val="20"/>
          <w:szCs w:val="20"/>
          <w:color w:val="auto"/>
        </w:rPr>
      </w:pPr>
    </w:p>
    <w:p>
      <w:pPr>
        <w:spacing w:after="0" w:line="3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231F20"/>
        </w:rPr>
        <w:t>Further, if we decide to re-enter into arrangements with third parties to perform sales, marketing, and distribution services, our product revenues related to TriNav may be lower than if we were to market, sell and distribute TriNav ourselves. We also would face competition in our search for third parties to assist with the sales, marketing and distribution efforts of TriNav.</w:t>
      </w:r>
    </w:p>
    <w:p>
      <w:pPr>
        <w:spacing w:after="0" w:line="68"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an agreement with a partner in China for the distribution and commercialization of TriNav, if approved in China. Foreign organizations may be subject to U.S. legislation, including the proposed BIOSECURE Act, sanctions, trade restrictions and other foreign regulatory requirements which could have an adverse effect on our ability to expand certain foreign jurisdictions.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Increases in costs, disruption of supply or shortage of materials could harm our business.</w:t>
      </w:r>
    </w:p>
    <w:p>
      <w:pPr>
        <w:spacing w:after="0" w:line="14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231F20"/>
        </w:rPr>
        <w:t>We manufacture TriNav internally, and certain materials necessary to produce our products are sourced from a limited number of suppliers. Any disruption in the supply of materials from such suppliers could disrupt production of our products until such time as a different supplier is fully qualified. As a result, we may experience an increase in costs or inability to meet customer demand. Furthermore, shortages or increased demand of such materials and other economic conditions, like inflation, may cause us to experience significant increases in the cost of materials. In the case of TriNav, substantial increases in the prices for materials used in our production would increase our operating costs and could reduce our margins if we cannot recoup any such increased costs through increased product pricing. Any attempts to increase product prices in response to increased material costs could result in cancellations of product orders and therefore materially and adversely affect our brand, business, prospects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Nelitolimod and Product Development</w:t>
      </w:r>
    </w:p>
    <w:p>
      <w:pPr>
        <w:spacing w:after="0" w:line="15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early in our pharmaceutical development efforts and we have only one pharmaceutical product candidate, nelitolimod, in early clinical development. If we are unable to advance our product candidates, including nelitolimod, in clinical development for any reason (including due to lack of funding), obtain regulatory approval and ultimately commercialize our product candidates, or experience significant delays in doing so, our business, results of operations, financial condition and prospects may be materially adversely affected.</w:t>
      </w:r>
    </w:p>
    <w:p>
      <w:pPr>
        <w:spacing w:after="0" w:line="9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231F20"/>
        </w:rPr>
        <w:t>We are in the early stages of our development efforts and have only one product candidate, nelitolimod, in early clinical development. We have initiated Phase 1 and Phase 1b clinical trials for this product candidate, each of which are focused on a different target indication, specifically: uveal melanoma, intrahepatic cholangiocarcinoma and hepatocellular carcinoma. We will need to progress any early product candidates through IND-enabling studies and submit Investigational New Drug applications (“INDs”) to the FDA prior to initiating their clinical development. Our ability to generate product revenues from our pharmaceutical candidates, which we do not expect will occur for several years, if ever, will depend heavily on the successful development and eventual commercialization of our product candidates. The success of these product candidates will depend on several factors, including the following:</w:t>
      </w:r>
    </w:p>
    <w:p>
      <w:pPr>
        <w:spacing w:after="0" w:line="8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successful enrollment in clinical trials and completion of clinical trials and preclinical studies with favorable results;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clearance of INDs by the FDA or similar regulatory filings by comparable foreign regulatory authorities for the conduct of clinical trials of our product candidates and our proposed design of future clinical trials;</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demonstrating the safety and efficacy in the proposed indications for use of our product candidates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receipt of marketing approvals from applicable regulatory authorities, including New Drug Applications (“NDAs”) from the FDA and maintaining such approvals;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making arrangements with third-party manufacturers for, or establishing, clinical and commercial manufacturing capabilities;</w:t>
      </w:r>
    </w:p>
    <w:p>
      <w:pPr>
        <w:spacing w:after="0" w:line="11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establishing sales, marketing and distribution capabilities and launching commercial sales of our product candidates,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maintaining an acceptable safety profile of our products following approval;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building and maintaining an organization of people who can successfully develop our product candidates.</w:t>
      </w:r>
    </w:p>
    <w:p>
      <w:pPr>
        <w:spacing w:after="0" w:line="158"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231F20"/>
        </w:rPr>
        <w:t>The success of our business depends in part on the successful development, regulatory approval, and commercialization of our product candidate, nelitolimod, as well as any other future product candidates, which may never occur. We have not yet succeeded in, and we may not succeed in, obtaining marketing approval for nelitolimod . If we are unable to develop, or obtain regulatory approval for, or, if approved, successfully commercialize our product</w:t>
      </w:r>
    </w:p>
    <w:p>
      <w:pPr>
        <w:spacing w:after="0" w:line="200" w:lineRule="exact"/>
        <w:rPr>
          <w:sz w:val="20"/>
          <w:szCs w:val="20"/>
          <w:color w:val="auto"/>
        </w:rPr>
      </w:pPr>
    </w:p>
    <w:p>
      <w:pPr>
        <w:spacing w:after="0" w:line="3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candidates, we may not be able to generate any revenue from our pharmaceutical development efforts and this may have a material adverse effect on our business, results of operations, financial condition and prospects.</w:t>
      </w:r>
    </w:p>
    <w:p>
      <w:pPr>
        <w:spacing w:after="0" w:line="7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Clinical trials of our product candidates or potential product candidates may fail to produce results necessary to support regulatory clearance or authorization.</w:t>
      </w:r>
    </w:p>
    <w:p>
      <w:pPr>
        <w:spacing w:after="0" w:line="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incur substantial expense for, and devote significant time to, clinical trials but cannot be certain that the trials will ever result in commercial gains. We may experience significant setbacks in clinical trials, even after earlier clinical trials showed promising results, and failure can occur at any time during the clinical development process. Our products may produce undesirable adverse effects that could cause us, institutional review boards (“IRBs”) or regulatory authorities to interrupt, delay or halt clinical trials. We, IRBs, the FDA, or another regulatory authority may suspend or terminate clinical trials at any time to avoid exposing trial participants to unacceptable health risks. Our clinical trials may produce negative or inconclusive results or may demonstrate a lack of effect of our product candidates. Additionally, the FDA may disagree with our interpretation of the data from our pilot studies and clinical trials, or may find the clinical trial design, conduct or results inadequate to demonstrate safety or effectiveness, and may require us to pursue additional clinical trials, which could further delay the clearance or authorization of our product candidates. If we are unable to demonstrate the safety and effectiveness of product candidates in our clinical trials, we will be unable to obtain the regulatory clearances or authorizations we need to commercialize new products.</w:t>
      </w:r>
    </w:p>
    <w:p>
      <w:pPr>
        <w:spacing w:after="0" w:line="12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clinical trials of our product candidates may change as more patient data becomes available and are subject to confirmation, audit, and verification procedures that could result in material changes in the final data.</w:t>
      </w:r>
    </w:p>
    <w:p>
      <w:pPr>
        <w:spacing w:after="0" w:line="7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reputation and business prospects.</w:t>
      </w:r>
    </w:p>
    <w:p>
      <w:pPr>
        <w:spacing w:after="0" w:line="11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Clinical development is a lengthy and expensive process with an uncertain outcome. In addition, results of earlier preclinical studies and clinical trials may not be predictive of results of future preclinical studies or clinical trials. Failure can occur at any stage of clinical development.</w:t>
      </w:r>
    </w:p>
    <w:p>
      <w:pPr>
        <w:spacing w:after="0" w:line="91"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231F20"/>
        </w:rPr>
        <w:t>Clinical testing is expensive and can take many years to complete, and outcomes are inherently uncertain. Failure can occur at any time during the clinical trial process and may result from a multitude of factors both within and outside our control, including flaws in formulation, adverse safety or efficacy profiles and flaws in trial design, among others. To obtain the requisite regulatory approvals or clearances to market and sell any of our product candidates, we must demonstrate through extensive preclinical studies and clinical trials that our product candidates are safe and effective in humans for use in each target indication. The results of preclinical studies and early clinical trials of nelitolimod and any future drug candidates may not be predictive of the results of later-stage clinical trials, making it impossible to predict when or if any of our product candidates will prove safe or effective in humans or receive regulatory approval or clearance. The results generated to date in preclinical studies for our product candidates do not ensure that later preclinical studies or clinical trials will demonstrate similar results. Product candidates in later stages of clinical trials may fail to show the desired safety and efficacy traits despite having progressed through preclinical and earlier-stage clinical trials. In later-stage clinical trials, we will likely be subject to more rigorous statistical analyses than in completed earlier-stage clinical trials. Several companies in the biopharmaceutical industry have suffered significant setbacks in advanced clinical trials due to a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or clearance of these product candidates.</w:t>
      </w:r>
    </w:p>
    <w:p>
      <w:pPr>
        <w:spacing w:after="0" w:line="11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the trials result in negative or inconclusive results, we or our collaborators or partners may decide, or regulators may require them, to discontinue trials of our drug candidates or conduct additional clinical trials or preclinical studies. In addition, data obtained from trials and studies are susceptible to varying interpretations, and regulators may not interpret our data as favorably as we do, which may delay, limit or prevent regulatory approval. For these reasons, our future clinical trials may not be successful. If we fail to produce positive results in our planned preclinical studies or clinical trials of any of our product candidates, the development timeline and regulatory approval or clearance and commercialization prospects for our product candidates, and, correspondingly, our business and financial prospects, would be materially and adversely affected.</w:t>
      </w: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231F20"/>
        </w:rPr>
        <w:t>Also, we cannot guarantee that any preclinical studies or clinical trials will be conducted as planned or completed on schedule, if at all. We may experience difficulties in patient enrollment in our clinical trials for a variety of reasons, including challenges resulting from COVID-19, labor shortages, and global supply chain interruptions. Any inability to timely and successfully complete preclinical and clinical development could result in additional costs to us or impair our ability to achieve regulatory and commercialization milestones. In addition, if we make manufacturing or formulation changes to our product candidates, we may need to conduct additional testing to bridge our modified product candidate to earlier versions. Our product development costs will also increase if we experience delays in testing or obtaining marketing approvals or clearances.</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Delays in clinical trials are common and have many causes, and any delay could result in increased costs to us and could jeopardize or delay our ability to obtain regulatory approval and commence future product sales. We may also find it difficult to enroll patients in our clinical trials, which could delay or prevent the development of our product candidates.</w:t>
      </w:r>
    </w:p>
    <w:p>
      <w:pPr>
        <w:spacing w:after="0" w:line="107" w:lineRule="exact"/>
        <w:rPr>
          <w:sz w:val="20"/>
          <w:szCs w:val="20"/>
          <w:color w:val="auto"/>
        </w:rPr>
      </w:pPr>
    </w:p>
    <w:p>
      <w:pPr>
        <w:jc w:val="both"/>
        <w:ind w:right="380" w:firstLine="324"/>
        <w:spacing w:after="0" w:line="312" w:lineRule="auto"/>
        <w:rPr>
          <w:sz w:val="20"/>
          <w:szCs w:val="20"/>
          <w:color w:val="auto"/>
        </w:rPr>
      </w:pPr>
      <w:r>
        <w:rPr>
          <w:rFonts w:ascii="Times New Roman" w:cs="Times New Roman" w:eastAsia="Times New Roman" w:hAnsi="Times New Roman"/>
          <w:sz w:val="17"/>
          <w:szCs w:val="17"/>
          <w:color w:val="231F20"/>
        </w:rPr>
        <w:t>We may experience delays in clinical trials of our drug candidates. Planned clinical trials may not begin on time, have an effective design, enroll a sufficient number of patients or be completed on schedule, if at all. Our clinical trials have been and can be delayed for a variety of reasons, including:</w:t>
      </w:r>
    </w:p>
    <w:p>
      <w:pPr>
        <w:spacing w:after="0" w:line="3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raise or delays in raising funding necessary to initiate or continue a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obtaining regulatory approval to commence a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reaching agreement with the FDA on final trial design;</w:t>
      </w:r>
    </w:p>
    <w:p>
      <w:pPr>
        <w:spacing w:after="0" w:line="11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imposition of a clinical hold for safety reasons or following an inspection of our clinical trial operations or trial sites by the FDA or other regulatory authorities;</w:t>
      </w:r>
    </w:p>
    <w:p>
      <w:pPr>
        <w:spacing w:after="0" w:line="53"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reaching agreement on acceptable terms with prospective contract manufacturing organizations (“CMOs”), or contract research organizations (“CROs”), and clinical trial sites, or failure by such CMOs to complete the manufacturing of clinical trial materials or CROs to follow and carry out the clinical study protocol at each site in accordance with the terms of our agreements with them;</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obtaining required IRB, approval at each site;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or delays in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clinical sites electing to terminate their participation in one of our clinical trials, which would likely have a detrimental effect on subject enrollment;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time required to add new clinical sites;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by prospective CMOs to produce and deliver sufficient supply of clinical trial materials.</w:t>
      </w:r>
    </w:p>
    <w:p>
      <w:pPr>
        <w:spacing w:after="0" w:line="15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If initiation or completion of our planned clinical trials is delayed for any of the above reasons or other reasons, our development costs may increase, our regulatory approval process could be delayed and our ability to commercialize and commence sales of our drug candidates could be materially harmed, which could have a material adverse effect on our business.</w:t>
      </w:r>
    </w:p>
    <w:p>
      <w:pPr>
        <w:spacing w:after="0" w:line="9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In addition, identifying and qualifying patients to participate in clinical trials of our drug candidates is critical to our success. The timing of our clinical trials depends on the speed at which we can recruit patients to participate in testing our drug candidates as well as completion of required follow-up periods. We may not be able to identify, recruit and enroll a sufficient number of patients, or those with required or desired characteristics or to complete our clinical trials in a timely manner. Patient enrollment is and completion of the trials are affected by a variety of factors, including:</w:t>
      </w:r>
    </w:p>
    <w:p>
      <w:pPr>
        <w:spacing w:after="0" w:line="7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severity and prevalence of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design of the trial protocol;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size of the patient population;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eligibility criteria for the trial in question;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perceived risks and benefits of the drug candidate under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availability of competing therapies and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patient referral practices of physicians;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ability to monitor patients adequately during and after treatment.</w:t>
      </w:r>
    </w:p>
    <w:p>
      <w:pPr>
        <w:spacing w:after="0" w:line="15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Nelitolimod relies on oligonucleotide TLR agonists. Serious adverse event data relating to TLR agonists may require us to reduce the scope of or discontinue certain of our pre-clinical or clinical activities.</w:t>
      </w:r>
    </w:p>
    <w:p>
      <w:pPr>
        <w:spacing w:after="0" w:line="7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231F20"/>
        </w:rPr>
        <w:t>Nelitolimod is composed, in part, of TLR9 agonist CpG oligonucleotides. If nelitolimod or any of our future product candidates in clinical trials or similar products from competitors produce serious adverse event data, we may be required to delay, discontinue, or modify many of our clinical trials or our clinical trial strategy. If a safety risk based on mechanism of action or the molecular structure were identified, it may hinder our ability to develop our product candidates or enter into potential collaboration or commercial arrangements. Rare diseases and a numerical imbalance in cardiac adverse events have been observed in patients in our clinical trials. If adverse event data are found to apply to our TLR agonist and/or inhibitor technology as a whole, we may be required to significantly reduce the scope of or discontinue certain of our pre-clinical or clinical activities.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long-term prospects are dependent on the success of our development-stage products including nelitolimod, which depend on regulatory approval.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Failure to maintain or obtain regulatory approvals would materially and adversely impact us and our business prospects.</w:t>
      </w:r>
    </w:p>
    <w:p>
      <w:pPr>
        <w:spacing w:after="0" w:line="13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long-term prospects are dependent on nelitolimod, currently our sole development-stage immune-oncology product candidate, and early-stage development is inherently risky. Even if we have early indications of success in clinical development, in order to be able to market nelitolimod in the United States, we must obtain approval from the FDA, and corresponding applications to foreign regulatory agencies must be approved by those agencies before we may sell the product in respective geographic areas. Obtaining FDA marketing approval and corresponding foreign applications is highly uncertain and we may fail to obtain approval, or might obtain approval in a more limited indication than sought. The FDA review process is extensive, lengthy, expensive and uncertain, and the FDA or foreign regulatory agencies may delay, limit or deny approval of our application for many reasons, including: whether the data from our clinical trials or the development program are satisfactory to the FDA or foreign regulatory agency; disagreement with the number, design, size, conduct or implementation of our clinical trials or proposed post-marketing study, or a conclusion that the data fails to meet statistical or clinical significance or safety requirements; acceptability of data generated at our clinical trial sites that are monitored by third-party CROs; and deficiencies in our manufacturing processes or facilities or those of our third-party contract manufacturers and suppliers, if any.</w:t>
      </w:r>
    </w:p>
    <w:p>
      <w:pPr>
        <w:spacing w:after="0" w:line="11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In the event that we determine to commercialize nelitolimod outside the United States, such as in Europe, whether we can do so successfully will depend upon us receiving regulatory approval, which can be costly and time-consuming, and there is a risk that one or more regulatory bodies may require that we conduct additional clinical trials and/or take other measures which will take time and require us to incur significant additional expense. In addition, there is the risk that we may not receive approval in one or more jurisdictions.</w:t>
      </w:r>
    </w:p>
    <w:p>
      <w:pPr>
        <w:spacing w:after="0" w:line="11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In addition, we obtain guidance from regulatory authorities on certain aspects of our clinical development activities and seek to comply with written guidelines provided by such authorities. These discussions and written guidelines are not binding obligations on the part of the regulatory authorities or the regulatory authorities may require additional patient data or studies to be conducted. Regulatory authorities may revise or retract previous guidance during the course of a clinical trial or after the completion of the trial. The authorities may also disqualify a clinical trial from consideration in support of approval of a potential product if they deem the trial was not conducted in accordance with good clinical practices or if the data is not convincing. The FDA or foreign regulatory agencies may determine our clinical trials or other data regarding safety, efficacy or consistency of manufacture or compliance with GMP regulations are insufficient for regulatory approval. Failure to maintain or obtain regulatory approvals would materially and adversely impact us and our business prospects.</w:t>
      </w:r>
    </w:p>
    <w:p>
      <w:pPr>
        <w:spacing w:after="0" w:line="12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obtain regulatory approval for our product candidates, the products may not gain market acceptance among physicians, patients, hospitals, cancer treatment centers and others in the medical community, which could materially adversely impact our business, results of operations and financial condition.</w:t>
      </w:r>
    </w:p>
    <w:p>
      <w:pPr>
        <w:spacing w:after="0" w:line="94"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231F20"/>
        </w:rPr>
        <w:t>Our sole pharmaceutical product candidate, nelitolimod, may never be approved for marketing as a potential cancer treatment. To the extent nelitolimod is approved for marketing as a potential cancer treatment, it may not become broadly accepted by physicians, patients, hospitals, cancer treatment centers and others in the medical community. Various factors will influence whether nelitolimod is accepted in the market, including:</w:t>
      </w:r>
    </w:p>
    <w:p>
      <w:pPr>
        <w:spacing w:after="0" w:line="6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clinical indications for which nelitolimod is approved;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physicians, hospitals, cancer treatment centers and patients considering nelitolimod as a safe and effective treatment;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potential and perceived advantages of nelitolimod over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demonstrate the advantages of nelitolimod over other cancer medicines;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prevalence and severity of any side effects;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prevalence and severity of any side effects for other precision medicines and public perception of other precision medicines;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 labeling or product insert requirements of the FDA or other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limitations or warnings contained in the labeling approved by the FDA;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of market introduction of nelitolimod as well as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availability of adequate coverage, reimbursement and pricing by third-party payors and government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patients to pay out-of-pocket in the absence of coverage by third-party payors and government authorities;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effectiveness of our sales and marketing efforts.</w:t>
      </w:r>
    </w:p>
    <w:p>
      <w:pPr>
        <w:spacing w:after="0" w:line="15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If nelitolimod is approved by the FDA but fails to achieve market acceptance among physicians, patients, hospitals, cancer treatment centers or others in the medical community, our business and prospects will be adversely affected. Even if nelitolimod achieves market acceptance, it may not be able to maintain that market acceptance over time if new products or technologies are introduced that are more favorably received than nelitolimod, are more cost-effective or render nelitolimod obsolete.</w:t>
      </w:r>
    </w:p>
    <w:p>
      <w:pPr>
        <w:spacing w:after="0" w:line="9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231F20"/>
        </w:rPr>
        <w:t>In addition, although nelitolimod differs in certain ways from other approaches, serious adverse events or deaths in other clinical trials involving precision medicines, even if not ultimately attributable to our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1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If our products do not gain market acceptance among physicians, patients, hospitals, cancer treatment centers and others in the medical community, this could materially adversely impact our business, results of operations and 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and Industry</w:t>
      </w:r>
    </w:p>
    <w:p>
      <w:pPr>
        <w:spacing w:after="0" w:line="14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existing third-party coverage or our inability to secure and maintain favorable reimbursement may impact our ability to sell our products, which would materially and adversely impact our business, results of operations, financial condition and prospects.</w:t>
      </w:r>
    </w:p>
    <w:p>
      <w:pPr>
        <w:spacing w:after="0" w:line="91"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231F20"/>
        </w:rPr>
        <w:t>Maintaining and growing sales of TriNav, and any future product candidates, depends, in part, on the availability of coverage and adequate reimbursement from third-party payors, including government programs such as Medicare and Medicaid, private insurance plans and managed care programs. The process for determining whether a third-party payor will provide coverage for a product or procedure may be separate from the process for establishing the reimbursement rate that such a payor will pay for the product or procedure. A payor’s decision to provide coverage for a product or procedure does not imply that an adequate reimbursement rate will be approved. Further, one payor’s determination to provide coverage for a product or procedure does not assure that other payors will also provide such coverage. Adequate third-party reimbursement may not be available to enable us to achieve profitability. We may be unable to sell our products on a profitable basis if third-party payors deny coverage or reduce any existing levels of payment, or if our costs of production increase faster than increases in reimbursement levels.</w:t>
      </w:r>
    </w:p>
    <w:p>
      <w:pPr>
        <w:spacing w:after="0" w:line="124"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231F20"/>
        </w:rPr>
        <w:t>For example, in December 2023, CMS granted a New Technology HCPCS for procedures involving TriNav. The new code became effective on January 1, 2024, and may be reported by hospital outpatient departments and ambulatory surgical centers, but there can be no assurance that continuing reimbursement will be available at similar reimbursement rates or at all. If TriNav does not receive or maintain adequate reimbursement, this would materially and adversely impact our business, results of operations, financial conditions, and prospects.</w:t>
      </w:r>
    </w:p>
    <w:p>
      <w:pPr>
        <w:spacing w:after="0" w:line="9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Additionally, the reimbursement process is complex and can involve lengthy delays. Also, third-party payors may reject, in whole or in part, requests for reimbursement based on determinations that certain amounts are not reimbursable under plan coverage, that services provided were not medically necessary, that additional supporting documentation is necessary, or for other reasons. Retroactive adjustments by third-party payors may be difficult or cost-prohibitive to appeal, and such changes could materially reduce the actual amount we receive. Delays and uncertainties in the reimbursement process may be out of our control and could have a material adverse effect on our business, prospects,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Moreover, the reimbursement by third-party payors for our product and the amount that we may receive in payment for our products may be materially and adversely affected by factors we do not control, including federal or state regulatory or legislative changes, and cost-containment decisions and changes in reimbursement schedules of third-party payors or product purchasers (such as hospitals). Lack of reimbursement or any reduction or elimination of these payments could have a material adverse effect on our business, prospects, results of operations and financial condition. 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using our products will be reimbursed at a cost-effective level. Additionally, we cannot be certain that third-party payors using a methodology that sets amounts based on the type of procedure performed, such as those utilized by government programs and in many privately managed care systems, will view the cost of our products to be justified so as to incorporate such costs into the overall cost of the procedure. Even if coverage is provided, the approved reimbursement amount may not be high enough to allow us to establish or maintain pricing sufficient to achieve profitability. Moreover, we are unable to predict what changes will be made to the reimbursement methodologies used by third-party payors in the future.</w:t>
      </w:r>
    </w:p>
    <w:p>
      <w:pPr>
        <w:spacing w:after="0" w:line="10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business and industry in which we participate are highly competitive. If we are unable to compete effectively, we will not be able to establish our products in the marketplace or maintain or grow our products’ market share in the marketplace, and as a result, our business and results of operations will be adversely impacted.</w:t>
      </w:r>
    </w:p>
    <w:p>
      <w:pPr>
        <w:spacing w:after="0" w:line="107" w:lineRule="exact"/>
        <w:rPr>
          <w:sz w:val="20"/>
          <w:szCs w:val="20"/>
          <w:color w:val="auto"/>
        </w:rPr>
      </w:pPr>
    </w:p>
    <w:p>
      <w:pPr>
        <w:ind w:right="220" w:firstLine="324"/>
        <w:spacing w:after="0" w:line="273" w:lineRule="auto"/>
        <w:rPr>
          <w:sz w:val="20"/>
          <w:szCs w:val="20"/>
          <w:color w:val="auto"/>
        </w:rPr>
      </w:pPr>
      <w:r>
        <w:rPr>
          <w:rFonts w:ascii="Times New Roman" w:cs="Times New Roman" w:eastAsia="Times New Roman" w:hAnsi="Times New Roman"/>
          <w:sz w:val="17"/>
          <w:szCs w:val="17"/>
          <w:color w:val="231F20"/>
        </w:rPr>
        <w:t>The biopharmaceutical and medical device industries are characterized by intense competition and rapid innovation. Our competitors may be able to develop other devices or drugs that are able to achieve similar or better results. Potential competitors for TriNav and nelitolimod include major multinational medical device and pharmaceutical companies, established biotechnology companies, specialty pharmaceutical companies and universities and other research institutions. Many of these competitors have substantially greater financial, technical, and other resources than we do, such as larger research and development staff, experienced marketing and manufacturing organizations, well-established sales forces, and name recognition.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w:t>
      </w:r>
    </w:p>
    <w:p>
      <w:pPr>
        <w:spacing w:after="0" w:line="104" w:lineRule="exact"/>
        <w:rPr>
          <w:sz w:val="20"/>
          <w:szCs w:val="20"/>
          <w:color w:val="auto"/>
        </w:rPr>
      </w:pPr>
    </w:p>
    <w:p>
      <w:pPr>
        <w:ind w:right="520" w:firstLine="324"/>
        <w:spacing w:after="0" w:line="258" w:lineRule="auto"/>
        <w:rPr>
          <w:sz w:val="20"/>
          <w:szCs w:val="20"/>
          <w:color w:val="auto"/>
        </w:rPr>
      </w:pPr>
      <w:r>
        <w:rPr>
          <w:rFonts w:ascii="Times New Roman" w:cs="Times New Roman" w:eastAsia="Times New Roman" w:hAnsi="Times New Roman"/>
          <w:sz w:val="18"/>
          <w:szCs w:val="18"/>
          <w:color w:val="231F20"/>
        </w:rPr>
        <w:t>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nelitolimod or may develop proprietary technologies or secure patent protection that we may need for the development of our drug delivery technologies and products or product candidates.</w:t>
      </w:r>
    </w:p>
    <w:p>
      <w:pPr>
        <w:spacing w:after="0" w:line="10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The availability and price, and in the case of nelitolimod, if approved, its FDA-approved labeling versus that of our competitors’ products could limit the demand and the price we are able to charge for TriNav and nelitolimod, if approved. We may not be able to implement our business plan if the acceptance of TriNav or nelitolimod is inhibited by price competition or the reluctance of physicians to switch from existing methods of treatment, or if physicians switch to other new drug or biologic products or drug delivery systems or choose to reserve TriNav and/or nelitolimod for use in limited circumstances. For additional information regarding our competition, see the section title " Industry and Competition."</w:t>
      </w:r>
    </w:p>
    <w:p>
      <w:pPr>
        <w:spacing w:after="0" w:line="11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may, in the future, enter into material collaborations, in-licensing arrangements, joint ventures, or strategic alliances with third parties that may not result in the development of commercially viable products or the generation of significant or any future revenues. Alternatively, part of our strategy is to enter into such kinds of relationships with third parties involving our products and product candidates, and we may not be able to do so on acceptable terms or at all.</w:t>
      </w:r>
    </w:p>
    <w:p>
      <w:pPr>
        <w:spacing w:after="0" w:line="11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the ordinary course of our business, we may enter into collaborations, in-licensing arrangements, joint ventures, or strategic alliances to develop and/or commercialize our products or product candidates and/or to pursue new markets. Proposing, negotiating, and implementing collaborations, in-licensing arrangements, joint ventures, and strategic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or otherwise achieve their goals and could be terminated prior to developing any products.</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0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and growth strategy depend on the continued ability of TriNav to remain a preferred product among a community of established, board-certified physicians and other provider specialists and to expand such community. If we are unable to do so, our future growth would be limited and our business would be harmed.</w:t>
      </w:r>
    </w:p>
    <w:p>
      <w:pPr>
        <w:spacing w:after="0" w:line="10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Our success is dependent upon the continued ability of TriNav to remain a preferred product among a community of independent, established, board-certified physicians and other provider specialists who choose to use TriNav in their medical practice. In any particular market, the hospitals that purchase TriNav for use by these providers could demand higher payments or take other actions that could result in higher costs or difficulty meeting regulatory or accreditation requirements. Our ability to develop and maintain satisfactory relationships with these providers also may be negatively impacted by other factors not associated with us, such as changes in Medicare and/or Medicaid reimbursement levels and other pressures on healthcare providers and consolidation activity among hospitals, physician groups and healthcare providers. The failure to maintain or to secure new contracts with the hospitals may result in a loss of or inability to grow our customer base, higher costs and/or healthcare provider community disruptions, any of which could harm our business.</w:t>
      </w:r>
    </w:p>
    <w:p>
      <w:pPr>
        <w:spacing w:after="0" w:line="12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generally do not have long-term contractual commitments from our customers, and our customers may choose not to enter into new agreements with us.</w:t>
      </w:r>
    </w:p>
    <w:p>
      <w:pPr>
        <w:spacing w:after="0" w:line="78"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231F20"/>
        </w:rPr>
        <w:t>We generally do not have long-term contractual commitments with our customers. Our TriNav customers can terminate many of our consignment agreements with or without cause, in some cases subject only to 30 days’ prior notice in the case of termination without cause. Although a substantial majority of our revenue is typically generated from existing customers, our engagements with our customers are typically for orders that are singular in nature. Large consignment orders may involve multiple deliveries or stages, and a customer may choose not to replace inventory with TriNav devices or may cancel or delay additional planned orders.</w:t>
      </w:r>
    </w:p>
    <w:p>
      <w:pPr>
        <w:spacing w:after="0" w:line="11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Even if we successfully deliver on contracted orders and maintain close relationships with our customers, a number of factors outside of our control could cause the loss of or reduction in business or revenue from our existing customers. The loss or diminution in business from any of our major customers could have a material adverse effect on our business, financial condition, results of operations and prospects. The ability of our customers to terminate agreements exacerbates the uncertainty of our future revenue. We may not be able to replace any customer that elects to terminate or not renew its contract with us.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effectively manage our growth or achieve anticipated growth.</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success of our future operating activities will depend upon our ability to expand our support system to meet the demands of our growing business. We expect to experience significant growth in the number of our employees and the scope of our operations, particularly in the areas of sales and marketing, research, drug development and regulatory affairs. Due to our limited financial resources and our limited experience in managing such anticipated growth, we may not be able to effectively manage the expansion of our operations or recruit and train additional qualified personnel. We will be required to manage multiple relationships with various customers, clinical investigators, manufacturers and suppliers, consultants and other third parties. This expansion and these expanded relationships will require us to significantly improve or replace our existing managerial, operational and financial systems, procedures and controls; to improve the coordination between our various corporate functions; and to manage, train, motivate and maintain a growing employee base. The time and costs to effectuate these steps may significantly strain our management personnel, systems and resources, particularly given the limited amount of financial resources and skilled employees that may be available at the time. We may not be able to institute, in a timely manner or at all, the improvements to our managerial, operational and financial systems, procedures and controls necessary to support our anticipated increased levels of operations and to coordinate our various corporate functions, or that we will be able to properly manage, train, motivate and retain our anticipated increased employee base. Any failure by our management to effectively anticipate, implement, and manage changes required to sustain our growth would have a material adverse effect on our business,</w:t>
      </w:r>
    </w:p>
    <w:p>
      <w:pPr>
        <w:spacing w:after="0" w:line="200" w:lineRule="exact"/>
        <w:rPr>
          <w:sz w:val="20"/>
          <w:szCs w:val="20"/>
          <w:color w:val="auto"/>
        </w:rPr>
      </w:pPr>
    </w:p>
    <w:p>
      <w:pPr>
        <w:spacing w:after="0" w:line="36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231F20"/>
        </w:rPr>
        <w:t>financial condition, and results of operations. We cannot assure you that we will be able to successfully operate acquired businesses, if any, become profitable in the future, or effectively manage any other change.</w:t>
      </w:r>
    </w:p>
    <w:p>
      <w:pPr>
        <w:spacing w:after="0" w:line="7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depend on our senior management team and the loss of one or more key employees or an inability to attract and retain highly skilled employees could adversely affect our business. *</w:t>
      </w:r>
    </w:p>
    <w:p>
      <w:pPr>
        <w:spacing w:after="0" w:line="9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Our future performance depends to a large extent on the continued services of members of our current management including, in particular, our Chief Executive Officer, Chief Medical Officer and Chief Financial Officer. If any of these key executive officers were to leave us, we would be forced to expend significant time and money in the pursuit of a replacement, which would result in both a delay in the implementation of our business plan and the diversion of limited working capital. The unique knowledge and expertise of these individuals would be difficult to replace. In the event that we lose the continued services of such key personnel for any reason, this could have a material adverse effect on our business, operations and prospects. In addition, we will be required over the longer-term to hire highly skilled managerial, scientific and administrative personnel to fully implement our business plan and growth strategies. Due to the specialized scientific nature of our business, we are highly dependent upon our ability to attract and retain qualified scientific, technical and managerial personnel. If we cannot attract and retain such personnel, we will be unable to develop our product candidates and achieve regulatory clearance for them, which would have a material adverse effect on our business, financial condition, and results of operations.</w:t>
      </w:r>
    </w:p>
    <w:p>
      <w:pPr>
        <w:spacing w:after="0" w:line="121"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231F20"/>
        </w:rPr>
        <w:t xml:space="preserve">As of </w:t>
      </w:r>
      <w:r>
        <w:rPr>
          <w:rFonts w:ascii="Times New Roman" w:cs="Times New Roman" w:eastAsia="Times New Roman" w:hAnsi="Times New Roman"/>
          <w:sz w:val="17"/>
          <w:szCs w:val="17"/>
          <w:color w:val="000000"/>
        </w:rPr>
        <w:t>May 8, 2024</w:t>
      </w:r>
      <w:r>
        <w:rPr>
          <w:rFonts w:ascii="Times New Roman" w:cs="Times New Roman" w:eastAsia="Times New Roman" w:hAnsi="Times New Roman"/>
          <w:sz w:val="17"/>
          <w:szCs w:val="17"/>
          <w:color w:val="231F20"/>
        </w:rPr>
        <w:t>, we had approximately 101 full-time employees, nine of whom hold advanced degrees. We expect to experience significant growth in the number of our employees and the scope of our operations, particularly in the areas of sales and marketing, research, drug development and regulatory affairs. Competition for skilled personnel in our industry is intense and may limit our ability to hire and retain highly qualified personnel on acceptable terms, in a timely manner or at all. In particular, we have experienced a very competitive hiring environment. Many of the other biotechnology and medical device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stock options or other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the organization.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Workforce shortages may continue to negatively impact our operations.</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Workforce shortages have resulted in staffing challenges experienced by us and by third parties that we utilize, including but not limited to manufacturing and testing organizations, CROs and clinical trial sites. If these challenges continue for any period of time, our anticipated timing of clinical trials and product development may be delayed and our product inventory may not meet demand.</w:t>
      </w:r>
    </w:p>
    <w:p>
      <w:pPr>
        <w:spacing w:after="0" w:line="10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promote, protect, and maintain our brand in a cost-effective manner, we may lose market share and our ability to commercialize our products and revenues will suffer.</w:t>
      </w:r>
    </w:p>
    <w:p>
      <w:pPr>
        <w:spacing w:after="0" w:line="7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ability to further develop our business depends on our ability to build a strong and trusted brand. We are in the process of building our brand, and once achieved, we believe that developing, protecting, and maintaining awareness of our brand in a cost-effective manner will be critical to continuing to develop our business. Successful promotion of our brand will entail broadening our brand among physicians and hospitals and will depend largely on the effectiveness of our marketing efforts and the experience of physicians who use our products and product candidates in treating their patients.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be unable to broaden the use of our products and product candidates among physicians and hospitals, which would have an adverse effect on our business, financial condition and results of operations.</w:t>
      </w:r>
    </w:p>
    <w:p>
      <w:pPr>
        <w:spacing w:after="0" w:line="12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medical device and drug development industries are characterized by rapid, continuous innovation, and if we cannot keep pace with rapid innovation in those industries, our products and product candidates will become less competitive and our ability to commercialize our products and revenues will suffer.</w:t>
      </w: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The medical device and drug development industries are highly competitive and characterized by rapid and significant change. Because our research approach integrates many technologies, it may be difficult for us to stay abreast of the rapid changes in each technology. If we fail to stay at the forefront of technological change, we may be unable to compete effectively. Technological advances or products developed by our competitors may render our technologies or product candidates obsolete or less competitive. Many of our current and potential competitors have substantially greater financial, manufacturing, marketing and technical resources than we do. Larger competitors may have substantially larger sales and marketing operations than we have or plan to have and may have greater name recognition. This may allow those competitors to spend more time with potential customers and to focus on a larger number of potential customers, which would give them a significant advantage over the sales and marketing team we would use in making sales.</w:t>
      </w:r>
    </w:p>
    <w:p>
      <w:pPr>
        <w:spacing w:after="0" w:line="11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Larger competitors may also have broader product lines, which enable them to offer customers bundled purchase contracts and quantity discounts. These competitors may have more experience than we have in research and development, marketing, manufacturing, preclinical testing, conducting clinical studies, obtaining FDA and foreign regulatory approvals or certifications and marketing approved or certified products. Our competitors may discover technologies and techniques, or enter into partnerships and collaborations, to develop competing products that are more effective or less costly than our products or the products we may develop. There can be no assurance that other companies will not succeed in developing or marketing products that are more effective than our products or product candidates or that would render our products or product candidates obsolete or noncompetitive. Academic institutions, government agencies, and other public and private research organizations may seek patent protection regarding potentially competitive products or technologies and may establish exclusive collaborative or licensing relationships with our competitors. Our competitors may be better equipped than we are to respond to competitive pressures. Competition will likely intensify.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Additionally, many healthcare provider systems are consolidating to create new companies with greater market power, and we expect that to continue. As the healthcare provider systems consolidate, competition among suppliers to healthcare provider systems will become more intense. Healthcare provider systems may try to use their market power to negotiate price concessions or reductions for our products. If we reduce our prices because of consolidation in the healthcare industry, our revenue will decrease and our results of operations and financial condition will suffer.</w:t>
      </w:r>
    </w:p>
    <w:p>
      <w:pPr>
        <w:spacing w:after="0" w:line="10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The manufacturing of our product candidates may require outsourced, custom manufacturing, and we may encounter difficulties in production, particularly with respect to formulation, process development or scaling up of our manufacturing capabilities. If our third-party manufacturers or suppliers encounter such difficulties, our ability to provide supply of product candidates for preclinical studies, clinical trials or products for patients, if approved, could be delayed or stopped, or we may be unable to maintain a commercially viable cost structure.</w:t>
      </w:r>
    </w:p>
    <w:p>
      <w:pPr>
        <w:spacing w:after="0" w:line="9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In the course of developing our product candidates, we expect that various aspects of the development program, such as manufacturing methods, may be altered along the way to optimize processes and results. Such changes carry the risk that they will not achieve these intended objectives, and any of these changes could cause our product candidates to perform differently and affect the results of planned preclinical studies or future clinical trials.</w:t>
      </w:r>
    </w:p>
    <w:p>
      <w:pPr>
        <w:spacing w:after="0" w:line="10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If either we or any third-party we rely on for materials used in the production of our product candidates is adversely affected by ongoing supply chain constraints, we and our third-party manufacturers may be unable to timely manufacture product candidates for our clinical trials. Although we are working to develop commercially viable manufacturing processes, doing so is a difficult and uncertain task, and there are risks associated with scaling to the level required for advanced clinical trials or commercialization, including, among others, cost overruns, potential problems with process scale up or formulation, process reproducibility, stability issues, lot consistency and timely availability of reagents or raw materials.</w:t>
      </w:r>
    </w:p>
    <w:p>
      <w:pPr>
        <w:spacing w:after="0" w:line="11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231F20"/>
        </w:rPr>
        <w:t>Any of these challenges could delay completion of preclinical studies or clinical trials, require bridging studies or trials, or the repetition of one or more studies or trials, increase development costs, delay approval of our product candidates, impair commercialization efforts, increase our cost of goods and have an adverse effect on our business, financial condition, results of operations and growth prospects.</w:t>
      </w:r>
    </w:p>
    <w:p>
      <w:pPr>
        <w:spacing w:after="0" w:line="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currently rely on, and may in the future rely on, third-party contractors, including certain sole-source suppliers and manufacturers, to supply and manufacture preclinical, clinical and commercial drug supplies for nelitolimod and any future product candidates.</w:t>
      </w:r>
    </w:p>
    <w:p>
      <w:pPr>
        <w:spacing w:after="0" w:line="9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We do not currently have the internal infrastructure to supply or manufacture preclinical, clinical or commercial quantities of our drug candidate, nelitolimod. While we have a supply of nelitolimod sufficient for our ongoing clinical trials, we do not currently have a supplier for nelitolimod. If we are not able to establish a reliable supplier for nelitolimod before our supply is exhausted, our clinical trials may be delayed.</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231F20"/>
        </w:rPr>
        <w:t>We may be unable to establish agreements and validate third-party manufacturers and suppliers or to do so on acceptable terms. Even if we are able to establish agreements with third-party manufacturers, reliance on third-party manufacturers and suppliers entails additional risks, including, but not limited to:</w:t>
      </w:r>
    </w:p>
    <w:p>
      <w:pPr>
        <w:spacing w:after="0" w:line="6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reliance on the third party for sufficient quantity and quality;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possible breach of the manufacturing or supply agreement by the third party;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manufacture or supply nelitolimod according to our specifications, schedule or at all;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possible mislabeling of clinical supplies, potentially resulting in the wrong dose amounts being supplied or active drug or comparator not being properly identified;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possibility of clinical supplies not being delivered to clinical sites on time, leading to clinical trial interruptions;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reliance on the third party for regulatory compliance, quality assurance and safety reporting.</w:t>
      </w:r>
    </w:p>
    <w:p>
      <w:pPr>
        <w:spacing w:after="0" w:line="144"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231F20"/>
        </w:rPr>
        <w:t>Thus, our current and anticipated future dependence upon others for the manufacture or supply of nelitolimod or other product candidates and materials may adversely affect our development timeline, our future profit margins or our ability to commercialize nelitolimod or any future product candidates that receive marketing approval on a timely and competitive basis.</w:t>
      </w:r>
    </w:p>
    <w:p>
      <w:pPr>
        <w:spacing w:after="0" w:line="10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We may rely on certain third parties as the sole source of the materials they supply or the finished products they manufacture. We may also have sole-source suppliers for one or more of our other product candidates. Some of the active pharmaceutical ingredients (“APIs”) and other substances and materials used in our product candidates are currently available only from one or a limited number of domestic or foreign suppliers and foreign manufacturers and certain of our finished product candidates are manufactured by one or a limited number of contract manufacturers.</w:t>
      </w:r>
    </w:p>
    <w:p>
      <w:pPr>
        <w:spacing w:after="0" w:line="11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In the event an existing supplier or manufacturer fails to supply or manufacture, as applicable, product or product candidate on a timely basis or in the requested amount, fails to meet regulatory requirements or our specifications, becomes unavailable through business interruption or financial insolvency or loses regulatory status as an approved source, or if we or our manufacturers are unable to renew current supply agreements when such agreements expire and we do not have a second supplier, we likely would incur added costs and delays in identifying or qualifying replacement suppliers, manufacturers and materials and there can be no assurance that replacements would be available to us on a timely basis, on acceptable terms or at all. In certain cases, we may be required to get regulatory approval to use alternative suppliers and manufacturers, and this process of approval could delay the production of our products or development of product candidates indefinitely. We and our manufacturers do not currently maintain inventory of these APIs and other substances and materials. Any interruption in the supply of an API or other substance or material or in the manufacture of a finished product could have a material adverse effect on our business, financial condition, operating results and prospects.</w:t>
      </w:r>
    </w:p>
    <w:p>
      <w:pPr>
        <w:spacing w:after="0" w:line="10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Although we are ultimately responsible for ensuring compliance with regulatory requirements such as current Good Manufacturing Practices (“cGMPs”), we are dependent on our contract suppliers and manufacturers for day-to-day compliance with cGMPs for production. Facilities used by our contract suppliers and manufacturers to produce the APIs and other substances and materials or finished products for commercial sale must pass inspection and be approved by the FDA and other relevant regulatory authorities. Our contract suppliers and manufacturers must comply with cGMP requirements enforced by the FDA through its facilities inspection program and review of submitted technical information. If our contract suppliers or manufacturers fail to achieve and maintain compliance with applicable laws and regulatory requirements, our business could be adversely affected in a number of ways, and cause, among other things:</w:t>
      </w:r>
    </w:p>
    <w:p>
      <w:pPr>
        <w:spacing w:after="0" w:line="8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inability to initiate or continue clinical trials of our product candidates under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 in submitting regulatory applications, or receiving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third-party manufacturing facilities or our own facilities to be subjected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requirements to cease distribution or to recall batches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of manufacturing of our products or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revocation of obtained approvals;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meet commercial demands for our products or product candidates in the event of approval.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Further, if the safety of any product or product candidate or component is compromised due to a failure to adhere to applicable laws and regulatory requirements, or for other reasons, we may not be able to successfully commercialize or obtain regulatory approval for the affected product or product candidate, and we may be held liable for injuries sustained as a result. Any of these factors could cause a delay or termination of preclinical studies, clinical trials or regulatory submissions or approvals of our product candidates and could entail higher costs or result in us being unable to effectively commercialize our approved products on a timely basis, or at all.</w:t>
      </w:r>
    </w:p>
    <w:p>
      <w:pPr>
        <w:spacing w:after="0" w:line="1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We expect to continue to depend on third-party contract suppliers and manufacturers for the foreseeable future, but supply and manufacturing arrangements do not guarantee that a contract supplier or manufacturer will provide services adequate for our needs. We and our contract suppliers and manufacturers may attempt to improve production processes, certain aspects of which are complex and unique, and we may encounter difficulties with new or existing processes. While we attempt to build in certain contractual obligations on such third-party suppliers and manufacturers, we may not be able to ensure that such third parties comply with these obligations. Depending on the extent of any difficulties encountered, we could experience an interruption in clinical or commercial supply, with the result that the development, regulatory approval or commercialization of our products or product candidates may be delayed or interrupted.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risk management processes and procedures may not be effective.</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231F20"/>
        </w:rPr>
        <w:t>While we have dedicated resources to develop risk management processes and procedures intended to identify, measure, monitor and control the types of risk we are subject to, including liquidity risk, strategic risk, operational risk, cybersecurity risk, healthcare regulatory compliance risk, product liability risk, and reputational risk, those procedures may not be effective.</w:t>
      </w:r>
    </w:p>
    <w:p>
      <w:pPr>
        <w:spacing w:after="0" w:line="9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Risk is inherent in our business, and therefore, despite our efforts to manage risk, there can be no assurance that we will not sustain unexpected losses. We could incur substantial losses and our business operations could be disrupted to the extent our business model, operational processes, control functions, technological capabilities, risk analyses, and business/product knowledge do not adequately identify and manage potential risks associated with our business operations and strategic initiatives. There also may be risks that exist, or that develop in the future, that we have not appropriately anticipated, identified or mitigated, including when processes are changed or new products are introduced. If our risk management framework does not effectively identify and control our risks, we could suffer unexpected losses or be adversely affected, which could have a material adverse effect on our business, financial condition, and results of operations.</w:t>
      </w:r>
    </w:p>
    <w:p>
      <w:pPr>
        <w:spacing w:after="0" w:line="11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the ordinary course of our business, we and the third parties upon which we rely may collect, receive, store, process, generate, use, transfer, disclose, make accessible, protect, secure, dispose of, transmit, and share (collectively, “process”) proprietary, confidential, and sensitive data, including personal data (such as anonymized health-related data in connection with our clinical trials), intellectual property, trade secrets, business data, sensitive third-party data, business plans, transactions, financial information and patient data.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which could materially disrupt our systems and operations, supply chain, and ability to produce, sell and distribute our services.</w:t>
      </w:r>
    </w:p>
    <w:p>
      <w:pPr>
        <w:spacing w:after="0" w:line="112"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231F20"/>
        </w:rPr>
        <w:t>We and the third parties upon which we rely may be subject to a variety of evolving threats, including but not limited to social-engineering attacks (including through deep fakes, which may be increasingly more difficult to identify as a fake and phishing attacks), malicious code (such as viruses and worms), malware (including as a result of advanced persistent threat intrusions), denial-of- service attacks (credential stuffing attacks), credential harvesting, personnel misconduct or error, ransomware attacks, supply-chain attacks, software bugs, server malfunctions, software or hardware failures, loss of data or other information technology assets, adware, telecommunications and electrical failures, earthquakes, fires, floods, attacks enhanced or facilitated by AI, and other similar threats.</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9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2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addition, our reliance on third-parties could introduce new cybersecurity risks and vulnerabilities, including supply-chain attacks and other threats to our business operations. We may rely on third-parties and third-party technologies to operate critical business systems to process sensitive data in a variety of contexts, including, without limitation, cloud-based infrastructure, data center facilities, encryption and authentication technology, employee email, and other functions. We may also rely on third-parties to provide other products, services, parts, or otherwise to operate our business, including clinical trial sites and investigators, contractors, manufacturers, suppliers, and consultants. Our ability to monitor these third parties’ information security practices is limited, and these third parties may not have adequate information security measures in place. If the third-parties upon which we rely experience a security incident or other interruption, we could experience adverse consequences. While we may be entitled to damages if our third parties upon which rely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in the third parties upon which rely supply chains have not been compromised.</w:t>
      </w:r>
    </w:p>
    <w:p>
      <w:pPr>
        <w:spacing w:after="0" w:line="127" w:lineRule="exact"/>
        <w:rPr>
          <w:sz w:val="20"/>
          <w:szCs w:val="20"/>
          <w:color w:val="auto"/>
        </w:rPr>
      </w:pPr>
    </w:p>
    <w:p>
      <w:pPr>
        <w:ind w:right="380" w:firstLine="324"/>
        <w:spacing w:after="0" w:line="276" w:lineRule="auto"/>
        <w:rPr>
          <w:sz w:val="20"/>
          <w:szCs w:val="20"/>
          <w:color w:val="auto"/>
        </w:rPr>
      </w:pPr>
      <w:r>
        <w:rPr>
          <w:rFonts w:ascii="Times New Roman" w:cs="Times New Roman" w:eastAsia="Times New Roman" w:hAnsi="Times New Roman"/>
          <w:sz w:val="17"/>
          <w:szCs w:val="17"/>
          <w:color w:val="231F20"/>
        </w:rPr>
        <w:t>While we have implemented security measures designed to protect against security incident, there can be no assurance that these measures will be effective. We take steps designed to detect, mitigate, and remediate vulnerabilities in our information systems (such as our hardware and/or software,</w:t>
      </w:r>
    </w:p>
    <w:p>
      <w:pPr>
        <w:spacing w:after="0" w:line="1"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231F20"/>
        </w:rPr>
        <w:t>including that of third parties upon which we rely</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231F20"/>
        </w:rPr>
        <w:t xml:space="preserve"> We may not, however, detect and remediate all such vulnerabilities on a timely basis. Further, we may experience delays in developing and deploying remedial measures and patches designed to address identified vulnerabilities, which could be exploited and resulted in a security incident.</w:t>
      </w:r>
    </w:p>
    <w:p>
      <w:pPr>
        <w:spacing w:after="0" w:line="10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231F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which we rely. A security incident or other interruption could disrupt our ability (and that of third parties upon which we rely) to provide our services. 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2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Additionally, applicable data privacy and security obligations may require us to notify relevant stakeholders, including affected individuals, customers, regulators, and investors, of security incidents or to implement other requirements, such as providing credit monitoring. Such disclosures and compliance with such requirements are costly, and the disclosure or the failure to comply with such requirements could lead to adverse consequences.</w:t>
      </w:r>
    </w:p>
    <w:p>
      <w:pPr>
        <w:spacing w:after="0" w:line="10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If we (or a third party upon which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(including but not limited to damage to our patient, partner, or employee relationships); monetary fund diversions; interruptions in our operations (including availability of data and interruptions to our clinical trial operations); financial loss; delay in the development and commercialization of our products and product candidates; and other similar harms. Security incidents and attendant consequences may cause customers to stop using our services, deter new customers from using our services, and negatively impact our ability to grow and operate our business.</w:t>
      </w:r>
    </w:p>
    <w:p>
      <w:pPr>
        <w:spacing w:after="0" w:line="11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00" w:lineRule="exact"/>
        <w:rPr>
          <w:sz w:val="20"/>
          <w:szCs w:val="20"/>
          <w:color w:val="auto"/>
        </w:rPr>
      </w:pPr>
    </w:p>
    <w:p>
      <w:pPr>
        <w:spacing w:after="0" w:line="3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Natural or man-made disasters and other similar events may significantly disrupt our business, and negatively impact our business, financial condition and results of operations.</w:t>
      </w:r>
    </w:p>
    <w:p>
      <w:pPr>
        <w:spacing w:after="0" w:line="7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Our ability to make, move and sell products in coordination with our suppliers, manufacturers and business partners is critical to our success. Damage or disruption to our collective supply, manufacturing or distribution capabilities resulting from weather, any potential effects of climate change, natural disasters, pandemics or other outbreaks of contagious diseases, fire, explosion, cyber-attacks, terrorism, strikes, repairs or enhancements at facilities manufacturing or delivering TriNav or other reasons could impair our ability to manufacture, sell or timely deliver TriNav to customers and patients. Further, such damage or disruption to the supply, manufacturing, or trial sites of nelitolimod could impair our ability to complete our clinical trials on a timely basis, if at all.</w:t>
      </w:r>
    </w:p>
    <w:p>
      <w:pPr>
        <w:spacing w:after="0" w:line="12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We rely on a limited number of third-party suppliers and manufacturers. Adverse events affecting such suppliers or manufacturers may limit our ability to obtain the materials they supply or manufacture for us, or alternatives at competitive prices, or at all. Competitors can be affected differently by weather conditions and natural disasters depending on the location of their suppliers and operations. Failure to take adequate steps to reduce the likelihood or mitigate the potential impact of such events, or to effectively manage such events if they occur, particularly when materials are sourced from a single location or supplier or produced by a single manufacturer, could adversely affect our business, financial condition, results of operations and/or require additional resources to restore our supply chain or manufacturing capabilities, as applicable.</w:t>
      </w:r>
    </w:p>
    <w:p>
      <w:pPr>
        <w:spacing w:after="0" w:line="11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Any acquisitions, strategic investments, entries into new businesses, joint ventures, divestitures, and other transactions could fail to achieve strategic objectives, disrupt our ongoing operations, result in operating difficulties, liabilities and expenses, harm our business, or negatively impact our results of operations.</w:t>
      </w:r>
    </w:p>
    <w:p>
      <w:pPr>
        <w:spacing w:after="0" w:line="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We may evaluate and consider strategic transactions, combinations, acquisitions, dispositions, joint ventures or similar transactions. These transactions could be material to our financial condition and results of operations if consummated. If we are able to identify an appropriate business opportunity, we may not be successful in negotiating favorable terms and/or consummating the transaction and, even if we do consummate such a transaction, we may be unable to obtain the benefits or avoid the difficulties and risks of such transaction. Any strategic transaction, combination, acquisition, disposition, joint venture or similar transaction will involve risks encountered in business relationships, including:</w:t>
      </w:r>
    </w:p>
    <w:p>
      <w:pPr>
        <w:spacing w:after="0" w:line="7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assimilating and integrating the operations, personnel, systems, data, technologies, products and services of the acquired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of the acquired technologies, products or businesses to achieve expected levels of revenue, profitability, productivity or other benefits;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retaining, training, motivating and integrating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diversion of management’s time and resources from our normal daily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successfully incorporating licensed or acquired technology and rights into our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maintaining uniform standards, controls, procedures, and policies within the combined organizations;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retaining relationships with customers, employees, and suppliers of the acquired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risks of entering markets in which we have no or limited prior experience;</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regulatory risks, including remaining in good standing with existing regulatory bodies or receiving any necessary pre-closing or post-closing approvals, as well as being subject to new regulators with oversight over an acquired business;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assumption of contractual obligations that contain terms that are not beneficial to us, require us to license or waive intellectual property rights, or increase our liability;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successfully further develop any acquired product candidates or technology;</w:t>
      </w:r>
    </w:p>
    <w:p>
      <w:pPr>
        <w:spacing w:after="0" w:line="117" w:lineRule="exact"/>
        <w:rPr>
          <w:rFonts w:ascii="Times New Roman" w:cs="Times New Roman" w:eastAsia="Times New Roman" w:hAnsi="Times New Roman"/>
          <w:sz w:val="18"/>
          <w:szCs w:val="18"/>
          <w:color w:val="auto"/>
        </w:rPr>
      </w:pPr>
    </w:p>
    <w:p>
      <w:pPr>
        <w:ind w:left="660" w:right="280" w:hanging="328"/>
        <w:spacing w:after="0" w:line="312" w:lineRule="auto"/>
        <w:tabs>
          <w:tab w:leader="none" w:pos="6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liability for activities of the acquired or disposed of business before the acquisition or disposition, including patent and trademark infringement claims, violations of laws, regulatory actions, commercial disputes, tax liabilities, assumed debt and other known and unknown liabilities;</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difficulty in separating assets and replacing shared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disruptions to our ongoing businesses;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unexpected costs and unknown risks and liabilities associated with the specific transaction.</w:t>
      </w:r>
    </w:p>
    <w:p>
      <w:pPr>
        <w:spacing w:after="0" w:line="15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We may not make any strategic transactions, combinations, acquisitions, dispositions, joint ventures or similar transactions, or any future transactions, combinations, acquisitions, dispositions, joint ventures or similar transactions</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31F20"/>
        </w:rPr>
        <w:t>may not be successful, may not benefit our business strategy, may not generate sufficient revenue to offset the associated costs, or may not otherwise result in the intended benefits.</w:t>
      </w:r>
    </w:p>
    <w:p>
      <w:pPr>
        <w:spacing w:after="0" w:line="8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231F20"/>
        </w:rPr>
        <w:t>It may take us longer than expected to fully realize the anticipated benefits and synergies of these transactions and those benefits and synergies may ultimately be smaller than anticipated or may not be realized at all, which could adversely affect our business and operating results.</w:t>
      </w:r>
    </w:p>
    <w:p>
      <w:pPr>
        <w:spacing w:after="0" w:line="9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Any strategic transactions, combinations, acquisitions, dispositions, joint ventures or similar transactions may also require us to issue additional equity securities, spend our cash, or incur debt (and increase our interest expense), liabilities, and amortization expenses related to intangible assets or write-offs of goodwill, which could adversely affect our results of operations and the interests of holders of our indebtedness and dilute the economic and voting rights of our stockholders.</w:t>
      </w:r>
    </w:p>
    <w:p>
      <w:pPr>
        <w:spacing w:after="0" w:line="11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In addition, we cannot assure you that any future acquisition of new businesses, products, product candidates or technologies will lead to the successful integration of any products, product candidates or technologies acquired with our existing operations or the successful development of new or enhanced products or that any new or enhanced products, if developed, will achieve market acceptance or prove to be profitable. Further, we may also choose to divest certain businesses or product lines that no longer fit with our strategic objectives. If we decide to sell assets or a business, we may have difficulty obtaining terms acceptable to us in a timely manner, or at all. Additionally, the terms of such potential transactions may expose us to ongoing obligations and liabilities.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Legal and Regulatory Environment</w:t>
      </w:r>
    </w:p>
    <w:p>
      <w:pPr>
        <w:spacing w:after="0" w:line="15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numerous complex regulatory requirements, and failure to comply with these regulations, or the cost of compliance with these regulations, may harm our business. *</w:t>
      </w:r>
    </w:p>
    <w:p>
      <w:pPr>
        <w:spacing w:after="0" w:line="9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The research, pre-clinical testing, clinical trials, manufacturing, marketing and distribution of medical devices, human drugs and biologics and combination products are subject to regulation by numerous governmental authorities in the United States and other jurisdictions, if we desire to export the resulting products to such other jurisdictions. These regulations govern or affect the testing, manufacture, safety, effectiveness, labeling, storage, record-keeping, approval or clearance, distribution, advertising and promotion of product candidates, as well as safe working conditions. In some cases, the FDA requirements have increased the amount of time and resources necessary to develop new products and bring them to market in the United States. The FDA and foreign regulatory authorities have substantial discretion to require additional testing, to delay or withhold registration and marketing approval or clearance and to otherwise preclude distribution and sale of a product. In addition, regulatory approval or clearance could impose limitations on the indicated or intended uses for which product candidates may be marketed, and impose post- approval requirements. Our failure to obtain approval or clearance, significant delays in the approval or clearance process, or our failure to maintain approval or clearance in any jurisdiction will prevent us from selling any applicable products in that jurisdiction. We would not be able to realize revenues for those new products in any jurisdiction where we do not have approval or clearance.</w:t>
      </w:r>
    </w:p>
    <w:p>
      <w:pPr>
        <w:spacing w:after="0" w:line="1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Even after a product candidate has been approved, the FDA and comparable governmental authorities subject such product to continuing review and regulatory requirements including, for example, the reporting of safety issues or adverse events associated with use of an approved drug or cleared or approved device.</w:t>
      </w:r>
    </w:p>
    <w:p>
      <w:pPr>
        <w:spacing w:after="0" w:line="108" w:lineRule="exact"/>
        <w:rPr>
          <w:sz w:val="20"/>
          <w:szCs w:val="20"/>
          <w:color w:val="auto"/>
        </w:rPr>
      </w:pPr>
    </w:p>
    <w:p>
      <w:pPr>
        <w:ind w:right="480" w:firstLine="324"/>
        <w:spacing w:after="0" w:line="312" w:lineRule="auto"/>
        <w:rPr>
          <w:sz w:val="20"/>
          <w:szCs w:val="20"/>
          <w:color w:val="auto"/>
        </w:rPr>
      </w:pPr>
      <w:r>
        <w:rPr>
          <w:rFonts w:ascii="Times New Roman" w:cs="Times New Roman" w:eastAsia="Times New Roman" w:hAnsi="Times New Roman"/>
          <w:sz w:val="17"/>
          <w:szCs w:val="17"/>
          <w:color w:val="231F20"/>
        </w:rPr>
        <w:t>These authorities may, in certain circumstances, require us to conduct and report the results of certain clinical studies or trials and to commit to voluntarily conducting additional clinical trials. Developments following regulatory approval or clearance may adversely affect sales of our products.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Failure to comply with, or changes to applicable regulatory requirements may result in a variety of consequences, including the following:</w:t>
      </w:r>
    </w:p>
    <w:p>
      <w:pPr>
        <w:spacing w:after="0" w:line="158"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231F20"/>
        </w:rPr>
        <w:t>restrictions on our products or the manufacturing processes of such products;</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231F20"/>
        </w:rPr>
        <w:t>warning letters, untitled letters and cyber letters;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231F20"/>
        </w:rPr>
        <w:t>withdrawal of a product from the market;</w:t>
      </w:r>
    </w:p>
    <w:p>
      <w:pPr>
        <w:spacing w:after="0" w:line="134"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231F20"/>
        </w:rPr>
        <w:t>voluntary or mandatory recall of a product;</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231F20"/>
        </w:rPr>
        <w:t>fines;</w:t>
      </w:r>
    </w:p>
    <w:p>
      <w:pPr>
        <w:spacing w:after="0" w:line="111"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231F20"/>
        </w:rPr>
        <w:t xml:space="preserve">suspension or </w:t>
      </w:r>
      <w:r>
        <w:rPr>
          <w:rFonts w:ascii="Times New Roman" w:cs="Times New Roman" w:eastAsia="Times New Roman" w:hAnsi="Times New Roman"/>
          <w:sz w:val="21"/>
          <w:szCs w:val="21"/>
          <w:color w:val="231F20"/>
        </w:rPr>
        <w:t>withdrawal</w:t>
      </w:r>
      <w:r>
        <w:rPr>
          <w:rFonts w:ascii="Times New Roman" w:cs="Times New Roman" w:eastAsia="Times New Roman" w:hAnsi="Times New Roman"/>
          <w:sz w:val="18"/>
          <w:szCs w:val="18"/>
          <w:color w:val="231F20"/>
        </w:rPr>
        <w:t xml:space="preserve"> of regulatory </w:t>
      </w:r>
      <w:r>
        <w:rPr>
          <w:rFonts w:ascii="Times New Roman" w:cs="Times New Roman" w:eastAsia="Times New Roman" w:hAnsi="Times New Roman"/>
          <w:sz w:val="21"/>
          <w:szCs w:val="21"/>
          <w:color w:val="231F20"/>
        </w:rPr>
        <w:t>approvals</w:t>
      </w:r>
      <w:r>
        <w:rPr>
          <w:rFonts w:ascii="Times New Roman" w:cs="Times New Roman" w:eastAsia="Times New Roman" w:hAnsi="Times New Roman"/>
          <w:sz w:val="18"/>
          <w:szCs w:val="18"/>
          <w:color w:val="231F20"/>
        </w:rPr>
        <w:t xml:space="preserve"> or clearances </w:t>
      </w:r>
      <w:r>
        <w:rPr>
          <w:rFonts w:ascii="Times New Roman" w:cs="Times New Roman" w:eastAsia="Times New Roman" w:hAnsi="Times New Roman"/>
          <w:sz w:val="21"/>
          <w:szCs w:val="21"/>
          <w:color w:val="231F20"/>
        </w:rPr>
        <w:t>for</w:t>
      </w:r>
      <w:r>
        <w:rPr>
          <w:rFonts w:ascii="Times New Roman" w:cs="Times New Roman" w:eastAsia="Times New Roman" w:hAnsi="Times New Roman"/>
          <w:sz w:val="18"/>
          <w:szCs w:val="18"/>
          <w:color w:val="231F20"/>
        </w:rPr>
        <w:t xml:space="preserve"> a product;</w:t>
      </w:r>
    </w:p>
    <w:p>
      <w:pPr>
        <w:spacing w:after="0" w:line="123"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231F20"/>
        </w:rPr>
        <w:t xml:space="preserve">suspension of </w:t>
      </w:r>
      <w:r>
        <w:rPr>
          <w:rFonts w:ascii="Times New Roman" w:cs="Times New Roman" w:eastAsia="Times New Roman" w:hAnsi="Times New Roman"/>
          <w:sz w:val="21"/>
          <w:szCs w:val="21"/>
          <w:color w:val="231F20"/>
        </w:rPr>
        <w:t>any</w:t>
      </w:r>
      <w:r>
        <w:rPr>
          <w:rFonts w:ascii="Times New Roman" w:cs="Times New Roman" w:eastAsia="Times New Roman" w:hAnsi="Times New Roman"/>
          <w:sz w:val="18"/>
          <w:szCs w:val="18"/>
          <w:color w:val="231F20"/>
        </w:rPr>
        <w:t xml:space="preserve"> ongoing clinical trials;</w:t>
      </w:r>
    </w:p>
    <w:p>
      <w:pPr>
        <w:spacing w:after="0" w:line="172"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231F20"/>
        </w:rPr>
        <w:t>refusal to permit the import or export of our products;</w:t>
      </w: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right="280" w:hanging="328"/>
        <w:spacing w:after="0" w:line="309" w:lineRule="auto"/>
        <w:tabs>
          <w:tab w:leader="none" w:pos="64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18"/>
          <w:szCs w:val="18"/>
          <w:color w:val="231F20"/>
        </w:rPr>
        <w:t xml:space="preserve">refusal to </w:t>
      </w:r>
      <w:r>
        <w:rPr>
          <w:rFonts w:ascii="Times New Roman" w:cs="Times New Roman" w:eastAsia="Times New Roman" w:hAnsi="Times New Roman"/>
          <w:sz w:val="21"/>
          <w:szCs w:val="21"/>
          <w:color w:val="231F20"/>
        </w:rPr>
        <w:t>approve</w:t>
      </w:r>
      <w:r>
        <w:rPr>
          <w:rFonts w:ascii="Times New Roman" w:cs="Times New Roman" w:eastAsia="Times New Roman" w:hAnsi="Times New Roman"/>
          <w:sz w:val="18"/>
          <w:szCs w:val="18"/>
          <w:color w:val="231F20"/>
        </w:rPr>
        <w:t xml:space="preserve"> pending applications or supplements to </w:t>
      </w:r>
      <w:r>
        <w:rPr>
          <w:rFonts w:ascii="Times New Roman" w:cs="Times New Roman" w:eastAsia="Times New Roman" w:hAnsi="Times New Roman"/>
          <w:sz w:val="21"/>
          <w:szCs w:val="21"/>
          <w:color w:val="231F20"/>
        </w:rPr>
        <w:t>approved</w:t>
      </w:r>
      <w:r>
        <w:rPr>
          <w:rFonts w:ascii="Times New Roman" w:cs="Times New Roman" w:eastAsia="Times New Roman" w:hAnsi="Times New Roman"/>
          <w:sz w:val="18"/>
          <w:szCs w:val="18"/>
          <w:color w:val="231F20"/>
        </w:rPr>
        <w:t xml:space="preserve"> applications that we submit; requiring us to conduct additional clinical </w:t>
      </w:r>
      <w:r>
        <w:rPr>
          <w:rFonts w:ascii="Times New Roman" w:cs="Times New Roman" w:eastAsia="Times New Roman" w:hAnsi="Times New Roman"/>
          <w:sz w:val="21"/>
          <w:szCs w:val="21"/>
          <w:color w:val="231F20"/>
        </w:rPr>
        <w:t xml:space="preserve">trials, </w:t>
      </w:r>
      <w:r>
        <w:rPr>
          <w:rFonts w:ascii="Times New Roman" w:cs="Times New Roman" w:eastAsia="Times New Roman" w:hAnsi="Times New Roman"/>
          <w:sz w:val="17"/>
          <w:szCs w:val="17"/>
          <w:color w:val="231F20"/>
        </w:rPr>
        <w:t>change our product labeling or submit additional applications</w:t>
      </w:r>
      <w:r>
        <w:rPr>
          <w:rFonts w:ascii="Times New Roman" w:cs="Times New Roman" w:eastAsia="Times New Roman" w:hAnsi="Times New Roman"/>
          <w:sz w:val="21"/>
          <w:szCs w:val="21"/>
          <w:color w:val="231F20"/>
        </w:rPr>
        <w:t xml:space="preserve"> for </w:t>
      </w:r>
      <w:r>
        <w:rPr>
          <w:rFonts w:ascii="Times New Roman" w:cs="Times New Roman" w:eastAsia="Times New Roman" w:hAnsi="Times New Roman"/>
          <w:sz w:val="17"/>
          <w:szCs w:val="17"/>
          <w:color w:val="231F20"/>
        </w:rPr>
        <w:t>marketing authorization;</w:t>
      </w:r>
    </w:p>
    <w:p>
      <w:pPr>
        <w:spacing w:after="0" w:line="48" w:lineRule="exact"/>
        <w:rPr>
          <w:rFonts w:ascii="Arial" w:cs="Arial" w:eastAsia="Arial" w:hAnsi="Arial"/>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18"/>
          <w:szCs w:val="18"/>
          <w:color w:val="231F20"/>
        </w:rPr>
        <w:t>denial of permission to file an application or supplement in a jurisdiction;</w:t>
      </w:r>
    </w:p>
    <w:p>
      <w:pPr>
        <w:spacing w:after="0" w:line="98" w:lineRule="exact"/>
        <w:rPr>
          <w:rFonts w:ascii="Arial" w:cs="Arial" w:eastAsia="Arial" w:hAnsi="Arial"/>
          <w:sz w:val="20"/>
          <w:szCs w:val="20"/>
          <w:color w:val="auto"/>
        </w:rPr>
      </w:pPr>
    </w:p>
    <w:p>
      <w:pPr>
        <w:ind w:left="660" w:right="640" w:hanging="328"/>
        <w:spacing w:after="0" w:line="346" w:lineRule="auto"/>
        <w:tabs>
          <w:tab w:leader="none" w:pos="64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18"/>
          <w:szCs w:val="18"/>
          <w:color w:val="231F20"/>
        </w:rPr>
        <w:t xml:space="preserve">debarment, exclusion from participation in federal healthcare </w:t>
      </w:r>
      <w:r>
        <w:rPr>
          <w:rFonts w:ascii="Times New Roman" w:cs="Times New Roman" w:eastAsia="Times New Roman" w:hAnsi="Times New Roman"/>
          <w:sz w:val="21"/>
          <w:szCs w:val="21"/>
          <w:color w:val="231F20"/>
        </w:rPr>
        <w:t>programs,</w:t>
      </w:r>
      <w:r>
        <w:rPr>
          <w:rFonts w:ascii="Times New Roman" w:cs="Times New Roman" w:eastAsia="Times New Roman" w:hAnsi="Times New Roman"/>
          <w:sz w:val="18"/>
          <w:szCs w:val="18"/>
          <w:color w:val="231F20"/>
        </w:rPr>
        <w:t xml:space="preserve"> exclusion or debarment from government contracting, consent decrees, or corporate integrity agreements;</w:t>
      </w:r>
    </w:p>
    <w:p>
      <w:pPr>
        <w:spacing w:after="0" w:line="24" w:lineRule="exact"/>
        <w:rPr>
          <w:rFonts w:ascii="Arial" w:cs="Arial" w:eastAsia="Arial" w:hAnsi="Arial"/>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18"/>
          <w:szCs w:val="18"/>
          <w:color w:val="231F20"/>
        </w:rPr>
        <w:t>seizure or detention of products; and</w:t>
      </w:r>
    </w:p>
    <w:p>
      <w:pPr>
        <w:spacing w:after="0" w:line="111" w:lineRule="exact"/>
        <w:rPr>
          <w:rFonts w:ascii="Arial" w:cs="Arial" w:eastAsia="Arial" w:hAnsi="Arial"/>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18"/>
          <w:szCs w:val="18"/>
          <w:color w:val="231F20"/>
        </w:rPr>
        <w:t xml:space="preserve">injunctions or the imposition of civil or criminal penalties against </w:t>
      </w:r>
      <w:r>
        <w:rPr>
          <w:rFonts w:ascii="Times New Roman" w:cs="Times New Roman" w:eastAsia="Times New Roman" w:hAnsi="Times New Roman"/>
          <w:sz w:val="21"/>
          <w:szCs w:val="21"/>
          <w:color w:val="231F20"/>
        </w:rPr>
        <w:t>us.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More stringent oversight by the FDA and other agencies in recent years has resulted in increased enforcement activity, which increases our compliance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risk.</w:t>
      </w:r>
    </w:p>
    <w:p>
      <w:pPr>
        <w:spacing w:after="0" w:line="13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To the extent that our partners or we do not perform particular regulated functions themselves but contract out to third parties, including contract manufacturers, contract research organizations, clinical trial sites, and laboratories, our partners or we may be held responsible for such third parties’ failure to follow the applicable regulatory requirements.</w:t>
      </w:r>
    </w:p>
    <w:p>
      <w:pPr>
        <w:spacing w:after="0" w:line="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spacing w:after="0" w:line="9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231F20"/>
        </w:rPr>
        <w:t>We may decide to pursue marketing authorization for a combination product comprised of drug candidates and medical devices. A combination product includes, among other possibilities, a combination of a drug and device intended to be used together, according to their proposed labeling where both are required to achieve the intended use, indication or effect.</w:t>
      </w:r>
    </w:p>
    <w:p>
      <w:pPr>
        <w:spacing w:after="0" w:line="10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Developing and obtaining regulatory approval or clearance for combination products pose unique challenges because they involve components that are regulated by the FDA pursuant to different regulatory frameworks and by different FDA centers. As a result, such products raise regulatory, policy and review management challenges. For example, because divisions from both FDA’s Center for Drug Evaluation and Research and FDA’s Center for Devices and Radiological Health must review submissions concerning product candidates that are combination products comprised of drug and devices, the regulatory review and approval for these products may be lengthened. In addition, differences in regulatory pathways for each component of a combination product can impact the regulatory processes for all aspects of product development and management, including clinical investigation, marketing applications, manufacturing and quality control, adverse event reporting, promotion and advertising, user fees and post- approval modifications. Similarly, the device components of our product candidates will require any necessary approvals or clearances or other marketing authorizations or certifications in other jurisdictions, which may prove challenging to obtain.</w:t>
      </w:r>
    </w:p>
    <w:p>
      <w:pPr>
        <w:spacing w:after="0" w:line="1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intend to use the FDA’s expedited drug development programs for nelitolimod but may not be able to achieve expedited development or approval for this product candidate.</w:t>
      </w:r>
    </w:p>
    <w:p>
      <w:pPr>
        <w:spacing w:after="0" w:line="9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The FDA has established various expedited drug development programs to facilitate more rapid and efficient development, review and approval of certain types of drugs. Such programs include fast track designation, breakthrough therapy designation, accelerated approval, and priority review. We intend to use one or more expedited drug development programs for nelitolimod . The FDA has broad discretion on whether or not to admit a drug candidate for these programs, so even if we believe a particular product candidate is eligible for an expedited drug development program, we cannot assure you that the FDA would agree. Even if any of our product candidates is admitted to any of the expedited drug development programs, we may not experience a faster development process, review or approval compared to conventional FDA approval timelines, and the FDA may still decline to approve such product candidates.</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Fast track designation is designed to facilitate the development and expedite the review of therapies for serious conditions that fill an unmet medical need. Programs with fast track designation may benefit from early and frequent communications with the FDA, potential priority review and the ability to submit a rolling application for regulatory review.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or due to other issues, we will not receive the benefits associated with the fast track program. Fast track designation alone does not guarantee qualification for the FDA’s priority review procedures.</w:t>
      </w:r>
    </w:p>
    <w:p>
      <w:pPr>
        <w:spacing w:after="0" w:line="10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231F20"/>
        </w:rPr>
        <w:t>FDA may award breakthrough therapy designation to a drug or biologic that is intended, alone or in combination with one or more other drugs or biologics, to treat a serious or life-threatening disease or condition, and preliminary</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231F20"/>
        </w:rPr>
        <w:t>clinical evidence indicates that the drug or biologic may demonstrate substantial improvement over existing therapies on one or more clinically significant endpoints.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Designation as a breakthrough therapy is within the discretion of the FDA. Even if one or more of our product candidates qualify as breakthrough therapies pursuant to FDA standards, the FDA may later decide that the product no longer meets the conditions for qualification. Thus, even though we may seek breakthrough therapy designation for one or more of our current or future product candidates, there can be no assurance that we will receive breakthrough therapy designation.</w:t>
      </w:r>
    </w:p>
    <w:p>
      <w:pPr>
        <w:spacing w:after="0" w:line="10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231F20"/>
        </w:rPr>
        <w:t>If any of our programs or product candidates receive fast track or breakthrough therapy designation by the FDA or similar designations by other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FDA procedures. A fast track or breakthrough therapy designation does not ensure that a product candidate will receive marketing approval or that approval will be granted within any particular time frame. In addition, the FDA may withdraw any such designation if it believes that the designation is no longer supported by data from our clinical development program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nelitolimod or any future product candidates. Any marketing approval we or our collaborators ultimately obtain may be limited or subject to restrictions or post-approval commitments that render the approved product not commercially viable.</w:t>
      </w:r>
    </w:p>
    <w:p>
      <w:pPr>
        <w:spacing w:after="0" w:line="11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we receive orphan drug designation for any of our product candidates, we may be unable to maintain the benefits associated with such designation, including the potential for market exclusivity.</w:t>
      </w:r>
    </w:p>
    <w:p>
      <w:pPr>
        <w:spacing w:after="0" w:line="9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United States and the EU, may also designate drugs for relatively small patient populations as orphan drugs. Under the Orphan Drug Act, the FDA may designate a product candidate as an orphan drug if it is a drug intended to treat a rare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EMA’s Committee for Orphan Medicinal Products evaluates orphan drug designation to promote the development of products that are intended for the diagnosis, prevention or treatment of a life-threatening or chronically debilitating condition affecting not more than five in 10,000 persons in the EU. In the United States, orphan drug designation entitles a party to financial incentives such as opportunities for grant funding towards clinical trial costs, tax advantages and user-fee waivers, and it may entitle the therapeutic to exclusivity. Regulatory authorities may not grant our requests for orphan designation or may require submission of additional data before making such determination.</w:t>
      </w:r>
    </w:p>
    <w:p>
      <w:pPr>
        <w:spacing w:after="0" w:line="10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Even if we receive orphan drug designation for any of our product candidates, there is no guarantee that it will obtain approval or orphan drug exclusivity for such product candidates. Even if we obtain orphan drug exclusivity for any of our product candidates, that exclusivity may not effectively protect the product candidates from competition because different therapies can be approved for the same condition and the same therapy could be approved for different conditions. Even after an orphan drug is approved, the FDA can subsequently approve a different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disease for which it received orphan designation. On January 24, 2023, the FDA announced its intention to apply its existing regulations and long-standing approach to grant orphan drug exclusivity based on the indications for which the drug is approved rather than granting the exclusivity for the entire rare disease or condition that was the subject of the orphan drug designation, in response to the U.S. Court of Appeals for the Eleventh Circuit’s September 30, 2021, decision in </w:t>
      </w:r>
      <w:r>
        <w:rPr>
          <w:rFonts w:ascii="Times New Roman" w:cs="Times New Roman" w:eastAsia="Times New Roman" w:hAnsi="Times New Roman"/>
          <w:sz w:val="18"/>
          <w:szCs w:val="18"/>
          <w:i w:val="1"/>
          <w:iCs w:val="1"/>
          <w:color w:val="231F20"/>
        </w:rPr>
        <w:t>Catalyst P</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harms., Inc. v. Becerra</w:t>
      </w:r>
      <w:r>
        <w:rPr>
          <w:rFonts w:ascii="Times New Roman" w:cs="Times New Roman" w:eastAsia="Times New Roman" w:hAnsi="Times New Roman"/>
          <w:sz w:val="18"/>
          <w:szCs w:val="18"/>
          <w:color w:val="231F20"/>
        </w:rPr>
        <w:t>. Moreover, orphan drug exclusive marketing rights in the United States may be lost if the FDA later determines that the request for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2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Further, under the Inflation Reduction Act of 2022 (“IRA”), orphan drugs are exempted from the Medicare drug price negotiation program, but only if they have one orphan designation and for which the only approved indication is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for that disease or condition. If a product receives multiple rare disease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9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Disruptions at the FDA, SEC and other government agencies (e.g., CMS) caused by funding shortages or global health concerns could hinder our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1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12"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231F20"/>
        </w:rPr>
        <w:t>Disruptions at the FDA and other agencies may also slow the time necessary for new medical devices, drugs or biologics to be reviewed and/or approved by necessary government agencies, which would adversely affect our business. For example, over the last several years, the United States government has shut down several times,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Separately, in response to the COVID-19 pandemic, the FDA had to postpone inspections of foreign and domestic manufacturing facilities and products. While such inspections have resumed, the FDA may use remote interactive evaluations where in-person inspections are not feasible or may defer action due to factors including travel restrictions. Regulatory authorities outside the United States have adopted similar restrictions or other policy measures and may experience delays in their regulatory activities. If a prolonged government shutdown occurs, or if global health concerns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12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Accordingly, if we or any future collaborators experience delays in obtaining approval or clearance or if we or they fail to obtain approval or clearance of nelitolimod or any future product candidates, the commercial prospects for these product candidates may be harmed, and our ability to generate revenues will be materially impaired.</w:t>
      </w:r>
    </w:p>
    <w:p>
      <w:pPr>
        <w:spacing w:after="0" w:line="10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Even if we complete the necessary preclinical studies and clinical trials, the regulatory approval or clearance process is expensive, time-consuming and uncertain and may prevent us from obtaining approvals or clearances for the commercialization of nelitolimod or any future product candidates. If we or any future collaborators are not able to obtain, or if there are delays in obtaining, required regulatory approvals or clearances, we or they will not be able to commercialize nelitolimod, and our ability to generate revenue will be materially impaired.</w:t>
      </w:r>
    </w:p>
    <w:p>
      <w:pPr>
        <w:spacing w:after="0" w:line="9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The activities associated with nelitolimod or other product candidates’ development and commercialization, including testing, manufacturing, safety, efficacy, record keeping, labeling, storage, approval or clearance, advertising, promotion, sale and distribution, export and import, are subject to comprehensive regulation by the FDA and other regulatory agencies in the United States. Additionally, in order to commercialize, develop, market and sell our products in the EU, Canada, the United Kingdom, China or other countries and many other jurisdictions, we or our third-party collaborators must obtain separate marketing approvals or clearances and comply with numerous and varying regulatory requirements for comparable regulatory authorities in these other countries.</w:t>
      </w:r>
    </w:p>
    <w:p>
      <w:pPr>
        <w:spacing w:after="0" w:line="120" w:lineRule="exact"/>
        <w:rPr>
          <w:sz w:val="20"/>
          <w:szCs w:val="20"/>
          <w:color w:val="auto"/>
        </w:rPr>
      </w:pPr>
    </w:p>
    <w:p>
      <w:pPr>
        <w:ind w:right="300" w:firstLine="324"/>
        <w:spacing w:after="0" w:line="277" w:lineRule="auto"/>
        <w:rPr>
          <w:sz w:val="20"/>
          <w:szCs w:val="20"/>
          <w:color w:val="auto"/>
        </w:rPr>
      </w:pPr>
      <w:r>
        <w:rPr>
          <w:rFonts w:ascii="Times New Roman" w:cs="Times New Roman" w:eastAsia="Times New Roman" w:hAnsi="Times New Roman"/>
          <w:sz w:val="17"/>
          <w:szCs w:val="17"/>
          <w:color w:val="231F20"/>
        </w:rPr>
        <w:t>Failure to obtain marketing approval or clearance for nelitolimod or any future product candidates will prevent us from commercializing them. We have not received approval to market nelitolimod from regulatory authorities in any jurisdiction. We have limited experience in the designing of clinical trials, in obtaining authorization and in conducting clinical trials in various countries and expect to rely on third-party CROs to assist us in this process. Securing marketing approval or clearance requires the submission of extensive preclinical and clinical data and supporting information, including manufacturing information, to the various regulatory authorities for each therapeutic indication to establish the product candidate’s safety and efficacy.</w:t>
      </w:r>
    </w:p>
    <w:p>
      <w:pPr>
        <w:spacing w:after="0" w:line="10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Nelitolimod or any future product candidates may not be effective, may be only moderately effective or may prove to have undesirable or unintended side effects, toxicities or other characteristics that may preclude us from obtaining marketing approval or clearance or prevent or limit commercial use. The success of our product candidates will depend on several additional factors, including:</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successful completion of preclinical studies;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successful initiation of, patient enrollment in, and completion of clinical trials that demonstrate their safety and efficacy;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receiving marketing approvals or clearances from applicable regulatory authorities;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maintaining, protecting and enforcing patent, trade secret and other intellectual property rights and regulatory exclusivity for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completing any post-marketing studies required by applicable regulatory authorities;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making and maintaining arrangements with third-party manufacturers, or establishing manufacturing capabilities, for both clinical and commercial supplies of our product candidates;</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establishing sales, marketing and distribution capabilities and successfully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prevalence and severity of adverse events experienced with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continued acceptable safety profile following approval or clearance;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and maintaining healthcare coverage and adequate reimbursement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competing effectively with other cancer therapies, including with respect to the sales and marketing of our product candidates, if approved;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licenses to any third-party intellectual property we deem necessary or desirable;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any necessary third-party agreements to register nelitolimod as part of a combination therapy.</w:t>
      </w:r>
    </w:p>
    <w:p>
      <w:pPr>
        <w:spacing w:after="0" w:line="15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Many of these factors are beyond our control, including the time needed to adequately complete preclinical studies, clinical testing and the regulatory submission process, our ability to obtain and protect intellectual property rights and changes in the competitive landscape. It is possible that none of our product candidates will ever obtain regulatory approval or clearance, even if we expend substantial time and resources seeking such approval or clearance. In addition, in many countries outside the United States, a product must be approved for reimbursement before the product can be approved for sale in that country. We or any future third-party collaborators may not obtain approvals or clearances from regulatory authorities outside the United States on a timely basis, if at all. Approvals or clearances by the FDA does not ensure approval or clearance by regulatory authorities in other countries or jurisdictions, and approval or clearance by one regulatory authority outside the United States does not ensure approval or clearance by regulatory authorities in other countries or jurisdictions or by the FDA. If we do not achieve one or more of these factors in a timely manner or at all, we could experience significant delays or an inability to successfully complete clinical trials, obtain regulatory approval or clearance or, if approved, commercialize our product candidates, which would materially harm our business, financial condition, results of operations and prospects.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in the future develop product candidates in combination with other therapies and that may expose us to additional risks</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We may develop future product candidates for use in combination with one or more currently approved therapies. Even if any product candidate we develop was to receive marketing approval or be commercialized for use in combination with other existing therapies, we would continue to be subject to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products being removed from the market or being less successful commercially.</w:t>
      </w:r>
    </w:p>
    <w:p>
      <w:pPr>
        <w:spacing w:after="0" w:line="12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231F20"/>
        </w:rPr>
        <w:t>We may also evaluate our product candidates in combination with one or more other therapies that have not yet been approved for marketing by the FDA or similar foreign regulatory authorities. We will not be able to market and sell our product candidates we develop in combination with any such unapproved therapies that do not ultimately obtain marketing approval.</w:t>
      </w:r>
    </w:p>
    <w:p>
      <w:pPr>
        <w:spacing w:after="0" w:line="9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If the FDA or similar foreign regulatory authorities do not approve or revoke the approval of these other drugs, or if safety, efficacy, manufacturing or supply issues arise with the drugs that we choose to evaluate in combination with our product candidates, we may be unable to obtain approval of or market our product candidates.</w:t>
      </w:r>
    </w:p>
    <w:p>
      <w:pPr>
        <w:spacing w:after="0" w:line="10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we obtain regulatory approval or clearance for nelitolimod or any future product candidates, such product candidates will remain subject to ongoing regulatory oversight.</w:t>
      </w:r>
    </w:p>
    <w:p>
      <w:pPr>
        <w:spacing w:after="0" w:line="200" w:lineRule="exact"/>
        <w:rPr>
          <w:sz w:val="20"/>
          <w:szCs w:val="20"/>
          <w:color w:val="auto"/>
        </w:rPr>
      </w:pPr>
    </w:p>
    <w:p>
      <w:pPr>
        <w:spacing w:after="0" w:line="3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Even if we obtain regulatory approval or clearance for any of our product candidates, they will be subject to extensive and ongoing regulatory requirements for manufacturing processes, labeling, packaging, distribution, adverse event reporting, storage, advertising, promotion, sampling and record-keeping.</w:t>
      </w:r>
    </w:p>
    <w:p>
      <w:pPr>
        <w:spacing w:after="0" w:line="9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 In addition, any regulatory approvals or clearances that we receive for our product candidates may also be subject to limitations on the approved indicated uses for which the product candidate may be marketed or to the conditions of approval or clearance, or contain requirements for potentially costly post- marketing testing, including Phase 4 clinical trials, that may require surveillance requirements regarding monitoring the safety and efficacy of the product candidate. In particular, a product may not be promoted for uses that are not approved by the FDA or such other regulatory agencies as reflected in the product’s approved labeling. If we receive marketing approval or clearance for any future product candidates we may develop, physicians may nevertheless prescribe it to their patients in a manner that is inconsistent with the approved label. However, if we are found to have promoted such off-label uses, we may become subject to significant liability. The FDA may also require a Risk Evaluation and Mitigation Strategies (“REMS”)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2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 FDA’s and other regulatory authorities’ policies may change, and additional government regulations may be enacted that could prevent, limit or delay regulatory approval or clearance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or clearance that we may have obtained and we may not achieve or sustain profitability. Moreover, 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w:t>
      </w:r>
    </w:p>
    <w:p>
      <w:pPr>
        <w:spacing w:after="0" w:line="8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issuing warning or untitled letters;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seeking an injunction or imposing civil or criminal penalties or monetary fines;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or imposition of restrictions on operations, including product manufacturing;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seizure or detention of products, refusal to permit the import or export of products or request that we initiate a product recall;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or withdrawal of our marketing authorizations;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of any ongoing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refusal to approve pending applications or supplements to applications submitted by us;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requiring us to conduct additional clinical trials, change our product labeling or submit additional applications for marketing authorization.</w:t>
      </w:r>
    </w:p>
    <w:p>
      <w:pPr>
        <w:spacing w:after="0" w:line="158"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231F20"/>
        </w:rPr>
        <w:t>If any of these events occurs, our ability to sell such product may be impaired, and we may incur substantial additional expense to comply with regulatory requirements, which could harm our business, financial condition, results of operations and prospects.</w:t>
      </w:r>
    </w:p>
    <w:p>
      <w:pPr>
        <w:spacing w:after="0" w:line="8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In particular for TriNav and the pancreatic retrograde venous infusion (“PRVI”) device and any future medical device product candidate, we and our third-party suppliers are required to comply with the FDA’s Quality System Regulation (“QSR”). These FDA regulations cover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by the FDA. If we or our manufacturers fail to adhere to QSR requirements in the United States,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In addition, the FDA assesses compliance with the QSR through periodic announced and unannounced inspections of manufacturing and other facilities. The failure by us or one of our suppliers to comply with applicable statutes and regulations administered by the FDA, or the failure to timely and adequately respond to any adverse inspectional observations or product safety issues, could result in any of the enforcement actions listed above. Any of these sanctions could have a material adverse effect on our reputation, business, results of operations and financial condition. Furthermore, our key component suppliers may not currently be or may not continue to be in compliance with all</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applicable regulatory requirements, which could result in our failure to produce our products on a timely basis and in the required quantities, if at all.</w:t>
      </w:r>
    </w:p>
    <w:p>
      <w:pPr>
        <w:spacing w:after="0" w:line="140" w:lineRule="exact"/>
        <w:rPr>
          <w:sz w:val="20"/>
          <w:szCs w:val="20"/>
          <w:color w:val="auto"/>
        </w:rPr>
      </w:pPr>
    </w:p>
    <w:p>
      <w:pPr>
        <w:ind w:right="52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If any of our product candidates receives marketing approval or clearance and we or others later discover that the product is less effective than previously believed or causes undesirable side effects that were not previously identified, our ability to market the product could be compromised.</w:t>
      </w:r>
    </w:p>
    <w:p>
      <w:pPr>
        <w:spacing w:after="0" w:line="68"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231F20"/>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or clearance, and we or others later discover that such product candidates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withdrawal or limitation by regulatory authorities of approvals or clearances of such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recall of the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requirements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commitment to expensive additional safety studies prior to approval or clearance or post-marketing studies required by regulatory authorities of such product;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impact on the product’s competitiveness;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harm to our reputation and resulting harm to physician or patient acceptance of our products</w:t>
      </w:r>
    </w:p>
    <w:p>
      <w:pPr>
        <w:spacing w:after="0" w:line="15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Any of these events could prevent us from achieving or maintaining market acceptance of the particular product candidate, if approved, and could harm our business, financial condition, results of operations and prospects.</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Healthcare reform and other governmental and private payor initiatives may have an adverse effect upon, and could prevent, the commercial success of our products or product candidates.</w:t>
      </w:r>
    </w:p>
    <w:p>
      <w:pPr>
        <w:spacing w:after="0" w:line="9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231F20"/>
        </w:rPr>
        <w:t>In the U.S. and in certain foreign jurisdictions, there have been a number of legislative and regulatory changes to the healthcare system that could impact our ability to sell our products profitably, such as the Patient Protection and Affordable Care Act, as amended by the Health Care and Education Affordability Reconciliation Act of 2010, or collectively the Affordable Care Act (“ACA”).</w:t>
      </w:r>
    </w:p>
    <w:p>
      <w:pPr>
        <w:spacing w:after="0" w:line="10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Since its enactment, there have been numerous judicial, administrative, executive, and legislative challenges to certain aspects of the ACA, and we expect that there will be additional challenges and amendments to the ACA in the future. For example, on June 17, 2021, the U.S. Supreme Court dismissed a challenge on procedural grounds that argued the ACA is unconstitutional in its entirety because the individual mandate was repealed by Congress.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newly established manufacturer discount program.</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Other legislative changes have been proposed and adopted in the U.S.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the required goals, thereby triggering the legislation’s automatic reduction to several government programs. This includes aggregate reductions of Medicare payments to providers of 2% per fiscal year that will remain in effect through 2032 unless additional congressional action is taken.</w:t>
      </w:r>
    </w:p>
    <w:p>
      <w:pPr>
        <w:spacing w:after="0" w:line="11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There has been increasing legislative and enforcement interest in the U.S. with respect to prescription- pricing practices. Specifically, there have been several recent U.S. Congressional inquiries and proposed and enacted federal and state legislation designed to, among other things, bring more transparency to drug pricing, reduce the cost of</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231F20"/>
        </w:rPr>
        <w:t>prescription drugs under Medicare, review the relationship between pricing and manufacturer patient programs, and reform government program reimbursement methodologies for drugs.</w:t>
      </w:r>
    </w:p>
    <w:p>
      <w:pPr>
        <w:spacing w:after="0" w:line="8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At the federal level, in July 2021, the Biden administration released an executive order, “Promoting Competition in the American Economy,” with multiple provisions aimed at prescription drugs. In response to Biden’s executive order, on September 9, 2021,the U.S. Department of Health and Human Services (“HHS”)released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In addition, the IRA, among other things, (1) directs HHS to negotiate the price of certain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Centers for Medicare &amp; Medicaid Services, or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2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We expect that these and other healthcare reform measures that may be adopted in the future may result in more rigorous coverage criteria and in additional downward pressure on reimbursement price that we receive for any cleared, authorized, or approved device, or any of our product candidates in the future, if approved. Any reduction in reimbursement from Medicare or other government programs may result in a similar reduction in payments from private payors.</w:t>
      </w:r>
    </w:p>
    <w:p>
      <w:pPr>
        <w:spacing w:after="0" w:line="112"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231F20"/>
        </w:rPr>
        <w:t>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clearance, authorization, or approval and that may affect our overall financial condition and ability to develop product candidates. If we or any third parties we may engage are slow or unable to adapt to changes in existing requirements or the adoption of new requirements or policies, or if we or such third parties are not able to maintain regulatory compliance, our current or any future product candidates that we may develop may lose any regulatory clearance, authorization, or approval that may have been obtained and we may not achieve or sustain profitability.</w:t>
      </w:r>
    </w:p>
    <w:p>
      <w:pPr>
        <w:spacing w:after="0" w:line="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TriNav and the PRVI device must be manufactured in accordance with federal and foreign regulations, and we or any of our suppliers or third-party manufacturers could be forced to recall the products or terminate production if we fail to comply with these regulations.</w:t>
      </w:r>
    </w:p>
    <w:p>
      <w:pPr>
        <w:spacing w:after="0" w:line="91"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231F20"/>
        </w:rPr>
        <w:t>The design, manufacture and marketing of medical devices involve certain inherent risks. Manufacturing or design defects, component failures, unapproved or improper use of our products, or inadequate disclosure of risks or other information relating to the use of our products can lead to injury or other serious adverse events. The FDA and similar foreign governmental authorities have the authority to require the recall of commercialized products in the event of material deficiencies or defects in design or manufacture. For the FDA, the authority to require a recall must be based on a finding that there is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The FDA requires that certain classifications of recalls be reported to the FDA within ten working days after the recall is initiated. A government-mandated or voluntary recall by us or one of our international distributors could occur as a result of an unacceptable risk to health, component failures, malfunctions,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subject to liability claims, be required to bear other costs, or take other actions that may have a negative impact on our future sales and our ability to generate profits. Companies are required to maintain certain records of recalls, even if they are not reportable to the FDA or another third-country competent authority. We may initiate voluntary recalls involving our products in the future that we determine do not require notification of the FDA or another third-country competent authority. If the FDA disagrees with our</w:t>
      </w:r>
    </w:p>
    <w:p>
      <w:pPr>
        <w:spacing w:after="0" w:line="200" w:lineRule="exact"/>
        <w:rPr>
          <w:sz w:val="20"/>
          <w:szCs w:val="20"/>
          <w:color w:val="auto"/>
        </w:rPr>
      </w:pPr>
    </w:p>
    <w:p>
      <w:pPr>
        <w:spacing w:after="0" w:line="3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231F20"/>
        </w:rPr>
        <w:t>determinations, the FDA could require us to report those actions as recalls. A future recall announcement could harm our reputation with customers and negatively affect our sales. In addition, the FDA could take enforcement action for failing to report recalls. We are also required to follow detailed recordkeeping requirements for all firm- initiated medical device corrections and removals.</w:t>
      </w:r>
    </w:p>
    <w:p>
      <w:pPr>
        <w:spacing w:after="0" w:line="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treatment guidelines for the cancer indications that we are targeting change or the standard of care evolves, we may need to redesign our preclinical or clinical trials of, or seek new marketing authorization from, the FDA for any approved products.</w:t>
      </w:r>
    </w:p>
    <w:p>
      <w:pPr>
        <w:spacing w:after="0" w:line="91" w:lineRule="exact"/>
        <w:rPr>
          <w:sz w:val="20"/>
          <w:szCs w:val="20"/>
          <w:color w:val="auto"/>
        </w:rPr>
      </w:pPr>
    </w:p>
    <w:p>
      <w:pPr>
        <w:ind w:right="160" w:firstLine="324"/>
        <w:spacing w:after="0" w:line="274" w:lineRule="auto"/>
        <w:rPr>
          <w:sz w:val="20"/>
          <w:szCs w:val="20"/>
          <w:color w:val="auto"/>
        </w:rPr>
      </w:pPr>
      <w:r>
        <w:rPr>
          <w:rFonts w:ascii="Times New Roman" w:cs="Times New Roman" w:eastAsia="Times New Roman" w:hAnsi="Times New Roman"/>
          <w:sz w:val="17"/>
          <w:szCs w:val="17"/>
          <w:color w:val="231F20"/>
        </w:rPr>
        <w:t>If treatment guidelines for the cancer indications that we are targeting change or the standard of care evolves, We may need to redesign TriNav, the PRVI device or any product candidates and seek new clearances or approvals from the FDA for any approved products. Our 510(k) clearances from the FDA for TriNav, TriNav Large and the PRVI device are based on current treatment guidelines. If treatment guidelines change so that different treatments become desirable, the clinical utility of TriNav and the PRVI device could be diminished, and our business could suffer. Competition by other forms of cancer treatment, for example, the development of new and more efficacious systemic therapies, could reduce the use of regional therapy as a standard of care in certain indications. Changes in treatment guidelines or standard of care may also impact product coverage and/or reimbursement by payers.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methods of product candidate manufacturing or formulation may result in additional costs or delays.</w:t>
      </w:r>
    </w:p>
    <w:p>
      <w:pPr>
        <w:spacing w:after="0" w:line="14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As product candidates proceed through preclinical studies to late-stage clinical trials towards potential approval or clearance and commercialization, it is common that various aspects of the development activities, such as manufacturing methods and formulation, are altered along the way in an effort to optimize processes and results.</w:t>
      </w:r>
    </w:p>
    <w:p>
      <w:pPr>
        <w:spacing w:after="0" w:line="10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Any of these changes could cause nelitolimod or any future product candidates to perform differently and affect the results of planned clinical trials or other future clinical trials conducted with the materials manufactured using altered processes. Such changes may also require additional testing, including comparability testing, to bridge earlier clinical data obtained from nelitolimod produced under earlier manufacturing methods or formulations, and regulatory authorities may disagree on the interpretation of results from this testing. This could delay the completion of clinical trials, require the conduct of bridging clinical trials or the repetition of one or more clinical trials, increase clinical trial costs, delay approval of nelitolimod or any future product candidates and jeopardize our ability to commence sales and generate revenue.</w:t>
      </w:r>
    </w:p>
    <w:p>
      <w:pPr>
        <w:spacing w:after="0" w:line="1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customers, hospitals,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9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231F20"/>
        </w:rPr>
        <w:t>Healthcare providers, including physicians and third-party payors in the United States and elsewhere, will play a primary role in the recommendation of TriNav and the PRVI device and prescription of any product candidates for which we obtain marketing approval or clearance. Our current and future arrangements with healthcare professionals, principal investigators, consultants, hospitals, customers and third-party payors subject us to various federal and state fraud and abuse laws, data privacy and security laws, transparency laws and other healthcare laws that may constrain the business or financial arrangements and relationships through which we research, sell, market, and distribute TriNav and the PRVI device, and any other any future products candidates once they have obtained marketing authorization. Restrictions under applicable federal and state healthcare laws and regulations, include the following:</w:t>
      </w:r>
    </w:p>
    <w:p>
      <w:pPr>
        <w:spacing w:after="0" w:line="81" w:lineRule="exact"/>
        <w:rPr>
          <w:sz w:val="20"/>
          <w:szCs w:val="20"/>
          <w:color w:val="auto"/>
        </w:rPr>
      </w:pPr>
    </w:p>
    <w:p>
      <w:pPr>
        <w:ind w:left="660" w:hanging="328"/>
        <w:spacing w:after="0" w:line="256" w:lineRule="auto"/>
        <w:tabs>
          <w:tab w:leader="none" w:pos="655"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a person or entity from knowingly and willfully soliciting, offering, paying, receiving or providing remuneration, directly or indirectly, in cash or in kind, to induce or reward either the referral of an individual for, or the purchase, lease order, arranging for or recommendation of, any good, facility, item or service, for which payment may be made, in whole or in part, by a federal healthcare program, such as Medicare or Medicaid. A person or entity does not need to have actual knowledge of the statute or specific intent to violate it in order to have committed a violation. In addition, a violation of the Anti-Kickback Statute can form the basis for a violation of the federal False Claims Act (discussed below);</w:t>
      </w:r>
    </w:p>
    <w:p>
      <w:pPr>
        <w:spacing w:after="0" w:line="79" w:lineRule="exact"/>
        <w:rPr>
          <w:rFonts w:ascii="Times New Roman" w:cs="Times New Roman" w:eastAsia="Times New Roman" w:hAnsi="Times New Roman"/>
          <w:sz w:val="18"/>
          <w:szCs w:val="18"/>
          <w:color w:val="231F20"/>
        </w:rPr>
      </w:pPr>
    </w:p>
    <w:p>
      <w:pPr>
        <w:ind w:left="660" w:right="80" w:hanging="328"/>
        <w:spacing w:after="0" w:line="258" w:lineRule="auto"/>
        <w:tabs>
          <w:tab w:leader="none" w:pos="655"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civil and criminal false claims laws and civil monetary penalties laws, including the federal False Claims Act, which provides for civil whistleblower or qui tam actions, that impose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referral made in violation of the federal Anti-Kickback Statute constitutes a false or fraudulent claim for purposes of the False Claims Act;</w:t>
      </w:r>
    </w:p>
    <w:p>
      <w:pPr>
        <w:spacing w:after="0" w:line="75"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Health Insurance Portability and Accountability Act (“HIPAA”) which imposes criminal and civil liability for, among other things, executing a scheme to defraud any healthcare benefit program, or knowingly</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60" w:right="200"/>
        <w:spacing w:after="0" w:line="266" w:lineRule="auto"/>
        <w:rPr>
          <w:sz w:val="20"/>
          <w:szCs w:val="20"/>
          <w:color w:val="auto"/>
        </w:rPr>
      </w:pPr>
      <w:r>
        <w:rPr>
          <w:rFonts w:ascii="Times New Roman" w:cs="Times New Roman" w:eastAsia="Times New Roman" w:hAnsi="Times New Roman"/>
          <w:sz w:val="18"/>
          <w:szCs w:val="18"/>
          <w:color w:val="231F20"/>
        </w:rPr>
        <w:t>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8" w:lineRule="exact"/>
        <w:rPr>
          <w:sz w:val="20"/>
          <w:szCs w:val="20"/>
          <w:color w:val="auto"/>
        </w:rPr>
      </w:pPr>
    </w:p>
    <w:p>
      <w:pPr>
        <w:ind w:left="660" w:right="60" w:hanging="328"/>
        <w:spacing w:after="0" w:line="289" w:lineRule="auto"/>
        <w:tabs>
          <w:tab w:leader="none" w:pos="655"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HIPAA, as amended by the Health Information Technology for Economic and Clinical Health Act (“HITECH”), and their implementing regulations, which impose obligations on certain covered entity healthcare providers, health plans and healthcare clearinghouses as well as their business associates and subcontractors that perform certain services involving the use or disclosure of individually identifiable health information;</w:t>
      </w:r>
    </w:p>
    <w:p>
      <w:pPr>
        <w:spacing w:after="0" w:line="49" w:lineRule="exact"/>
        <w:rPr>
          <w:rFonts w:ascii="Times New Roman" w:cs="Times New Roman" w:eastAsia="Times New Roman" w:hAnsi="Times New Roman"/>
          <w:sz w:val="17"/>
          <w:szCs w:val="17"/>
          <w:color w:val="231F20"/>
        </w:rPr>
      </w:pPr>
    </w:p>
    <w:p>
      <w:pPr>
        <w:ind w:left="660" w:right="280" w:hanging="328"/>
        <w:spacing w:after="0" w:line="256" w:lineRule="auto"/>
        <w:tabs>
          <w:tab w:leader="none" w:pos="65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transparency requirements known as the federal Physician Payments Sunshine Act, created as part of ACA, which requires certain manufacturers of drugs, devices, biologics and medical supplies for which payment is available under Medicare, Medicaid or the Children’s Health Insurance Program to report annually to the CMS information related to payments and other transfers of value made by that entity to physicians (defined to include doctors, dentists, optometrists, podiatrists and chiropractors), other healthcare professionals (such as physicians assistants and nurse practitioners) and teaching hospitals, as well as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local, state and foreign laws and regulations, such as state anti-kickback and false claims laws that may apply to healthcare items or services reimbursed by third-party payors, including private insurers.</w:t>
      </w:r>
    </w:p>
    <w:p>
      <w:pPr>
        <w:spacing w:after="0" w:line="94"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231F20"/>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If the physicians or other providers or entities with whom we do, or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could be subject to litigation that could have an adverse effect on our business and operating results.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We are, from time to time, involved in litigation. The numerous operating hazards inherent in our business increase our exposure to litigation, which may involve, among other things, contract disputes, personal injury, environmental, employment, warranty and product liability claims, tax and securities litigation, patent infringement and other intellectual property claims and litigation that arises in the ordinary course of business. Our management cannot predict with certainty the outcome or effect of any claim or other litigation matter. Litigation may have an adverse effect on us because of potential negative outcomes such as monetary damages or restrictions on future operations, the costs associated with defending the lawsuits, the diversion of management’s resources and other factors.</w:t>
      </w:r>
    </w:p>
    <w:p>
      <w:pPr>
        <w:spacing w:after="0" w:line="10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Potential product liability lawsuits against us could cause us to incur substantial liabilities and limit commercialization of any products that we may develop.</w:t>
      </w:r>
    </w:p>
    <w:p>
      <w:pPr>
        <w:spacing w:after="0" w:line="9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We are developing additional sizes of, and uses for, the TriNav device. Our product candidates may be used in connection with medical procedures in which it is important that those products function with precision and accuracy. If our existing TriNav device or our product candidates, if approved, do not function as designed, or are designed improperly, we may be forced by regulatory agencies to withdraw such products from the market. In addition, the use of our product candidates in clinical trials, the sale of any products for which we obtain marketing approval, and other liability risks that are inherent in the testing, manufacturing, marketing and sale of medical devices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231F20"/>
        </w:rPr>
        <w:t>effects. If we cannot successfully defend against product liability claims, we could incur substantial liability and costs, which may not be covered by insurance. Claims or losses in excess of any product liability insurance coverage that we may obtain could have a material adverse effect on our business, financial condition and results of operations. In addition, regardless of merit or eventual outcome, product liability claims may result in:</w:t>
      </w:r>
    </w:p>
    <w:p>
      <w:pPr>
        <w:spacing w:after="0" w:line="68"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impairment of our business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withdrawal of participants from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injury to our reputation;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significant costs to defend the related litigation and related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commercialize a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exhaustion of any available insurance and our capital resources, and the inability to commercialize any product candidate;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decreased demand for a product candidate, if approved for commercial sale;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loss of revenue.</w:t>
      </w:r>
    </w:p>
    <w:p>
      <w:pPr>
        <w:spacing w:after="0" w:line="144"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Although we currently carry clinical trial insurance and product liability insurance which we believe to be reasonable, such insurance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0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and the third parties with whom we work may be subject to stringent and evolving U.S. and foreign laws, regulations, and rules, contractual obligations,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spacing w:after="0" w:line="11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231F20"/>
        </w:rPr>
        <w:t>In the ordinary course of business, we process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9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w:t>
      </w:r>
    </w:p>
    <w:p>
      <w:pPr>
        <w:spacing w:after="0" w:line="11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In the past few years, numerous states - including California, Virginia, Colorado, Connecticut, and Utah - have passed comprehensive privacy laws which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maintained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developments may further complicate compliance efforts, and may increase legal risk and compliance costs to us and the third parties upon which we rely.</w:t>
      </w:r>
    </w:p>
    <w:p>
      <w:pPr>
        <w:spacing w:after="0" w:line="14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231F20"/>
        </w:rPr>
        <w:t>Outside the United States, an increasing number of laws, regulations, and industry standards may govern data privacy and security. For example, the EU’s General Data Protection Regulation (“EU GDPR”) imposes strict requirements for processing personal data, and,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1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could satisfy or rely on these measures to lawfully transfer personal data to the United States. If there is no lawful manner for us to transfer personal data from the EEA, the UK, or other jurisdictions to the United States, we could face significant adverse consequences.</w:t>
      </w:r>
    </w:p>
    <w:p>
      <w:pPr>
        <w:spacing w:after="0" w:line="12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w:t>
      </w:r>
    </w:p>
    <w:p>
      <w:pPr>
        <w:spacing w:after="0" w:line="9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231F20"/>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0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Obligations related to data privacy and security (and consumers' data privacy expectations)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1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We may at times fail (or be perceived to have failed) in our efforts to comply with our data privacy and security obligations. Moreover, despite our efforts, our personnel or third parties on which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0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tax law and differences in interpretation of tax laws and regulations may adversely impact our financial statements.</w:t>
      </w:r>
    </w:p>
    <w:p>
      <w:pPr>
        <w:spacing w:after="0" w:line="162"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231F20"/>
        </w:rPr>
        <w:t>We operate in multiple jurisdictions and are subject to tax laws and regulations of the U.S. federal, state and local and non-U.S. governments. U.S. federal, state and local and non-U.S. tax laws and regulations are complex and subject to change and varying interpretations. For instance, the IRA imposes, among other rules, a 15% minimum tax on the</w:t>
      </w:r>
    </w:p>
    <w:p>
      <w:pPr>
        <w:spacing w:after="0" w:line="200" w:lineRule="exact"/>
        <w:rPr>
          <w:sz w:val="20"/>
          <w:szCs w:val="20"/>
          <w:color w:val="auto"/>
        </w:rPr>
      </w:pPr>
    </w:p>
    <w:p>
      <w:pPr>
        <w:spacing w:after="0" w:line="3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231F20"/>
        </w:rPr>
        <w:t>book income of certain large corporations and a 1% excise tax on certain corporate stock repurchases. U.S. federal, state and local and non-U.S. tax authorities may interpret tax laws and regulations differently than we do and challenge tax positions that we have taken. This may result in differences in the treatment of revenues, deductions, credits and/or differences in the timing of these items. The differences in treatment may result in payment of additional taxes, interest or penalties that could have an adverse effect on our financial condition and results of operations. Further, future changes to U.S. federal, state and local and non-U.S. tax laws and regulations could increase our tax obligations in jurisdictions where we do business or require us to change the manner in which we conduct some aspects of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 carryforwards and certain other tax attributes is limited.</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have incurred losses during our history. Unused federal net operating losses (“NOLs”) for taxable years beginning before January 1, 2018, may be carried forward to offset future taxable income, if any, until such unused NOLs expire. Under current law, federal NOLs incurred in taxable years beginning after December 31, 2017, can be carried forward indefinitely, but the deductibility of such federal NOLs is limited to 80% of taxable income. It is uncertain if and to what extent various states will conform to federal tax laws.</w:t>
      </w:r>
    </w:p>
    <w:p>
      <w:pPr>
        <w:spacing w:after="0" w:line="11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In addition,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tax credits) to offset its post-change income or taxes may be limited. We have experienced ownership changes in the past and may experience ownership changes in the future as a result of subsequent shifts in our stock ownership (some of which shifts are outside our control). As a result, if we earn net taxable income, our ability to use our pre-change NOLs to offset such taxable income will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These factors could limit our ability to use our NOLs and other tax attributes, which could adversely affect our future cash flows or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5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to obtain, adequately protect, maintain or enforce our intellectual property rights could substantially harm our business and results of operations.</w:t>
      </w:r>
    </w:p>
    <w:p>
      <w:pPr>
        <w:spacing w:after="0" w:line="9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Our success depends in part on our ability to obtain and maintain protection for our owned and in-licensed intellectual property rights and proprietary technology. We rely on a combination of patents, trademarks, trade secret protection and confidentiality agreements, including in-licenses of intellectual property rights of others, to protect our current or future platform technologies, products, product candidates, methods used to manufacture our current or future product candidates and methods for treating patients using our current or future product candidates.</w:t>
      </w:r>
    </w:p>
    <w:p>
      <w:pPr>
        <w:spacing w:after="0" w:line="9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We own or in-license patents and patent applications relating to our platform technologies, products and product candidates. There is no guarantee that any patents covering our platform technologies or product candidates will issue from the patent applications we own, in-license or may file in the future, or, if they do, that the issued claims will provide adequate protection for our platform technologies or product candidates, or any meaningful competitive advantage. Further, there cannot be any assurance that such patents issued will not be infringed, designed around, invalidated by third parties or effectively prevent others from commercializing competitive technologies, products or product candidates.</w:t>
      </w:r>
    </w:p>
    <w:p>
      <w:pPr>
        <w:spacing w:after="0" w:line="11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The patent prosecution process is expensive, complex and time-consuming. Patent license negotiations also can be complex and protracted, with uncertain results. We may not be able to file, prosecute, maintain, enforce or license all necessary or desirable patents and patent applications at a reasonable cost or in a timely manner. It is also possible that we will fail to identify patentable aspects of our research and development output before it is too late to obtain patent protection. The patent applications that we own or in- license may fail to result in issued patents, and, even if patents are issued, such patents may not cover our current or future technologies or product candidates in the United States or in other countries or provide sufficient protection from competitors. In addition, the coverage claimed in a patent application can be significantly reduced before the patent is issued, and its scope can be reinterpreted after issuance. We do not have exclusive control over the preparation, filing and prosecution of patent applications under certain of our in-license agreements, and we may not have the right to control the preparation, filing and prosecution of patent applications, or to maintain the rights to patents that we out-licenses to third parties. Therefore, these patents and applications may not be prosecuted and enforced in a manner consistent with the best interests of our business. 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w:t>
      </w:r>
    </w:p>
    <w:p>
      <w:pPr>
        <w:spacing w:after="0" w:line="200" w:lineRule="exact"/>
        <w:rPr>
          <w:sz w:val="20"/>
          <w:szCs w:val="20"/>
          <w:color w:val="auto"/>
        </w:rPr>
      </w:pPr>
    </w:p>
    <w:p>
      <w:pPr>
        <w:spacing w:after="0" w:line="3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Further, although we make reasonable efforts to ensure patentability of our inventions, we cannot guarantee that all of the potentially relevant prior art relating to our owned or in-licensed patents and patent applications has been found. For example, publications of discoveries in scientific literature often lag behind the actual discoveries, and patent applications in the United States and other jurisdictions are typically not published until 18 months after filing, and in some cases not at all. Additionally, pending patent applications that have been published can, subject to certain limitations, be later amended in a manner that could cover our platform technologies, our product candidates, or the use of our technologies. We thus cannot know with certainty whether we or our licensors were the first to file for patent protection of such inventions. In addition, the United States Patent and Trademark Office (“USPTO”) might require that the term of a patent issuing from a pending patent application be disclaimed and limited to the term of another patent that is commonly owned or names a common inventor. There is no assurance that all potentially relevant prior art relating to our owned or in-licensed patent applications has been found. For this reason, and because there is no guarantee that any prior art search is correct and comprehensive, we may be unaware of prior art that could be used to invalidate an issued patent or to prevent our owned or in-licensed patent applications from issuing as patents. Invalidation of any of our patent rights, including in-licensed patent rights, could materially harm our business.</w:t>
      </w:r>
    </w:p>
    <w:p>
      <w:pPr>
        <w:spacing w:after="0" w:line="11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Moreover, the patent positions of biotechnology and medical device companies like us are generally uncertain because they may involve complex legal and factual considerations that have, in recent years, been the subject of legal development and change. The relevant patent laws and their interpretation, both inside and outside of the United States, are also uncertain. Changes in either the patent laws or their interpretation in the United States and other jurisdictions may diminish our ability to protect our platform technology or product candidates and could affect the value of such intellectual property. Our ability to stop third parties from making, using, selling, offering to sell or importing products that infringe, misappropriate or otherwise violate our intellectual property will depend in part on our success in obtaining and enforcing patent claims that cover our platform technology, product candidates, inventions and improvements. We cannot guarantee that patents will be granted with respect to any of our owned or licensed pending patent applications or with respect to any patent applications we may file or license in the future, nor can we be sure that any patents that may be granted to us or our licensors in the future will be commercially useful in protecting our products, the methods of use or manufacture of those products. Additionally, third parties, including our former employees and collaborators, may challenge the ownership or inventorship of our patent rights to claim that they are entitled to ownership and inventorship interest, and we may not be successful in defending against such claims. However, we are not currently facing any such challenges. Moreover, issued patents do not guarantee the right to practice our technology in relation to the commercialization of our products. Issued patents only allow us to block —in some cases— potential competitors from practicing the claimed inventions of the issued patents.</w:t>
      </w:r>
    </w:p>
    <w:p>
      <w:pPr>
        <w:spacing w:after="0" w:line="12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issuance, scope, validity, enforceability and commercial value of our pending patent rights are uncertain. The standards applied by the USPTO and foreign patent offices in granting patents are not always certain and moreover, are not always applied uniformly or predictably. For example, there is no uniform worldwide policy regarding patentable subject matter or the scope of claims allowable in patents.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owned or in-licensed patent applications or narrow the scope of any patent protection we may obtain from our owned or in-licensed patent applications. In addition, the laws of foreign countries may not protect our rights to the same extent as the laws of the United States.</w:t>
      </w:r>
    </w:p>
    <w:p>
      <w:pPr>
        <w:spacing w:after="0" w:line="12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Further, patents and other intellectual property rights in the pharmaceutical, biotechnology and medical device space are evolving and involve many risks and uncertainties. For example, third parties may have blocking patents that could be used to prevent us from commercializing our product candidates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our products, product candidates and any future product candidates. In addition, the scope of the rights granted under any issued patents may not provide us with protection or competitive advantages against competitors or other parties with similar technology. Additionally, our competitors may initiate legal proceedings, such as declaratory judgment actions in federal court or reexaminations or an </w:t>
      </w:r>
      <w:r>
        <w:rPr>
          <w:rFonts w:ascii="Times New Roman" w:cs="Times New Roman" w:eastAsia="Times New Roman" w:hAnsi="Times New Roman"/>
          <w:sz w:val="18"/>
          <w:szCs w:val="18"/>
          <w:i w:val="1"/>
          <w:iCs w:val="1"/>
          <w:color w:val="231F20"/>
        </w:rPr>
        <w:t>inter partes</w:t>
      </w:r>
      <w:r>
        <w:rPr>
          <w:rFonts w:ascii="Times New Roman" w:cs="Times New Roman" w:eastAsia="Times New Roman" w:hAnsi="Times New Roman"/>
          <w:sz w:val="18"/>
          <w:szCs w:val="18"/>
          <w:color w:val="231F20"/>
        </w:rPr>
        <w:t xml:space="preserve"> review at the USPTO in an attempt to invalidate or narrow the scope of our patents. However, we are not currently facing any such proceedings. Furthermore, our competitors or other parties may independently develop similar technologies that are outside the scope of the rights granted under any issued patents. For these reasons, we may face competition with respect to our products, product candidates and any future product candidates. Moreover, because of the extensive time required for development, testing and regulatory review of a potential product, it is possible that, before any particular product candidate can be commercialized, any patent protection for such product candidate may expire or remain in force for only a short period following commercialization, thereby reducing the commercial advantage the patent provides.</w:t>
      </w:r>
    </w:p>
    <w:p>
      <w:pPr>
        <w:spacing w:after="0" w:line="106"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231F20"/>
        </w:rPr>
        <w:t>Even if patents do successfully issue from our owned or in-licensed patent application, and even if such patents cover our current or any future products or product candidates, third parties may challenge their validity, enforceability or scope, which may result in such patents being narrowed, invalidated, or held unenforceable. Any successful</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challenge to these patents or any other patents owned by or licensed to us could deprive us of rights necessary for the successful commercialization of any current or future products or product candidates that we may develop. Likewise, if patent applications we own or have in-licensed with respect to our development programs and current or future products or product candidates fail to issue, if their breadth or strength is threatened, or if they fail to provide meaningful exclusivity, other companies could be dissuaded from collaborating with us to develop current or future products or product candidates. Lack of valid and enforceable patent protection could threaten our ability to commercialize current or future products and could prevent us from maintaining exclusivity with respect to the invention or feature claimed in the patent applications. Any failure to obtain or any loss of patent protection could have a material adverse impact on our business and ability to achieve profitability may be unable to prevent competitors from entering the market with a product that is similar or identical to any of our products or current or potential future product candidates or from utilizing technologies similar to those in our products or current product candidates.</w:t>
      </w:r>
    </w:p>
    <w:p>
      <w:pPr>
        <w:spacing w:after="0" w:line="1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filing of a patent application or the issuance of a patent is not conclusive as to our ownership, inventorship, scope, patentability, validity or enforceability. Issued patents and patent applications may be challenged in the courts and in the patent office in the United States and abroad. For example, our patent applications or patent applications filed by our licensors, or any patents that grant therefrom, may be challenged through third-party submissions, opposition or derivation proceedings. By further example, any issued patents that may result from our owned or in-licensed patent applications may be challenged through reexamination, inter partes review or post-grant review proceedings before the USPTO, or in declaratory judgment actions or counterclaims. An adverse determination in any such submission, proceeding or litigation could prevent the issuance of, reduce the scope of, invalidate or render unenforceable our owned or in- licensed patent rights, result in the loss of exclusivity, limit our ability to stop others from using or commercializing similar or identical products and product candidates, or allow third parties to compete directly with us without payment to us. In addition, if the breadth or strength of protection provided by any patents that might result from our owned or in-licensed patent applications is threatened, it could dissuade companies from collaborating with us to license, develop or commercialize current or future products or product candidates. Any of the foregoing could have a material adverse effect on our business, financial condition, results of operations and prospects.</w:t>
      </w:r>
    </w:p>
    <w:p>
      <w:pPr>
        <w:spacing w:after="0" w:line="124"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231F20"/>
        </w:rPr>
        <w:t>Moreover, we currently co-own certain patents and patent applications with third parties and may in the future co-own additional patents and patent applications with third parties. If we are unable to obtain an exclusive license to any such third-party co-owners’ interest in such patents or patent application, such co-owners may be able to license their rights to other third parties, including our competitors, and our competitors could market competing products and technology. We may need the cooperation of any such co-owners to enforce such patents against third parties, and such cooperation may not be provided to us. Any of the foregoing could have a material adverse effect on our competitive position, business prospects and financial conditions.</w:t>
      </w:r>
    </w:p>
    <w:p>
      <w:pPr>
        <w:spacing w:after="0" w:line="12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Our in-licensed patent rights may be subject to a reservation of rights by one or more third parties, such as the U.S. government. In addition, our rights in such inventions may be subject to certain requirements to manufacture product candidates embodying such inventions in the United States. Any exercise by the U.S. government of such rights could harm our competitive position, business, financial condition, results of operations and prospects.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expiration or loss of patent protection may adversely affect our future revenues. *</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We rely on patent, trademark, trade secret and other intellectual property protection in the discovery, development, manufacturing and sale of our products and product candidates. In particular, patent protection is important in the development and eventual commercialization of our product candidates. Patents covering our product candidates normally provide market exclusivity, which is important in order to improve the probability that our product candidates are able to become profitable. Our commercial success will depend in large part on our ability to obtain and maintain patent and other intellectual property protection in the U.S. and other countries with respect to our products and product candidates.</w:t>
      </w:r>
    </w:p>
    <w:p>
      <w:pPr>
        <w:spacing w:after="0" w:line="11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The patent positions of biotechnology and medical device companies generally are highly uncertain, involve complex legal and factual questions and have in recent years been the subject of much litigation. As a result, the issuance, scope, validity, enforceability and commercial value of any patents that issue are highly uncertain. The steps we have taken to protect our proprietary rights may not be adequate to preclude misappropriation of our proprietary information or infringement of our intellectual property rights, both inside and outside the U.S. Further, the examination process may require us to narrow the claims of pending patent applications, which may limit the scope of patent protection that may be obtained if these applications issue. The rights that may be granted under future issued patents may not provide us with the proprietary protection or competitive advantages we are seeking. If we are unable to obtain and maintain patent protection for our products and product candidates, or if the scope of the patent protection obtained is not sufficient, our competitors could develop and commercialize technology and products similar or superior to ours, and our ability to successfully commercialize our products and product candidates may be impaired.</w:t>
      </w:r>
    </w:p>
    <w:p>
      <w:pPr>
        <w:spacing w:after="0" w:line="10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May 8, 2024</w:t>
      </w:r>
      <w:r>
        <w:rPr>
          <w:rFonts w:ascii="Times New Roman" w:cs="Times New Roman" w:eastAsia="Times New Roman" w:hAnsi="Times New Roman"/>
          <w:sz w:val="18"/>
          <w:szCs w:val="18"/>
          <w:color w:val="231F20"/>
        </w:rPr>
        <w:t>, we owned at least 66 registered patents. Our issued U.S. patents expire between 2031 and 2040. All of our solely-owned granted U.S. and foreign patents that relate to composition of matter for nelitolimod expired in December 2023. Upon expiration of the patents covering nelitolimod, third parties, including other</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 xml:space="preserve">biopharmaceutical companies, will be able to obtain or use nelitolimod other than to the extent we have other patent protection, including through our method of use patents for pressure-controlled therapeutic delivery. In addition, certain of our patents relating to the use of TriNav will expire beginning in 2031, with additional patents relating to TriNav expiring in 2036 and 2038. While we are seeking additional patent coverage, there can be no assurances that such additional patent protection will be granted, or, if granted, that these patents will not be infringed upon or otherwise held enforceable. Even if we are successful in obtaining a patent, patents have a limited lifespan. Various extensions may be available; however, the life of a patent, and the protection it affords, is limited. We also intend to apply for orphan drug designation and orphan designation for nelitolimod in the U.S. and EU, respectively, which, if granted, would extend the regulatory exclusivity period beyond the initial five years of regulatory exclusivity for a New Chemical Entity ("NCE") from the date of approval in the U.S. and beyond the eight years of data exclusivity from the date of approval in Europe; however, there can be no assurance that we will ever obtain approval or orphan drug exclusivity for such product candidates. Without patent protection of our product candidates, we may be open to competition from generic versions of such methods and compositions. As of </w:t>
      </w:r>
      <w:r>
        <w:rPr>
          <w:rFonts w:ascii="Times New Roman" w:cs="Times New Roman" w:eastAsia="Times New Roman" w:hAnsi="Times New Roman"/>
          <w:sz w:val="18"/>
          <w:szCs w:val="18"/>
          <w:color w:val="000000"/>
        </w:rPr>
        <w:t>May 8, 2024</w:t>
      </w:r>
      <w:r>
        <w:rPr>
          <w:rFonts w:ascii="Times New Roman" w:cs="Times New Roman" w:eastAsia="Times New Roman" w:hAnsi="Times New Roman"/>
          <w:sz w:val="18"/>
          <w:szCs w:val="18"/>
          <w:color w:val="231F20"/>
        </w:rPr>
        <w:t>, we have at least 79 pending patent applications and 14 U.S. provisional patent applications. We do not know whether any of our patent applications will result in issued patents or, if any of our patent applications do issue, whether such patents will protect our technology and drugs, in whole or in part, or whether such patents will effectively prevent others from commercializing competitive technologies and products. Even if we are successful in obtaining a patent, patents have a limited lifespan. Various extensions may be available; however, the life of a patent, and the protection it affords, is limited. Without patent protection of our product candidates, we may be open to competition from generic versions of such drug products.</w:t>
      </w:r>
    </w:p>
    <w:p>
      <w:pPr>
        <w:spacing w:after="0" w:line="11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There is no guarantee that any of our issued or granted patents will not later be found invalid or unenforceable.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drugs similar or identical to our product candidates. Furthermore, as our issued patents expire, the risk that competitors may be able to circumvent our remaining patents by developing similar or alternate technologies or products in a non-infringing manner is increased.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protection under the Hatch-Waxman Amendments by extending the patent term, our business may be harmed.</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commercial success will largely depend on our ability to obtain and maintain patent and other intellectual property in the United States and other countries with respect to our products and product candidates.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9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Depending upon the timing, duration and specifics of FDA marketing approval of our product candidates, one or more of our United States patents may be eligible for limited patent term extension, or PTE, under the Drug Price Competition and Patent Term Restoration Act of 1984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expiration of our regulatory exclusivity and our patent expiration, and launch their product earlier than might otherwise be the case.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 which could negatively impact our business.</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Filing, prosecuting and defending patents covering our products and product candidates in all countries throughout the world would be prohibitively expensive, and our intellectual property rights in some countries outside the United States can be less extensive than those in the United States. In addition, the laws and practices of some foreign</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231F20"/>
        </w:rPr>
        <w:t>countries do not protect intellectual property rights, especially those relating to life sciences, to the same extent as federal and state laws in the United States. For example, European patent law restricts the patentability of methods of treatment of the human body more than U.S. law does and novel formulations of existing drugs and manufacturing processes may not be patentable in certain jurisdictions. Further, future licensing partners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our own products or product candidates and may also export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 with us in these jurisdictions.</w:t>
      </w:r>
    </w:p>
    <w:p>
      <w:pPr>
        <w:spacing w:after="0" w:line="11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medical device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Furthermore, while it intends to protect our intellectual property rights in our expected significant markets, we cannot ensure that we will be able to initiate or maintain similar efforts in all jurisdictions in which we may wish to market our products and product candidates. Accordingly, our efforts to protect our intellectual property rights in such countries may be inadequate, which may have an adverse effect on our ability to successfully commercialize our products and product candidates in all of our expected significant foreign markets.</w:t>
      </w:r>
    </w:p>
    <w:p>
      <w:pPr>
        <w:spacing w:after="0" w:line="112"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231F20"/>
        </w:rPr>
        <w:t>Additionally, the requirements for patentability may differ in certain countries. Generic or biosimilar drug manufacturers or other competitors may challenge the scope, validity or enforceability of our or our licensors’ patents, requiring us or our licensees or any future licensors to engage in complex, lengthy and costly litigation or other proceedings. In addition, certain countries have compulsory licensing laws under which a patent owner may be compelled to grant licenses to third parties. In those countries, we and our licensees or any future licensors may have limited remedies if patents are infringed or if we and our licensees or any future licensors are compelled to grant a license to a third party, which could materially diminish the value of those patents. This could limit our potential revenue opportunities. Accordingly, our efforts to enforce intellectual property rights in some regions of the world may be inadequate to obtain a significant commercial advantage from our intellectual property.</w:t>
      </w:r>
    </w:p>
    <w:p>
      <w:pPr>
        <w:spacing w:after="0" w:line="10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contractors or advisors have infringed, misappropriated or otherwise violated the intellectual property of a third party, or claiming ownership of what we regard as our own intellectual property.</w:t>
      </w:r>
    </w:p>
    <w:p>
      <w:pPr>
        <w:spacing w:after="0" w:line="9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Many of the contributors to our intellectual property, including patents and applications, were previously employed at universities or other biotechnology, pharmaceutical or medical device companies, including our competitors or potential competitors. Although we try to ensure that our employees do not use the intellectual property and other proprietary information, know-how or trade secrets of others in their work for us, we may be subject to claims that we or these employees have used or disclosed such intellectual property or other proprietary information.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business.</w:t>
      </w:r>
    </w:p>
    <w:p>
      <w:pPr>
        <w:spacing w:after="0" w:line="12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In addition, while we typically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To the extent that we fail to obtain such assignments, such assignments do not contain a self-executing assignment of intellectual property rights, or if such assignments are breached, we may be forced to bring claims against third parties, or defend claims they may bring against us, to determine the ownership of what we regard as our intellectual property. If we fail in prosecuting or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products or product candidates. Such a license may not be available on commercially reasonable</w:t>
      </w:r>
    </w:p>
    <w:p>
      <w:pPr>
        <w:spacing w:after="0" w:line="200" w:lineRule="exact"/>
        <w:rPr>
          <w:sz w:val="20"/>
          <w:szCs w:val="20"/>
          <w:color w:val="auto"/>
        </w:rPr>
      </w:pPr>
    </w:p>
    <w:p>
      <w:pPr>
        <w:spacing w:after="0" w:line="3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terms or at all. Even if we are successful in prosecuting or defending against such claims, litigation could result in substantial costs and be a distraction to our management and scientific personnel.</w:t>
      </w:r>
    </w:p>
    <w:p>
      <w:pPr>
        <w:spacing w:after="0" w:line="7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model may require reliance on third parties and the need to share our trade secrets, which increases the possibility that a competitor will discover them or that our trade secrets will be misappropriated or disclosed, and if we are unable to protect the confidentiality of our trade secrets, the value of our intellectual property could be materially adversely affected and our business would be harmed.</w:t>
      </w:r>
    </w:p>
    <w:p>
      <w:pPr>
        <w:spacing w:after="0" w:line="10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In addition to seeking patents for some of our products and product candidates, we also rely on trade secrets, including unpatented know-how, technology and other proprietary information, in seeking to develop and maintain a competitive position. Because we rely on third parties to manufacture our product candidates and we may collaborate with third parties on the development of our product candidates, we must, at times, share trade secrets with them. We seek to protect these trade secrets, in part, by entering into non- disclosure and confidentiality agreements with parties who have access to them, such as our employees, consultants, independent contractors, advisors, corporate collaborators, outside scientific collaborators, contract manufacturers, suppliers and other third parties. We also enter into confidentiality and invention or patent assignment agreements with employees and certain consultants.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231F20"/>
        </w:rPr>
        <w:t>Since our inception, we have sought to contract with manufacturers to supply commercial quantities of pharmaceutical formulations. As a result, we have disclosed, under confidentiality agreements, various aspects of our technology with potential manufacturers and suppliers. We believe that these disclosures, while necessary for our business, may result in the attempt by potential manufacturers and suppliers to improperly assert ownership claims to our technology in an attempt to gain an advantage in negotiating manufacturing and supplier rights.</w:t>
      </w:r>
    </w:p>
    <w:p>
      <w:pPr>
        <w:spacing w:after="0" w:line="9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We cannot guarantee that our trade secrets and other proprietary and confidential information will not be disclosed or that competitors will not otherwise gain access to our trade secrets.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both within and outside the United States may be less willing or unwilling to protect trade secrets.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2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we fail to prevent material disclosure of the know-how, trade secrets and other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If any of our trade secrets were to be lawfully obtained or independently developed by a competitor, in the absence of patent protection, we would have no right to prevent them, or those to whom they communicate, from using that technology or information to compete with us.</w:t>
      </w:r>
    </w:p>
    <w:p>
      <w:pPr>
        <w:spacing w:after="0" w:line="12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231F20"/>
        </w:rPr>
        <w:t>We may not be able to prevent misappropriation of our trade secrets or other proprietary and confidential information, particularly in countries where the laws may not protect those rights as fully as in the United States.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competitors may be able to circumvent our patents by developing similar or alternative technologies or products in a non-infringing manner. *</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competitors may seek to market generic versions of nelitolimod or any other product candidate for which we may in the future obtain approval by submitting abbreviated new drug applications ("ANDAs") or biosimilar applications to the FDA or new products that use our approved products as the reference listed drug or biologic, in each case where our competitors claim that our patents are invalid, unenforceable or not infringed. Alternatively, our competitors may seek approval to market their own products that are the same as, similar to or otherwise competitive with nelitolimod and any future product candidates we may develop. In these circumstances, we may need to defend or assert our patents, by means including filing lawsuits alleging patent infringement requiring us to engage in complex, lengthy and costly litigation or other proceedings. In any of these types of proceedings, a court or government agency with jurisdiction may find our patents invalid, unenforceable or not infringed. We may also fail to identify patentable aspects of our research and development before it is too late to obtain patent protection. Even if patents are valid and</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231F20"/>
        </w:rPr>
        <w:t>enforceable, these patents still may not provide protection against competing products or processes sufficient to achieve our business objectives. Furthermore, as our issued patents expire, the risk that competitors may be able to circumvent our remaining patents by developing similar or alternate technologies or products in a non-infringing manner is increased.</w:t>
      </w:r>
    </w:p>
    <w:p>
      <w:pPr>
        <w:spacing w:after="0" w:line="95"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231F20"/>
        </w:rPr>
        <w:t>Additionally, competitors could purchase TriNav or our other products and attempt to replicate some or all of the competitive advantages we derive from our development efforts, design around our protected technology or develop their own competitive technologies that fall outside of our intellectual property rights.</w:t>
      </w:r>
    </w:p>
    <w:p>
      <w:pPr>
        <w:spacing w:after="0" w:line="10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in the past been, and may in the future be, subject to claims challenging the inventorship or ownership of our patents and other intellectual property.</w:t>
      </w:r>
    </w:p>
    <w:p>
      <w:pPr>
        <w:spacing w:after="0" w:line="9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231F20"/>
        </w:rPr>
        <w:t>The issuance of a patent is not conclusive as to our inventorship, scope, validity or enforceability, and our owned and licensed patents have in the past been, and in the future may be, challenged in the courts or patent offices in the United States and abroad. For example, in October 2017, an individual filed a suit against Legacy TriSalus in the United States District Court, District of Colorado asserting joint inventorship of six patents assigned to Legacy TriSalus. The individual sought to be added as a co-inventor and co-owner of the patents in question. A stipulated dismissal order was entered in June 2021 with the court dismissing the plaintiff’s case with prejudice. In the future, we may face similar or other challenges by third parties, former employees or collaborators with respect to ownership interest in the patents and intellectual property that we own or license at the time. We could be subject to ownership disputes arising, for example, from conflicting obligations of consultants or others who are involved in developing our products or product candidates. While it is our policy to require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Legacy-TriSalus owned. To the extent that we license intellectual property from a third party, such licensors may face similar obstacles. In addition, we have not updated the records in certain foreign patent offices to reflect our ownership of certain expired foreign patents relating to nelitolimod, but have recorded our ownership for at least the expired foreign patents acquired from Dynavax relating to composition of matter for nelitolimod in Australia, Canada, Austria, Germany, Denmark, Estonia, the UK, Hong Kong, Ireland, Luxembourg, Portugal, New Zealand, and Singapore. Failure to update such ownership may result in a purchaser potentially acquiring rights in such patents that are adverse to our interests. Litigation may be necessary to defend against any claims challenging inventorship or ownership and such litigation may be costly.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0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identify relevant third-party patents or may incorrectly interpret the relevance, scope or expiration of a third-party patent, which might adversely affect our ability to develop and market our products and product candidates.</w:t>
      </w:r>
    </w:p>
    <w:p>
      <w:pPr>
        <w:spacing w:after="0" w:line="9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To the extent undertaken,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or may be relevant to or necessary for the commercialization of our products and product candidates in any jurisdiction. Patent applications in the United States and elsewhere are not published until approximately 18 months after the earliest filing for which priority is claimed, with such earliest filing date being commonly referred to as the priority date. In addition, certain United States patent applications can remain confidential until patents issue. Therefore, patent applications covering our products and product candidates could have been filed by others without our knowledge. Additionally, pending patent applications that have been published can, subject to certain limitations, be later amended in a manner that could cover our product candidates or the use of our products and product candidates.</w:t>
      </w:r>
    </w:p>
    <w:p>
      <w:pPr>
        <w:spacing w:after="0" w:line="124"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231F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and product candidates. We may incorrectly determine that our products or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and product candidates.</w:t>
      </w:r>
    </w:p>
    <w:p>
      <w:pPr>
        <w:spacing w:after="0" w:line="10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or product candidates that are held to be infringing. We might, if possible, also be forced to redesign products or product candidates so that we no longer infringe the third-party intellectual property</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rights. Any of these events, even if we were ultimately to prevail, could require us to divert substantial financial and management resources that we would otherwise be able to devote to our business.</w:t>
      </w:r>
    </w:p>
    <w:p>
      <w:pPr>
        <w:spacing w:after="0" w:line="7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Certain provisions in our intellectual property agreements may be susceptible to multiple interpretations.</w:t>
      </w:r>
    </w:p>
    <w:p>
      <w:pPr>
        <w:spacing w:after="0" w:line="15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Disputes may arise between us and any of these counterparties regarding intellectual property rights that are subject to such agreements, including, but not limited to:</w:t>
      </w:r>
    </w:p>
    <w:p>
      <w:pPr>
        <w:spacing w:after="0" w:line="54"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scope of rights granted under the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whether and the extent to which our technology and processes infringe on intellectual property of the licensor that is not subject to the agreement;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right to sublicense patent and other rights to third parties;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diligence obligations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ownership of inventions and know-how resulting from the joint creation or use of intellectual property by our licensors and us and our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right to transfer or assign our license;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effects of termination.</w:t>
      </w:r>
    </w:p>
    <w:p>
      <w:pPr>
        <w:spacing w:after="0" w:line="144"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231F20"/>
        </w:rPr>
        <w:t>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under any agreements, we may be required to pay damages and could lose intellectual property rights that are necessary or useful for developing and protecting our product candidates.</w:t>
      </w:r>
    </w:p>
    <w:p>
      <w:pPr>
        <w:spacing w:after="0" w:line="9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Dynavax has represented to us that we were given all intellectual property rights related to nelitolimod pursuant to the Dynavax Agreement. Pursuant to the Dynavax Agreement, we are obligated to pay up to $250 million upon the achievement of certain development, regulatory, and commercial milestones and low double-digit royalties based on potential future net sales of products containing the nelitolimod compound. Additionally, we are responsible for prosecution and maintenance of the acquired patents with obligations to keep Dynavax reasonably informed of the status thereof.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any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 rights do not necessarily address all potential threats to our business.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 In addition, the degree of future protection afforded by our intellectual property rights is uncertain because even granted intellectual property rights have limitations, and may not adequately protect our business. The following examples are illustrative:</w:t>
      </w:r>
    </w:p>
    <w:p>
      <w:pPr>
        <w:spacing w:after="0" w:line="79" w:lineRule="exact"/>
        <w:rPr>
          <w:sz w:val="20"/>
          <w:szCs w:val="20"/>
          <w:color w:val="auto"/>
        </w:rPr>
      </w:pPr>
    </w:p>
    <w:p>
      <w:pPr>
        <w:ind w:left="660" w:right="14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others may be able to make formulations that are similar to our product candidates or other formulations but that are not covered by the claims of our patents that we own or have exclusively licensed;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patents of third parties may have an adverse effect on our business;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or any current or future strategic partners and/or collaborators might not have been the first to conceive or reduce to practice the inventions covered by the issued patent or pending patent application that we own;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or any of our current or future strategic partners and/or collaborators might not have been the first to file patent applications covering certain of our inventions;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50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issued patents that we may own or that we exclusively license in the future may not provide us with any competitive advantage,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competitors might conduct research and development activities in the United States and in other countries that provide a safe harbor from patent infringement claims for such activities, as well in countries where we do not have patent rights and then use the information learned from such activities to develop competitive products for sale in our existing or intended commercial markets;</w:t>
      </w:r>
    </w:p>
    <w:p>
      <w:pPr>
        <w:spacing w:after="0" w:line="6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third parties performing manufacturing or testing for us using our product candidates could use the intellectual property of others without obtaining a proper license;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patents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choose not to file a patent application for certain technologies, trade secrets or know-how, and a third party may subsequently file a patent covering such intellectual property.</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Should any of these events occur, they could have a material adverse effect on our business, financial condition, results of operations and prospects.</w:t>
      </w:r>
    </w:p>
    <w:p>
      <w:pPr>
        <w:spacing w:after="0" w:line="14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validity, scope and enforceability of any of our patents can be challenged by third parties and any lawsuits to protect or enforce our patents could be expensive, time consuming and unsuccessful.</w:t>
      </w:r>
    </w:p>
    <w:p>
      <w:pPr>
        <w:spacing w:after="0" w:line="91"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231F20"/>
        </w:rPr>
        <w:t>Competitors or other third parties may infringe our patents or the patents of any party from whom we may license patents from in the future. To counter infringement or unauthorized use, we may be required to file infringement claims, which can be expensive and time-consuming. In a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A court may decide that a patent of ours or of any of our future licensors is not valid or is unenforceable, or may refuse to stop the other party from using the technology at issue on the grounds that our patents do not cover the technology in question. In addition, to the extent that we have to file patent litigation in a federal court against a U.S. patent holder, we would be required to initiate the proceeding in the state of incorporation or residency of such entity. With respect to the validity question, for example, we cannot be certain that no invalidating prior art exists. An adverse result in any litigation or defense proceedings could put one or more of our patents at risk of being invalidated, found unenforceable, or interpreted narrowly, and it could put our patent applications at risk of not issuing. Defense of these claims, regardless of their merit, would involve substantial litigation expense and would be a substantial diversion of employee resources from our business. If a defendant were to prevail on a legal assertion of invalidity or unenforceability, we would lose at least part, and perhaps all, of the patent protection on one or more of our products or certain product candidates or aspects of the TriNav or other technology. Such a loss of patent protection could compromise our ability to pursue our business strategy.</w:t>
      </w:r>
    </w:p>
    <w:p>
      <w:pPr>
        <w:spacing w:after="0" w:line="12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Interference proceedings brought by the USPTO may be necessary to determine the priority of inventions with respect to our patents and patent applications or those of our collaborators or licensors. An unfavorable outcome could require us to cease using the technology or to attempt to license rights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with our licensees, or with any of our future licensors, misappropriation of our proprietary rights,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Moreover, we may be subject to a third-party pre-issuance submission of prior art to the USPTO or other foreign patent offices,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products or product candidates and compete directly with us, without payment to us, or result in our inability to manufacture or commercialize our products or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products or product candidates.</w:t>
      </w:r>
    </w:p>
    <w:p>
      <w:pPr>
        <w:spacing w:after="0" w:line="10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If one of our product candidates is approved by the FDA, one or more third parties may challenge the current patents, or patents that may issue in the future, within our portfolio which could result in the invalidation of, or render unenforceable, some or all of the relevant patent claims or a finding of non-infringement. For example, if a third party submits an application under Section 505(b)(2) or an ANDA, for a generic drug containing any of our product candidates, and relies in whole or in part on studies conducted by or for us, the third party will be required to certify to the FDA that either: (1) there is no patent information listed in the FDA’s publication Approved Drug Products with Therapeutic Equivalence Evaluations, which we refer to as the Orange Book, with respect to our New Drug Application (“NDA”) for the applicable approved product candidate; (2) the patents listed in the Orange Book have expired; (3) the listed patents have not expired, but will expire on a particular date and approval is sought after patent expiration; or (4) the listed patents are invalid, unenforceable or will not be infringed by the manufacture, use or sale of the third party’s generic drug. A certification that the new drug will not infringe the Orange Book-listed patents for the applicable approved product candidate, or that such patents are invalid or unenforceable, is called a “paragraph IV certification.” If the third party submits a paragraph IV certification to the FDA, a notice of the paragraph IV certification must also be sent to us within 20 days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28"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231F20"/>
        </w:rPr>
        <w:t>Moreover, a third party may challenge the current patents, or patents that may be issued in the future, within our portfolio which could result in the invalidation of some or all of the patents that might otherwise be eligible for listing in the Orange Book for one of our product candidates. If a third party successfully challenges all of the patents that might otherwise be eligible for listing in the Orange Book for one of our product candidates, we will not be entitled to the 30-month stay of FDA approval upon the filing of an ANDA for a generic drug containing the applicable product candidate.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protection under the Hatch-Waxman Amendments by obtaining data exclusivity, our business may be harmed. *</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Our commercial success will largely depend on our ability to retain with respect to TriNav and other device technologies, and obtain with respect to nelitolimod and other product candidates, market exclusivity in the United States and other countries. Depending upon the timing, duration and specifics of FDA marketing approval of our product candidates, certain of our product candidates may be eligible for marketing exclusivity.</w:t>
      </w:r>
    </w:p>
    <w:p>
      <w:pPr>
        <w:spacing w:after="0" w:line="10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The Federal Food, Drug and Cosmetic Act provides a five-year period of non-patent marketing exclusivity within the United States to the first applicant to obtain approval of an NDA or Section 505(b)(2) NDA for a new chemical entity, or NCE. An NCE is a drug that contains no active moiety (the molecule or ion responsible for the action of the drug substance) that has been approved by FDA in any other NDA submitted under section 505(b) of the FDC Act. During the five-year NCE exclusivity period, the FDA may not approve an abbreviated new drug application, or ANDA, or a Section 505(b)(2) NDA submitted by another company for another version of such drug where the applicant does not own or have a legal right of reference to all the data required for approval. However, an application may be submitted after four years if it contains a paragraph IV certification of patent invalidity, unenforceability, or non-infringement to one of the patents listed in the Orange Book, with the FDA by the innovator NDA holder.</w:t>
      </w:r>
    </w:p>
    <w:p>
      <w:pPr>
        <w:spacing w:after="0" w:line="10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231F20"/>
        </w:rPr>
        <w:t>The FDC Act also provides three years of marketing exclusivity for an NDA, or supplement to an existing NDA if new clinical investigations for a previously-approved active moiety, other than bioavailability studies, that were conducted or sponsored by the applicant are deemed by the FDA to be essential to the approval of the application, for</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example, new indications, dosages, dosage forms or strengths of an existing drug. This three-year exclusivity covers only the conditions associated with the new clinical investigations and prohibits the FDA from approving an ANDA, or a Section 505(b)(2) NDA submitted by another company with overlapping conditions associated with the new clinical investigations for the three-year period. Three- year exclusivity does not prohibit the FDA from approving ANDAs for drugs containing the original conditions of use, i.e., original indications.</w:t>
      </w:r>
    </w:p>
    <w:p>
      <w:pPr>
        <w:spacing w:after="0" w:line="9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If we are unable to obtain such marketing exclusivity for our product candidates, our competitors may be able to take advantage of our investment in development and clinical trials by referencing our approval to obtain approval of competing products and launch their product earlier than might otherwise be the case.</w:t>
      </w:r>
    </w:p>
    <w:p>
      <w:pPr>
        <w:spacing w:after="0" w:line="104"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spacing w:after="0" w:line="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are not adequately protected, then we may not be able to build name recognition in our markets of interest and our business may be adversely affected.</w:t>
      </w:r>
    </w:p>
    <w:p>
      <w:pPr>
        <w:spacing w:after="0" w:line="91"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231F20"/>
        </w:rPr>
        <w:t>We rely on trademarks as one means to distinguish any of our products or product candidates that are approved for marketing from the products of our competitors. TriNav</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and Pressure-Enabled Drug Delivery™ (PEDD™) are our trademarks and, in the United States, our trademarks may be challenged, infringed, circumvented or declared descriptive or generic or determined to be infringing on other marks. We may not be able to protect our rights to these trademarks or may be forced to stop using these names, which we need for name recognition by potential partners or customers in our markets of interest. If we are unable to establish name recognition based on our trademarks, we may not be able to compete effectively.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Ownership of Our Securities</w:t>
      </w:r>
    </w:p>
    <w:p>
      <w:pPr>
        <w:spacing w:after="0" w:line="144"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limited experience operating as a United States public company and may not be able to adequately develop and implement the governance, compliance, risk management and control infrastructure and culture required for a public company, including compliance with the Sarbanes Oxley Act.</w:t>
      </w:r>
    </w:p>
    <w:p>
      <w:pPr>
        <w:spacing w:after="0" w:line="1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have limited experience operating as a United States public company. Certain of our executive officers lack experience in managing a United States public company, which makes their ability to comply with applicable laws, rules and regulations uncertain. Our failure to comply with all laws, rules and regulations applicable to United States public companies could subject us and our management to regulatory scrutiny or sanction, which could harm our reputation and share price.</w:t>
      </w:r>
    </w:p>
    <w:p>
      <w:pPr>
        <w:spacing w:after="0" w:line="11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We have limited experience preparing and filing periodic or other reports with the SEC or complying with the other requirements of United States federal securities laws applicable to public companies. We also have limited experience establishing and maintaining the disclosure controls and procedures and internal controls over financial reporting applicable to a public company in the United States, including the Sarbanes- Oxley Act. Although we are in the process of developing and implementing our governance, compliance, risk management and control framework and culture required for a public company, we may not be able to meet the requisite standards expected by the SEC and/or our investors. We may also encounter errors, mistakes and lapses in processes and controls resulting in failures to meet the requisite standards expected of a public company.</w:t>
      </w:r>
    </w:p>
    <w:p>
      <w:pPr>
        <w:spacing w:after="0" w:line="10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As a United States public reporting company, we incur significant legal, accounting, insurance, compliance, and other expenses. We cannot predict or estimate the amount of additional costs we may incur or the timing of such costs. Compliance with reporting, internal control over financial reporting and corporate governance obligations requires members of our management and our finance and accounting staff to divert time and resources from other responsibilities to ensure these new regulatory requirements are fulfilled.</w:t>
      </w:r>
    </w:p>
    <w:p>
      <w:pPr>
        <w:spacing w:after="0" w:line="11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If we fail to adequately implement the required governance and control framework, we could be at greater risk of failing to comply with the rules or requirements associated with being a public company. Such failure could result in the loss of investor confidence, could harm our reputation, and cause the market price of our securities to decline. Other challenges in complying with these regulatory requirements may arise because we may not be able to complete our evaluation of compliance and any required remediation in a timely fashion. Furthermore, any current or future</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controls may be considered as inadequate due to changes or increased complexity in regulations, our operating environment or other reasons.</w:t>
      </w:r>
    </w:p>
    <w:p>
      <w:pPr>
        <w:spacing w:after="0" w:line="144"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231F20"/>
        </w:rPr>
        <w:t>Due to inadequate governance and internal control policies, misstatements or omissions due to error or fraud may occur and may not be detected, which could result in failures to make required filings in a timely manner and make filings containing incorrect or misleading information. Any of these outcomes could result in SEC enforcement actions, monetary fines or other penalties, as well as damage to our reputation, business, financial condition, operating results and share price.</w:t>
      </w:r>
    </w:p>
    <w:p>
      <w:pPr>
        <w:spacing w:after="0" w:line="10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incurred and will continue to incur increased costs as a result of operating as a public company, and our management now devotes substantial time to new compliance initiatives and corporate governance practices. We may fail to comply with the rules that apply to public companies, including Section 404 of the Sarbanes-Oxley Act, which could result in sanctions or other penalties that would adversely impact our business.</w:t>
      </w:r>
    </w:p>
    <w:p>
      <w:pPr>
        <w:spacing w:after="0" w:line="107"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231F20"/>
        </w:rPr>
        <w:t>As a public company, and particularly after we are no longer an “emerging growth company,” we incur significant legal, accounting, and other expenses that we did not incur as a private company, including costs resulting from public company reporting obligations under the Securities Act and the Exchange Act, and regulations regarding corporate governance practices. The Sarbanes-Oxley Act, the Dodd-Frank Wall Street Reform and Consumer Protection Act, the rules of the SEC,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have begun to hire additional accounting, finance, and other personnel in connection with becoming a public company, and our management and other personnel devotes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becoming a public company or the timing of such costs.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or committees of the Board or to serve as executive officers, or to obtain certain types of insurance, including directors’ and officers’ insurance, on acceptable terms.</w:t>
      </w:r>
    </w:p>
    <w:p>
      <w:pPr>
        <w:spacing w:after="0" w:line="11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Pursuant to Sarbanes-Oxley Act Section 404, we are required to furnish a report by our management on our internal control over financial reporting. In order to continue to maintain effective internal controls to support growth and public company requirements, we will need additional financial personnel, systems and resources. However, while we remain an emerging growth company, we are not required to include an attestation report on internal control over financial reporting issued by our independent registered public accounting firm. To achieve compliance with Section 404 of the Sarbanes-Oxley Act within the prescribed period, we are engaged in a process to enhance our documentation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Sarbanes-Oxley Act Section 404. Our management has identified material weaknesses and, in the future, our management may identify one or more material weaknesses, which could result in an adverse reaction in the financial markets due to a loss of confidence in the reliability of our financial statements.</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management has identified material weaknesses in its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 *</w:t>
      </w:r>
    </w:p>
    <w:p>
      <w:pPr>
        <w:spacing w:after="0" w:line="72"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231F20"/>
        </w:rPr>
        <w:t>A material weakness is a deficiency or combination of deficiencies in internal control over financial reporting, such that there is a reasonable possibility that a material misstatement of the financial statements would not be prevented or detected on a timely basis.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In connection with our audited consolidated financial statements for the years ended December 31, 2023, and December 31, 2022, management identified material weaknesses in its internal control over financial reporting with respect (i) to a lack of sufficient number of trained resources with the appropriate skills and knowledge and with assigned responsibilities and accountability for the design and operation of internal controls over financial reporting; accounting for costs associated with the SEPA, patents and the Business Combination; and certain R&amp;D accruals; (ii) to inadequate internal controls over the valuation of the warrant and tranche rights and obligations and liabilities resulting from the series B-2 preferred stock financing; and (iii) inadequate controls of the conversion of data from our legacy equity management system to our new system and assumptions used to calculate fair value of certain equity awards; each described in more detail under the heading Part I — Item 4. Controls and Procedures elsewhere in this Quarterly Report.</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Our management developed a remediation plan, and we are taking steps to remediate each of the material weaknesses described above. The remediation plan included hiring four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 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we have hired all of the additional trained resources with such requisite experience. The material weaknesses will be considered remediated when our management designs and implements effective controls that operate for a sufficient period of time and management has concluded, through testing, that these controls are effective. Our management will continue to monitor the effectiveness of the remediation plan and will make the changes it determines to be appropriate. Although our management intends to complete this remediation process as quickly as practicable, it cannot at this time estimate how long it will take, and initiatives may not prove to be successful in remediating the material weaknesses.</w:t>
      </w:r>
    </w:p>
    <w:p>
      <w:pPr>
        <w:spacing w:after="0" w:line="10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231F20"/>
        </w:rPr>
        <w:t>Furthermore, we cannot assure you that the remediation measures taken to date, and the actions we may take in the future, will be sufficient to remediate the control deficiencies that led to the material weaknesses in our internal controls over financial reporting described above or that we will prevent or avoid potential future material weaknesses. 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material errors in our annual or interim financial statements. In such case, we may be unable to maintain compliance with securities law requirements regarding timely filing of periodic reports in addition to the listing requirements of Nasdaq, investors may lose confidence in our financial reporting and our stock price may decline as a result. In addition, we could be subject to sanctions or investigations by the SEC, Nasdaq or other regulatory authorities as well as stockholder litigation which would require additional financial and management resources, and investors may lose confidence in our financial reporting and our stock price may decline as a result. As a result, our ability to obtain financing, or financing on favorable terms, could be materially and adversely affected, which in turn, could materially and adversely affect our business, financial condition and the market value of our securities and require us to incur additional costs to improve our internal control systems and procedures. In addition, perceptions of us among customers, partners, investors, securities analysts and others could also be adversely affected.</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maintain an effective system of disclosure controls and internal control over financial reporting, our ability to produce timely and accurate financial statements or comply with applicable regulations could be impaired.</w:t>
      </w:r>
    </w:p>
    <w:p>
      <w:pPr>
        <w:spacing w:after="0" w:line="5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As a public company, we are required to comply with the requirements of the Sarbanes-Oxley Act, including, among other things, maintaining effective disclosure controls and procedures and internal control over financial reporting. We continue to develop and refine our disclosure controls and other procedures that are designed to ensure that the information we are required to disclose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 We may, however, be unable to meet the time periods specified in the SEC rules and forms. For example, prior to the filing of the Annual Report on Form 10-K for the year ending December 31, 2023, we filed a Form 12b-25 (Notification of Late Filing) with the SEC to avail ourselves of a 15-day extension to file the Annual Report on Form 10-K. The need for the extension was primarily due to the calculation of non-cash stock compensation caused by data errors associated with a transition to a new service provider in 2023.</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We must continue to improve our internal control over financial reporting. Our management will be required to make a formal assessment of the effectiveness of our internal control over financial reporting pursuant to Sarbanes-Oxley Act Section 404(a), and we may in the future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w:t>
      </w:r>
    </w:p>
    <w:p>
      <w:pPr>
        <w:spacing w:after="0" w:line="200" w:lineRule="exact"/>
        <w:rPr>
          <w:sz w:val="20"/>
          <w:szCs w:val="20"/>
          <w:color w:val="auto"/>
        </w:rPr>
      </w:pPr>
    </w:p>
    <w:p>
      <w:pPr>
        <w:spacing w:after="0" w:line="3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functioning as documented and implement a continuous reporting and improvement process for internal control over financial reporting.</w:t>
      </w:r>
    </w:p>
    <w:p>
      <w:pPr>
        <w:spacing w:after="0" w:line="144"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231F20"/>
        </w:rPr>
        <w:t>There is a risk that we will not be able to conclude, within the prescribed time period or at all, that our internal control over financial reporting is effective as required by Section 404 of the Sarbanes-Oxley Act.</w:t>
      </w:r>
    </w:p>
    <w:p>
      <w:pPr>
        <w:spacing w:after="0" w:line="9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stock exchange on which our Common Stock is listed, the SEC and other regulatory authorities.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price of our securities has been and may continue to be volatile. *</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price of our securities has been and may continue to be volatile. From August 11, 2023, the date following the Business Combination, through </w:t>
      </w:r>
      <w:r>
        <w:rPr>
          <w:rFonts w:ascii="Times New Roman" w:cs="Times New Roman" w:eastAsia="Times New Roman" w:hAnsi="Times New Roman"/>
          <w:sz w:val="18"/>
          <w:szCs w:val="18"/>
          <w:color w:val="000000"/>
        </w:rPr>
        <w:t>May 8, 2024</w:t>
      </w:r>
      <w:r>
        <w:rPr>
          <w:rFonts w:ascii="Times New Roman" w:cs="Times New Roman" w:eastAsia="Times New Roman" w:hAnsi="Times New Roman"/>
          <w:sz w:val="18"/>
          <w:szCs w:val="18"/>
          <w:color w:val="231F20"/>
        </w:rPr>
        <w:t>, our common stock price has fluctuated from a low of</w:t>
      </w:r>
      <w:r>
        <w:rPr>
          <w:rFonts w:ascii="Times New Roman" w:cs="Times New Roman" w:eastAsia="Times New Roman" w:hAnsi="Times New Roman"/>
          <w:sz w:val="18"/>
          <w:szCs w:val="18"/>
          <w:color w:val="000000"/>
        </w:rPr>
        <w:t xml:space="preserve"> $3.62 </w:t>
      </w:r>
      <w:r>
        <w:rPr>
          <w:rFonts w:ascii="Times New Roman" w:cs="Times New Roman" w:eastAsia="Times New Roman" w:hAnsi="Times New Roman"/>
          <w:sz w:val="18"/>
          <w:szCs w:val="18"/>
          <w:color w:val="231F20"/>
        </w:rPr>
        <w:t>to a high of</w:t>
      </w:r>
      <w:r>
        <w:rPr>
          <w:rFonts w:ascii="Times New Roman" w:cs="Times New Roman" w:eastAsia="Times New Roman" w:hAnsi="Times New Roman"/>
          <w:sz w:val="18"/>
          <w:szCs w:val="18"/>
          <w:color w:val="000000"/>
        </w:rPr>
        <w:t xml:space="preserve"> $12.00 </w:t>
      </w:r>
      <w:r>
        <w:rPr>
          <w:rFonts w:ascii="Times New Roman" w:cs="Times New Roman" w:eastAsia="Times New Roman" w:hAnsi="Times New Roman"/>
          <w:sz w:val="18"/>
          <w:szCs w:val="18"/>
          <w:color w:val="231F20"/>
        </w:rPr>
        <w:t>per share, and the price of our Public Warrants has fluctuated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from a low of </w:t>
      </w:r>
      <w:r>
        <w:rPr>
          <w:rFonts w:ascii="Times New Roman" w:cs="Times New Roman" w:eastAsia="Times New Roman" w:hAnsi="Times New Roman"/>
          <w:sz w:val="18"/>
          <w:szCs w:val="18"/>
          <w:color w:val="000000"/>
        </w:rPr>
        <w:t>$0.12</w:t>
      </w:r>
      <w:r>
        <w:rPr>
          <w:rFonts w:ascii="Times New Roman" w:cs="Times New Roman" w:eastAsia="Times New Roman" w:hAnsi="Times New Roman"/>
          <w:sz w:val="18"/>
          <w:szCs w:val="18"/>
          <w:color w:val="231F20"/>
        </w:rPr>
        <w:t xml:space="preserve"> to a high of </w:t>
      </w:r>
      <w:r>
        <w:rPr>
          <w:rFonts w:ascii="Times New Roman" w:cs="Times New Roman" w:eastAsia="Times New Roman" w:hAnsi="Times New Roman"/>
          <w:sz w:val="18"/>
          <w:szCs w:val="18"/>
          <w:color w:val="000000"/>
        </w:rPr>
        <w:t>$1.20</w:t>
      </w:r>
      <w:r>
        <w:rPr>
          <w:rFonts w:ascii="Times New Roman" w:cs="Times New Roman" w:eastAsia="Times New Roman" w:hAnsi="Times New Roman"/>
          <w:sz w:val="18"/>
          <w:szCs w:val="18"/>
          <w:color w:val="231F20"/>
        </w:rPr>
        <w:t xml:space="preserve"> per Public Warrant. The price of our Common Stock and Public Warrants may continue to fluctuate in the future due to a variety of factors, including, without limitation:</w:t>
      </w:r>
    </w:p>
    <w:p>
      <w:pPr>
        <w:spacing w:after="0" w:line="7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volume and timing of sales of TriNav or other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introduction of new products or product enhancements by us or others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and results of clinical trials of any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regulatory actions with respect to our product candidates or our competitors’ products and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success of existing or new competitive products or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announcements by us or our competitors of significant acquisitions, strategic partnerships,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establishment or termination of collaborations for our product candidates or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clinical trials of product candidates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expenses related to any of our product candidates or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actual or anticipated changes in estimates as to financial results or development timelines;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actual or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additions and departures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laws and regulations affecting our business;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commencement of, or involvement in, litigation involving us;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our capital structure, such as future issuances of securities or the incurrence of (or inability to incur) additional debt;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volume of shares of Common Stock available for public sale;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and political conditions, such as recessions, interest rates, social, political and economic risks and acts of war or terrorism; and</w:t>
      </w:r>
    </w:p>
    <w:p>
      <w:pPr>
        <w:spacing w:after="0" w:line="117" w:lineRule="exact"/>
        <w:rPr>
          <w:rFonts w:ascii="Times New Roman" w:cs="Times New Roman" w:eastAsia="Times New Roman" w:hAnsi="Times New Roman"/>
          <w:sz w:val="18"/>
          <w:szCs w:val="18"/>
          <w:color w:val="231F20"/>
        </w:rPr>
      </w:pPr>
    </w:p>
    <w:p>
      <w:pPr>
        <w:ind w:left="660" w:right="60" w:hanging="328"/>
        <w:spacing w:after="0" w:line="266" w:lineRule="auto"/>
        <w:tabs>
          <w:tab w:leader="none" w:pos="65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the information we are required to disclose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These market and industry factors may materially reduce the market price of our securities regardless of our operating performance. It is also possible that an active trading market will not be sustained. Any of these effects would make it difficult to sell our securities at an attractive price or at all.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maintain the listing of our securities on Nasdaq in the future.</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We cannot guarantee that our securities will continue to be listed on Nasdaq. If we fail to meet the requirements of the applicable listing rules, such failure may result in a suspension of the trading of our shares or delisting in the future. This may further result in legal or regulatory proceedings, fines and other penalties, legal liability for us, the inability for our stockholders to trade their shares and negatively impact our share price, reputation, operations and financial position, as well as our ability to conduct future fundraising activities. If Nasdaq delists our securities and we are not able to list our securities on another national securities exchange, we expect that our securities could be quoted on an over-the-counter market. If this were to occur, we could face significant material adverse consequences, including:</w:t>
      </w:r>
    </w:p>
    <w:p>
      <w:pPr>
        <w:spacing w:after="0" w:line="7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reduced liquidity for our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limited amount of news and analyst coverage for the company;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decreased ability to issue additional securities or obtain additional financing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Unstable market and economic conditions may have serious adverse consequences on our business, financial condition and share price.</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Similarly, Russia’s ongoing incursion of Ukraine has created extreme volatility in the global capital markets and disrupted global supply chain and energy markets; it is possible that the war in the Middle East may have similar effects. There have also recently been disruptions to the U.S. banking system due to bank failures, such as those that have occurred with respect to Silicon Valley Bank, Signature Bank, and First Republic Bank.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could also increase customers’ operating costs, which could result in reduced budgets for customers and potentially less demand for our products and services. Any significant increases in inflation and related increase in interest rates could have a material adverse effect on our business, results of operations and financial condition.</w:t>
      </w:r>
    </w:p>
    <w:p>
      <w:pPr>
        <w:spacing w:after="0" w:line="11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operating and financial performance in any given period does not meet the guidance provided to the public or the expectations of investment analysts, the market price of Common Stock may decline.</w:t>
      </w:r>
    </w:p>
    <w:p>
      <w:pPr>
        <w:spacing w:after="0" w:line="78"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231F20"/>
        </w:rPr>
        <w:t>We may, but are not obligated to, provide public guidance on our expected operating and financial results for future periods. Any such guidance will consist of forward-looking statements, subject to the risks and uncertainties described in this filing and in our public filings and public statements. The ability to provide this public guidance, and the ability to accurately forecast our results of operations, will be impacted by a number of factors, many of which are out of our control.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if we reduce our guidance for future periods, the market price of Common Stock may decline as well. Even if we issue public guidance, there can be no assurance that we will continue to do so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could be subject to securities class action litigation.</w:t>
      </w:r>
    </w:p>
    <w:p>
      <w:pPr>
        <w:spacing w:after="0" w:line="16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231F20"/>
        </w:rPr>
        <w:t>In the past, securities class action litigation has often been brought against a company following a decline in the market price of our securities. This risk is especially relevant for us because life sciences companies have experienced significant stock price volatility in recent years. If we face such litigation, it could result in substantial costs and a diversion of management’s attention and our resources, which could harm our business.</w:t>
      </w:r>
    </w:p>
    <w:p>
      <w:pPr>
        <w:spacing w:after="0" w:line="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Reports published by analysts, including projections in those reports that differ from our actual results, could adversely affect the price and trading volume of our securities.</w:t>
      </w:r>
    </w:p>
    <w:p>
      <w:pPr>
        <w:spacing w:after="0" w:line="9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Securities research analysts may establish and publish their own periodic projections of us. These projections may vary widely and may not accurately predict the results that we actually achieve. Our share price may decline if our</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to continue, if analysts cease to continue coverage of us, the market price and volume for our securities could be adversely affected.</w:t>
      </w:r>
    </w:p>
    <w:p>
      <w:pPr>
        <w:spacing w:after="0" w:line="9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Sales of our securities or the perception of such sales, by us or our equity holders, in the public market or otherwise, could cause the market price for our securities to decline. *</w:t>
      </w:r>
    </w:p>
    <w:p>
      <w:pPr>
        <w:spacing w:after="0" w:line="9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11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Certain of our equity holders acquired securities at prices that are significantly less than the current trading price of our Common Stock. We have filed a registration statement (the "Resale S-1") relating to the offer and sale from time to time by certain equity holders or their permitted transferees of (i) up to 52,536,549 shares of Common Stock consisting of (a) up to 25,237,094 shares of Common Stock that are issuable upon the conversion of the 4,015,002 PIPE Shares, issued at a price of $10.00 per share, (b) up to 4,062,500 Founder Shares originally issued in a private placement to the Sponsor prior to MTAC’s initial public offering at a price of approximately $0.006 per share, including 3,125,000 Founder Shares subject to vesting and forfeiture, (c) up to 1,452,965 shares of Common Stock issuable upon exercise of the Assumed Options initially granted by Legacy TriSalus, at a weighted average price of $2.51 per share, (d) up to 86,148 shares of Common Stock issuable upon the settlement of Assumed RSUs that were initially granted by Legacy TriSalus,</w:t>
      </w:r>
    </w:p>
    <w:p>
      <w:pPr>
        <w:spacing w:after="0" w:line="3" w:lineRule="exact"/>
        <w:rPr>
          <w:sz w:val="20"/>
          <w:szCs w:val="20"/>
          <w:color w:val="auto"/>
        </w:rPr>
      </w:pPr>
    </w:p>
    <w:p>
      <w:pPr>
        <w:ind w:firstLine="8"/>
        <w:spacing w:after="0" w:line="253" w:lineRule="auto"/>
        <w:tabs>
          <w:tab w:leader="none" w:pos="245"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up to 4,933,333 shares of Common Stock issuable upon exercise of the Private Placement Warrants at a price of $11.50 per share and (f) up to 8,281,779 shares of Common Stock that are issuable upon the exercise of the Public Warrants at a price of $11.50 per share and (ii) up to 5,933,333 warrants consisting of (a) up to 4,933,333 Private Placement Warrants and (b) up to 1,000,000 Conversion Warrants. Defined terms used in this discussion that are not defined in this Quarterly Report shall have the meaning provided to such term in the Resale S-1.</w:t>
      </w:r>
    </w:p>
    <w:p>
      <w:pPr>
        <w:spacing w:after="0" w:line="8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Our stockholders will be able to sell all of their securities held for so long as the Resale S-1 is in effect, subject to certain lock-up restrictions. Such restrictions began at the closing of the Business Combination and end on the earliest of (i) August 10, 2024; (ii) the first day after the date on which the closing price of the Common Stock equals or exceeds $12.00 per share (as adjusted for stock splits, stock dividends, reorganizations, recapitalizations and the like) for any 20 trading days within any 30-trading day period commencing at least 150 days after the date of the Closing; or (iii) the date on which we complete a liquidation, merger, capital stock exchange, reorganization or other similar transaction that results in all of our public stockholders having the right to exchange their Common Stock for cash, securities or other property. Certain of our selling securityholders acquired the Common Stock at prices that are significantly lower than the current trading price of our Common Stock. Even if the trading price of our Common Stock falls to or significantly below the current trading price, certain of our securityholders may still have an incentive to sell and profit due to the nominal purchase prices paid by such selling securityholders, which are significantly lower than the purchase prices they paid.</w:t>
      </w:r>
    </w:p>
    <w:p>
      <w:pPr>
        <w:spacing w:after="0" w:line="13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Warrants are exercisable for Common Stock, the exercise of which would increase the number of shares eligible for future resale in the public market and result in dilution to our stockholders. *</w:t>
      </w:r>
    </w:p>
    <w:p>
      <w:pPr>
        <w:spacing w:after="0" w:line="10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231F20"/>
        </w:rPr>
        <w:t>Our 8,281,779 Public Warrants to purchase an aggregate of 8,281,779 shares of Common Stock, 4,933,333 Private Placement Warrants to purchase an aggregate of 4,933,333 shares of Common Stock and 1,000,000 Conversion Warrants to purchase an aggregate of 1,000,000 shares of Common Stock became exercisable on September 10, 2023, in accordance with the terms of that certain warrant agreement, dated December 17, 2020, by and between us and Continental Stock Transfer &amp; Trust Company, as warrant agent (the “Warrant Agreement”). The Initial OrbiMed Warrants became exercisable on April 30, 2024. The exercise price of the SPAC Warrants is $11.50 per share, or approximately $164.0 million in the aggregate, assuming none of the SPAC Warrants are exercised through “cashless” exercise. and the exercise price of the Initial OrbiMed Warrants is $9.5562 per share, or approximately $1.25 million in the aggregate, assuming none of the Initial OrbiMed Warrants are exercised through a "cashless" exercise. We have the unilateral right to reduce the exercise price of the SPAC Warrants, and may do so as a means of raising capital. There is no guaranty that the warrant holders will exercise their Warrants at the current exercise price or any reduced exercise price. We believe the likelihood that warrant holders will exercise their Warrants, and therefore the amount of cash proceeds that we would receive, is dependent upon the trading price of our Common Stock. So long as the trading price for our Common Stock is less than $11.50 per share (or, if the exercise price is lowered, such lower exercise price), meaning the Warrants are “out of the money,” we believe holders of our SPAC Warrants that were issued will be unlikely to exercise their SPAC warrants on a cash basis. Similarly, if the trading price of our Common Stock falls below $9.5562, meaning the Initial OrbiMed Warrants would be “out of the money,” we believe holders of the Initial</w:t>
      </w:r>
    </w:p>
    <w:p>
      <w:pPr>
        <w:spacing w:after="0" w:line="200" w:lineRule="exact"/>
        <w:rPr>
          <w:sz w:val="20"/>
          <w:szCs w:val="20"/>
          <w:color w:val="auto"/>
        </w:rPr>
      </w:pPr>
    </w:p>
    <w:p>
      <w:pPr>
        <w:spacing w:after="0" w:line="3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 xml:space="preserve">OrbiMed Warrants would be unlikely to exercise their Initial OrbiMed Warrants on a cash basis. Additionally, the Initial OrbiMed Warrants are subject to customary price-based anti-dilution protections, such that, in certain circumstances, if we issue shares of our common stock below the current exercise price of the Initial OrbiMed Warrants, the exercise price of the Initial OrbiMed Warrants will be adjusted downward based on such issuance. As a result, if there are any such adjustments, the amount of proceeds we receive from the exercise of the Initial OrbiMed Warrants will be less than $1.25 million in the aggregate. On </w:t>
      </w:r>
      <w:r>
        <w:rPr>
          <w:rFonts w:ascii="Times New Roman" w:cs="Times New Roman" w:eastAsia="Times New Roman" w:hAnsi="Times New Roman"/>
          <w:sz w:val="18"/>
          <w:szCs w:val="18"/>
          <w:color w:val="000000"/>
        </w:rPr>
        <w:t>May 8, 2024</w:t>
      </w:r>
      <w:r>
        <w:rPr>
          <w:rFonts w:ascii="Times New Roman" w:cs="Times New Roman" w:eastAsia="Times New Roman" w:hAnsi="Times New Roman"/>
          <w:sz w:val="18"/>
          <w:szCs w:val="18"/>
          <w:color w:val="231F20"/>
        </w:rPr>
        <w:t xml:space="preserve">, the reported sales price of our Common Stock was </w:t>
      </w:r>
      <w:r>
        <w:rPr>
          <w:rFonts w:ascii="Times New Roman" w:cs="Times New Roman" w:eastAsia="Times New Roman" w:hAnsi="Times New Roman"/>
          <w:sz w:val="18"/>
          <w:szCs w:val="18"/>
          <w:color w:val="000000"/>
        </w:rPr>
        <w:t>$9.66</w:t>
      </w:r>
      <w:r>
        <w:rPr>
          <w:rFonts w:ascii="Times New Roman" w:cs="Times New Roman" w:eastAsia="Times New Roman" w:hAnsi="Times New Roman"/>
          <w:sz w:val="18"/>
          <w:szCs w:val="18"/>
          <w:color w:val="231F20"/>
        </w:rPr>
        <w:t xml:space="preserve"> per share and the last reported sales price of our Public Warrants was </w:t>
      </w:r>
      <w:r>
        <w:rPr>
          <w:rFonts w:ascii="Times New Roman" w:cs="Times New Roman" w:eastAsia="Times New Roman" w:hAnsi="Times New Roman"/>
          <w:sz w:val="18"/>
          <w:szCs w:val="18"/>
          <w:color w:val="000000"/>
        </w:rPr>
        <w:t xml:space="preserve">$0.97 </w:t>
      </w:r>
      <w:r>
        <w:rPr>
          <w:rFonts w:ascii="Times New Roman" w:cs="Times New Roman" w:eastAsia="Times New Roman" w:hAnsi="Times New Roman"/>
          <w:sz w:val="18"/>
          <w:szCs w:val="18"/>
          <w:color w:val="231F20"/>
        </w:rPr>
        <w:t>per warrant, both of which are lower than the exercise price of the Warrants.</w:t>
      </w:r>
    </w:p>
    <w:p>
      <w:pPr>
        <w:spacing w:after="0" w:line="12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231F20"/>
        </w:rPr>
        <w:t>To the extent such Warrants are exercised, additional Common Stock will be issued, which will result in dilution to the holders of Common Stock and will increase the number of shares eligible for resale in the public market. Sales of substantial numbers of such shares in the public market or the fact that such warrants may be exercised could adversely affect the market price of Common Stock.</w:t>
      </w:r>
    </w:p>
    <w:p>
      <w:pPr>
        <w:spacing w:after="0" w:line="91"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as well as a smaller reporting company within the meaning of the Securities Act and, if we take advantage of certain exemptions from disclosure requirements available to “emerging growth companies,” our securities may be less attractive to investors and it may be more difficult to compare our performance with other public companies.</w:t>
      </w:r>
    </w:p>
    <w:p>
      <w:pPr>
        <w:spacing w:after="0" w:line="10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We qualify as an emerging growth company under SEC rules. As an emerging growth company, we are permitted and plan to rely on exemptions from certain disclosure requirements that are applicable to other public companies that are not emerging growth companies. These provisions include: (1) presenting only two years of audited financial statements; (2) presenting only two years of related selected financial data and “Management’s Discussion and Analysis of Financial Condition and Results of Operations” disclosure; (3) an exemption from compliance with the auditor attestation requirement in the assessment of internal control over financial reporting pursuant to Section 404 of Sarbanes-Oxley; (4) not being required to comply with any requirement that may be adopted by the Public Company Accounting Oversight Board regarding mandatory audit firm rotation or a supplement to the auditor’s report providing additional information about the audit and the financial statements; (5) reduced disclosure obligations regarding executive compensation arrangements in periodic reports, registration statements, and proxy statements; and (6) exemptions from the requirements of holding a nonbinding advisory vote on executive compensation and stockholder approval of any golden parachute payments not previously approved. As a result, the information we provide will be different than the information that is available with respect to other public companies that are not emerging growth companies. If some investors find our Common Stock less attractive as a result, there may be a less active trading market for the Common Stock, and its market price may be more volatile. We will remain an emerging growth company until the earlier of: (1) the last day of the fiscal year (a) following the fifth anniversary of the closing of MTAC’s initial public offering (i.e., December 31, 2025), (b) in which we have total annual gross revenue of at least $1.235 billion or (c) in which we are deemed to be a “large accelerated filer” under the rules of the SEC, which means the market value of our common equity that is held by non-affiliates exceeds $700 million as of the end of the prior fiscal year’s second fiscal quarter; and (2) the date on which we will have issued more than $1.0 billion in non-convertible debt securities during the prior three-year period.</w:t>
      </w:r>
    </w:p>
    <w:p>
      <w:pPr>
        <w:spacing w:after="0" w:line="1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Additionally, we qualify as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Common Stock held by non-affiliates equals or exceeds $700 million as of the end of that year’s second fiscal quarter. To the extent that we take advantage of such reduced disclosure obligations, it may also make comparison of our financial statements with other public companies difficult or impossible.</w:t>
      </w:r>
    </w:p>
    <w:p>
      <w:pPr>
        <w:spacing w:after="0" w:line="10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Warrants may not be exercised at all or may be exercised on a cashless basis and we may not receive any cash proceeds from the exercise of the Warrants. *</w:t>
      </w:r>
    </w:p>
    <w:p>
      <w:pPr>
        <w:spacing w:after="0" w:line="9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The exercise price of the Warrants may be higher than the prevailing market price of the underlying shares of Common Stock. The exercise price of the Warrants is subject to market conditions and may not be advantageous if the prevailing market price of the underlying shares of Common Stock is lower than the exercise price. The cash proceeds associated with the exercise of Warrants to purchase our Common Stock are contingent upon our stock price. The value of our Common Stock will fluctuate and may not align with the exercise price of the Warrants at any given time. As of </w:t>
      </w:r>
      <w:r>
        <w:rPr>
          <w:rFonts w:ascii="Times New Roman" w:cs="Times New Roman" w:eastAsia="Times New Roman" w:hAnsi="Times New Roman"/>
          <w:sz w:val="18"/>
          <w:szCs w:val="18"/>
          <w:color w:val="000000"/>
        </w:rPr>
        <w:t>May 8, 2024</w:t>
      </w:r>
      <w:r>
        <w:rPr>
          <w:rFonts w:ascii="Times New Roman" w:cs="Times New Roman" w:eastAsia="Times New Roman" w:hAnsi="Times New Roman"/>
          <w:sz w:val="18"/>
          <w:szCs w:val="18"/>
          <w:color w:val="231F20"/>
        </w:rPr>
        <w:t xml:space="preserve">, the last reported sales price of our Common Stock was </w:t>
      </w:r>
      <w:r>
        <w:rPr>
          <w:rFonts w:ascii="Times New Roman" w:cs="Times New Roman" w:eastAsia="Times New Roman" w:hAnsi="Times New Roman"/>
          <w:sz w:val="18"/>
          <w:szCs w:val="18"/>
          <w:color w:val="000000"/>
        </w:rPr>
        <w:t>$9.66</w:t>
      </w:r>
      <w:r>
        <w:rPr>
          <w:rFonts w:ascii="Times New Roman" w:cs="Times New Roman" w:eastAsia="Times New Roman" w:hAnsi="Times New Roman"/>
          <w:sz w:val="18"/>
          <w:szCs w:val="18"/>
          <w:color w:val="231F20"/>
        </w:rPr>
        <w:t xml:space="preserve"> per share. So long as the trading price of our Common Stock is less than $11.50, meaning the Warrants are “out of the money,” meaning the exercise price is higher than the market price of our Common Stock, we believe that holders of the Warrants are unlikely to choose to exercise their Warrants. As a result, we may not receive any proceeds from the exercise of the Warrants.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Furthermore, to the extent that the Private Placement Warrants, Conversion Warrants, or OrbiMed Warrants are exercised on a “cashless basis,” we will not receive cash upon their exercise. A cashless exercise allows holders of</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231F20"/>
        </w:rPr>
        <w:t>such Warrants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Private Placement Warrants, Conversion Warrants, or OrbiMed Warrants were exercised on a cash basis.</w:t>
      </w:r>
    </w:p>
    <w:p>
      <w:pPr>
        <w:spacing w:after="0" w:line="9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31F20"/>
        </w:rPr>
        <w:t>The Public Warrants may only be exercised for cash provided there is then an effective registration statement registering the shares of Common Stock issuable upon the exercise of such warrants. If there is not a then-effective registration statement, then such Public Warrants may be exercised on a “cashless basis,” pursuant to an available exemption from registration under the Securities Act.</w:t>
      </w:r>
    </w:p>
    <w:p>
      <w:pPr>
        <w:spacing w:after="0" w:line="10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contained in our Certificate of Incorporation and Bylaws, as well as provisions of Delaware law, could limit the ability of stockholders to take certain actions and could delay or discourage takeover attempts that stockholders may consider favorable.</w:t>
      </w:r>
    </w:p>
    <w:p>
      <w:pPr>
        <w:spacing w:after="0" w:line="9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Our Certificate of Incorporation and Bylaws contain provisions that may discourage unsolicited takeover proposals that stockholders may consider to be in their best interests. These provisions could also make it difficult for stockholders to take certain actions, including electing directors who are not nominated by the Board or taking other corporate actions, including effecting changes in our management. We are also subject to anti-takeover provisions under Delaware law, which could delay or prevent a change of control. Together these provisions may discourage transactions that otherwise could involve the payment of a premium over prevailing market prices for our securities. These provisions include:</w:t>
      </w:r>
    </w:p>
    <w:p>
      <w:pPr>
        <w:spacing w:after="0" w:line="7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the Boar</w:t>
      </w:r>
      <w:r>
        <w:rPr>
          <w:rFonts w:ascii="Times New Roman" w:cs="Times New Roman" w:eastAsia="Times New Roman" w:hAnsi="Times New Roman"/>
          <w:sz w:val="18"/>
          <w:szCs w:val="18"/>
          <w:color w:val="231F20"/>
        </w:rPr>
        <w:t>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elect a director to fill a vacancy created by the expansion of the Board or the resignation, death or removal of a director in certain circumstances, which prevents stockholders from being able to fill vacancies on the Boar</w:t>
      </w:r>
      <w:r>
        <w:rPr>
          <w:rFonts w:ascii="Times New Roman" w:cs="Times New Roman" w:eastAsia="Times New Roman" w:hAnsi="Times New Roman"/>
          <w:sz w:val="18"/>
          <w:szCs w:val="18"/>
          <w:color w:val="231F20"/>
        </w:rPr>
        <w:t>d;</w:t>
      </w:r>
    </w:p>
    <w:p>
      <w:pPr>
        <w:spacing w:after="0" w:line="53"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requirement that a special meeting of stockholders may only be called by a majority of the Board, the chairperson of the Board, or our chief executive officer which may delay the ability of our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limitation of the liability of, and the indemnification of, our directors and officers;</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the Board to amend our Bylaws, which may allow the Board to take additional actions to prevent an unsolicited takeover and inhibit the ability of an acquirer to amend the Bylaws to facilitate an unsolicited takeover attempt; and</w:t>
      </w:r>
    </w:p>
    <w:p>
      <w:pPr>
        <w:spacing w:after="0" w:line="53" w:lineRule="exact"/>
        <w:rPr>
          <w:rFonts w:ascii="Times New Roman" w:cs="Times New Roman" w:eastAsia="Times New Roman" w:hAnsi="Times New Roman"/>
          <w:sz w:val="18"/>
          <w:szCs w:val="18"/>
          <w:color w:val="231F20"/>
        </w:rPr>
      </w:pPr>
    </w:p>
    <w:p>
      <w:pPr>
        <w:ind w:left="660" w:right="140" w:hanging="328"/>
        <w:spacing w:after="0" w:line="261"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potential acquirer’s own slate of directors or otherwise attempting to obtain control of us.</w:t>
      </w:r>
    </w:p>
    <w:p>
      <w:pPr>
        <w:spacing w:after="0" w:line="99" w:lineRule="exact"/>
        <w:rPr>
          <w:sz w:val="20"/>
          <w:szCs w:val="20"/>
          <w:color w:val="auto"/>
        </w:rPr>
      </w:pPr>
    </w:p>
    <w:p>
      <w:pPr>
        <w:ind w:right="960" w:firstLine="324"/>
        <w:spacing w:after="0" w:line="282" w:lineRule="auto"/>
        <w:rPr>
          <w:sz w:val="20"/>
          <w:szCs w:val="20"/>
          <w:color w:val="auto"/>
        </w:rPr>
      </w:pPr>
      <w:r>
        <w:rPr>
          <w:rFonts w:ascii="Times New Roman" w:cs="Times New Roman" w:eastAsia="Times New Roman" w:hAnsi="Times New Roman"/>
          <w:sz w:val="18"/>
          <w:szCs w:val="18"/>
          <w:color w:val="231F20"/>
        </w:rPr>
        <w:t>These provisions, alone or together, could delay or prevent hostile takeovers and changes in control of us or changes in our Board and our management.</w:t>
      </w:r>
    </w:p>
    <w:p>
      <w:pPr>
        <w:spacing w:after="0" w:line="9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As a Delaware corporation, we are also subject to provisions of Delaware law, including Section 203 of the General Corporation Law of the State of Delaware (the “DGCL”), which prevents some stockholders who hold more than 15% of our outstanding Common Stock from engaging in certain business combinations without approval of the holders of substantially all of our Common Stock. Any provision of our Certificate of Incorporation and Bylaws or Delaware law that has the effect of delaying or deterring a change in control could limit the opportunity for stockholders to receive a premium for their shares of Common Stock and could also affect the price that some investors are willing to pay for Common Stock.</w:t>
      </w:r>
    </w:p>
    <w:p>
      <w:pPr>
        <w:spacing w:after="0" w:line="11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Certificate of Incorporation designates the Delaware Court of Chancery or Delaware state or United States federal district courts as the sole and exclusive forum for substantially all disputes between us and our stockholders,</w:t>
      </w:r>
    </w:p>
    <w:p>
      <w:pPr>
        <w:spacing w:after="0" w:line="200" w:lineRule="exact"/>
        <w:rPr>
          <w:sz w:val="20"/>
          <w:szCs w:val="20"/>
          <w:color w:val="auto"/>
        </w:rPr>
      </w:pPr>
    </w:p>
    <w:p>
      <w:pPr>
        <w:spacing w:after="0" w:line="3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which could limit such stockholders’ ability to obtain a favorable judicial forum for disputes with us or our directors, officers, other employees or other stockholders.</w:t>
      </w:r>
    </w:p>
    <w:p>
      <w:pPr>
        <w:spacing w:after="0" w:line="7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Our Certificate of Incorporation provides that, unless we consent in writing to the selection of an alternative forum, the Court of Chancery of the State of Delaware (or, if the Court of Chancery of the State of Delaware lacks subject matter jurisdiction, any state court located within the State of Delaware or, if all such state courts lack subject matter jurisdiction, the federal district court for the District of Delaware) shall be the sole and exclusive forum for state law claims for (i) any derivative claim or cause of action brought on behalf of us; (ii) any action asserting a claim of breach of a fiduciary duty owed by any of our current or former directors, officers, other employees or stockholders, us or our stockholder; (iii) any action against us or any of our current or former directors, officers or other employees asserting a claim arising pursuant to any provision of the DGCL, our Certificate of Incorporation or Bylaws;</w:t>
      </w:r>
    </w:p>
    <w:p>
      <w:pPr>
        <w:spacing w:after="0" w:line="5" w:lineRule="exact"/>
        <w:rPr>
          <w:sz w:val="20"/>
          <w:szCs w:val="20"/>
          <w:color w:val="auto"/>
        </w:rPr>
      </w:pPr>
    </w:p>
    <w:p>
      <w:pPr>
        <w:ind w:right="60" w:firstLine="8"/>
        <w:spacing w:after="0" w:line="252" w:lineRule="auto"/>
        <w:tabs>
          <w:tab w:leader="none" w:pos="305"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claim or cause of action seeking to interpret, apply, enforce or determine the validity of our Certificate of Incorporation or Bylaws (as each may be amended from time to time, including any right, obligation, or remedy thereunder); (v) any claim or cause of action as to which the DGCL confers jurisdiction on the Delaware Court of Chancery; and (vi) any action asserting a claim against us or any of our current or former directors, officers or other employees governed by the internal affairs doctrine or otherwise related to our internal affairs. The foregoing provisions will not apply to any claims as to which the Delaware Court of Chancery determines that there is an indispensable party not subject to the jurisdiction of such court, which is rested in the exclusive jurisdiction of a court or forum other than such court.</w:t>
      </w:r>
    </w:p>
    <w:p>
      <w:pPr>
        <w:spacing w:after="0" w:line="12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Section 22 of the Securities Act creates concurrent jurisdiction for federal and state courts over all suits brought to enforce any duty or liability created by the Securities Act or the rules or regulations promulgated thereunder. Accordingly, both state and federal courts have jurisdiction to entertain such Securities Act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the federal district courts of the United States of America shall be the sole and exclusive forum for the resolution of any complaint asserting a cause of action arising under the Securities Act.</w:t>
      </w:r>
    </w:p>
    <w:p>
      <w:pPr>
        <w:spacing w:after="0" w:line="12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Any person or entity purchasing or otherwise acquiring, holding or owning (or continuing to hold or own) any interest in any of our securities shall be deemed to have notice of and consented to the forum provisions in our Certificate of Incorporation. Although we believe these exclusive forum provisions will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other employees or stockholders,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Furthermore, investors cannot waive compliance with the federal securities laws and rules and regulations promulgated thereunder.</w:t>
      </w:r>
    </w:p>
    <w:p>
      <w:pPr>
        <w:spacing w:after="0" w:line="10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Certificate of Incorporation, to the extent permitted by applicable law, contains provisions renouncing our interest and expectation to participate in certain corporate opportunities identified or presented to our non- employee directors or stockholders.</w:t>
      </w:r>
    </w:p>
    <w:p>
      <w:pPr>
        <w:spacing w:after="0" w:line="9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Our officers and directors and their respective affiliates may hold, and may, from time to time in the future, acquire interests in or provide advice to businesses that directly or indirectly compete with certain areas of our business. Our Certificate of Incorporation provides that we renounce, to the fullest extent permitted by Delaware or other applicable law, any expectancy that any of our non-employee directors, stockholders or the affiliates of such stockholders will offer any corporate opportunity of which such director or stockholder may become aware to us except with respect to a corporate opportunity that was offered to a director solely in his or her capacity as our director and (i) such opportunity is one we are legally and contractually permitted to undertake and (ii) the director is permitted to refer that opportunity to us without violating any legal obligation. As a result, these arrangements could adversely affect our business, results of operations, financial condition or prospects if attractive business opportunities are allocated to any of our non-employee directors, stockholders or the affiliates of such stockholders instead of to us.</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Equity Purchase Agreement</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previously disclosed, in October 2023, we entered the SEPA with Yorkville, whereby we have the right, but not the obligation, to sell to Yorkville up to $30.0 million of our common stock at our request, subject to terms and conditions specified in the SEPA. As of the date of this Quarterly Report, we have sold 750,000 shares of common stock under the Yorkville Purchase Agreement, raising $6.7 million. During the three months ended March 31, 2024, we sold 350,000 shares of common stock under the SEPA, raising $3.1 million. In April 2024, we sold 400,000 shares of common stock under the SEPA, raising $3.6 million. Yorkville represented to the Company, among other things, that it is an institutional “accredited investor” as defined in Rule 501(a)(3) of Regulation D under the Securities Act. The securities are being issued and sold by the Company to Yorkville in reliance upon the exemption from the registration requirements of the Securities Act afforded by Section 4(a)(2) of the Securities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7"/>
        </w:trPr>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71"/>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27"/>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Second Amended and Restated Certificate of</w:t>
              </w:r>
            </w:hyperlink>
          </w:p>
        </w:tc>
        <w:tc>
          <w:tcPr>
            <w:tcW w:w="900" w:type="dxa"/>
            <w:vAlign w:val="bottom"/>
            <w:gridSpan w:val="19"/>
          </w:tcPr>
          <w:p>
            <w:pPr>
              <w:spacing w:after="0"/>
              <w:rPr>
                <w:sz w:val="17"/>
                <w:szCs w:val="17"/>
                <w:color w:val="auto"/>
              </w:rPr>
            </w:pPr>
          </w:p>
        </w:tc>
        <w:tc>
          <w:tcPr>
            <w:tcW w:w="13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7"/>
              </w:rPr>
              <w:t>Form 8-K</w:t>
            </w:r>
          </w:p>
        </w:tc>
        <w:tc>
          <w:tcPr>
            <w:tcW w:w="12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212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Incorporation of TriSalus Life Sciences, Inc.</w:t>
              </w:r>
            </w:hyperlink>
          </w:p>
        </w:tc>
        <w:tc>
          <w:tcPr>
            <w:tcW w:w="940" w:type="dxa"/>
            <w:vAlign w:val="bottom"/>
            <w:gridSpan w:val="20"/>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Amended and Restated Bylaws of TriSalus Life</w:t>
              </w:r>
            </w:hyperlink>
          </w:p>
        </w:tc>
        <w:tc>
          <w:tcPr>
            <w:tcW w:w="680" w:type="dxa"/>
            <w:vAlign w:val="bottom"/>
            <w:gridSpan w:val="15"/>
          </w:tcPr>
          <w:p>
            <w:pPr>
              <w:spacing w:after="0"/>
              <w:rPr>
                <w:sz w:val="21"/>
                <w:szCs w:val="21"/>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Form 8-K</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30"/>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Sciences, Inc.</w:t>
              </w:r>
            </w:hyperlink>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Form of Certificate of Designations, Preferences, and</w:t>
              </w:r>
            </w:hyperlink>
          </w:p>
        </w:tc>
        <w:tc>
          <w:tcPr>
            <w:tcW w:w="280" w:type="dxa"/>
            <w:vAlign w:val="bottom"/>
            <w:gridSpan w:val="6"/>
          </w:tcPr>
          <w:p>
            <w:pPr>
              <w:spacing w:after="0"/>
              <w:rPr>
                <w:sz w:val="21"/>
                <w:szCs w:val="21"/>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Form 8-K</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1"/>
                <w:szCs w:val="21"/>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Rights of Series A Convertible Preferred Stock of</w:t>
              </w:r>
            </w:hyperlink>
          </w:p>
        </w:tc>
        <w:tc>
          <w:tcPr>
            <w:tcW w:w="560" w:type="dxa"/>
            <w:vAlign w:val="bottom"/>
            <w:gridSpan w:val="13"/>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3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TriSalus Life Sciences, Inc.</w:t>
              </w:r>
            </w:hyperlink>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Specimen Common Stock Certificate</w:t>
              </w:r>
            </w:hyperlink>
          </w:p>
        </w:tc>
        <w:tc>
          <w:tcPr>
            <w:tcW w:w="1460" w:type="dxa"/>
            <w:vAlign w:val="bottom"/>
            <w:gridSpan w:val="22"/>
          </w:tcPr>
          <w:p>
            <w:pPr>
              <w:spacing w:after="0"/>
              <w:rPr>
                <w:sz w:val="21"/>
                <w:szCs w:val="21"/>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Form 8-K</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gridSpan w:val="30"/>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Specimen Warrant Certificate</w:t>
              </w:r>
            </w:hyperlink>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Form 8-K</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1"/>
                <w:szCs w:val="21"/>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August 16, 2023</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gridSpan w:val="30"/>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Warrant Agreement, dated December 17, 2020, by and</w:t>
              </w:r>
            </w:hyperlink>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Form 8-K</w:t>
            </w: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1"/>
                <w:szCs w:val="21"/>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December 23, 2020</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between MTAC and Continental Stock Transfer &amp;</w:t>
              </w:r>
            </w:hyperlink>
          </w:p>
        </w:tc>
        <w:tc>
          <w:tcPr>
            <w:tcW w:w="22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Trust Company.</w:t>
              </w:r>
            </w:hyperlink>
          </w:p>
        </w:tc>
        <w:tc>
          <w:tcPr>
            <w:tcW w:w="520" w:type="dxa"/>
            <w:vAlign w:val="bottom"/>
            <w:gridSpan w:val="11"/>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Registration Rights Agreement, dated April 30, 2024,</w:t>
            </w:r>
          </w:p>
        </w:tc>
        <w:tc>
          <w:tcPr>
            <w:tcW w:w="280" w:type="dxa"/>
            <w:vAlign w:val="bottom"/>
            <w:gridSpan w:val="6"/>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7"/>
              </w:rPr>
              <w:t>by and between TriSalus Life Sciences, Inc., and</w:t>
            </w:r>
          </w:p>
        </w:tc>
        <w:tc>
          <w:tcPr>
            <w:tcW w:w="660" w:type="dxa"/>
            <w:vAlign w:val="bottom"/>
            <w:gridSpan w:val="14"/>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OrbiMed Royalty &amp; Credit Opportunities IV, LP</w:t>
            </w:r>
            <w:r>
              <w:rPr>
                <w:rFonts w:ascii="Times New Roman" w:cs="Times New Roman" w:eastAsia="Times New Roman" w:hAnsi="Times New Roman"/>
                <w:sz w:val="18"/>
                <w:szCs w:val="18"/>
                <w:color w:val="000000"/>
              </w:rPr>
              <w:t>.</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Warrant Certificate, dated April 30, 2024, by and</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between TriSalus Life Sciences, Inc., and OrbiMed</w:t>
            </w:r>
          </w:p>
        </w:tc>
        <w:tc>
          <w:tcPr>
            <w:tcW w:w="460" w:type="dxa"/>
            <w:vAlign w:val="bottom"/>
            <w:gridSpan w:val="9"/>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7"/>
              </w:rPr>
              <w:t>Royalty &amp; Credit Opportunities IV, LP.</w:t>
            </w:r>
          </w:p>
        </w:tc>
        <w:tc>
          <w:tcPr>
            <w:tcW w:w="1320" w:type="dxa"/>
            <w:vAlign w:val="bottom"/>
            <w:gridSpan w:val="21"/>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Credit Agreement, dated April 30, 2024, by and</w:t>
            </w:r>
          </w:p>
        </w:tc>
        <w:tc>
          <w:tcPr>
            <w:tcW w:w="680" w:type="dxa"/>
            <w:vAlign w:val="bottom"/>
            <w:gridSpan w:val="15"/>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between TriSalus Operating Life Sciences, Inc.,</w:t>
            </w:r>
          </w:p>
        </w:tc>
        <w:tc>
          <w:tcPr>
            <w:tcW w:w="700" w:type="dxa"/>
            <w:vAlign w:val="bottom"/>
            <w:gridSpan w:val="16"/>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TriSalus Life Sciences, Inc., and OrbiMed Royalty &amp;</w:t>
            </w:r>
          </w:p>
        </w:tc>
        <w:tc>
          <w:tcPr>
            <w:tcW w:w="30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6"/>
              </w:rPr>
              <w:t>Credit Opportunities IV, LP.</w:t>
            </w:r>
          </w:p>
        </w:tc>
        <w:tc>
          <w:tcPr>
            <w:tcW w:w="2120" w:type="dxa"/>
            <w:vAlign w:val="bottom"/>
            <w:gridSpan w:val="25"/>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 13a-14(a) and Rule 15d-14(a) under</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the Securities Exchange Act of 1934, as adopted</w:t>
            </w:r>
          </w:p>
        </w:tc>
        <w:tc>
          <w:tcPr>
            <w:tcW w:w="32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w:t>
            </w:r>
          </w:p>
        </w:tc>
        <w:tc>
          <w:tcPr>
            <w:tcW w:w="28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w:t>
            </w:r>
          </w:p>
        </w:tc>
        <w:tc>
          <w:tcPr>
            <w:tcW w:w="14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to Rule 13a-14(a) and Rule 15d-14(a) under the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80" w:type="dxa"/>
            <w:vAlign w:val="bottom"/>
            <w:tcBorders>
              <w:top w:val="single" w:sz="8" w:color="0000FF"/>
            </w:tcBorders>
            <w:gridSpan w:val="7"/>
          </w:tcPr>
          <w:p>
            <w:pPr>
              <w:spacing w:after="0"/>
              <w:rPr>
                <w:sz w:val="17"/>
                <w:szCs w:val="17"/>
                <w:color w:val="auto"/>
              </w:rPr>
            </w:pPr>
          </w:p>
        </w:tc>
        <w:tc>
          <w:tcPr>
            <w:tcW w:w="26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1350, as adopted pursuant to</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80" w:type="dxa"/>
            <w:vAlign w:val="bottom"/>
            <w:gridSpan w:val="10"/>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500" w:type="dxa"/>
            <w:vAlign w:val="bottom"/>
            <w:gridSpan w:val="1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w:t>
            </w:r>
          </w:p>
        </w:tc>
        <w:tc>
          <w:tcPr>
            <w:tcW w:w="14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to 18 U.S.C. 1350, as adopted pursuant to Section 906</w:t>
            </w:r>
          </w:p>
        </w:tc>
        <w:tc>
          <w:tcPr>
            <w:tcW w:w="24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91"/>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25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640" w:type="dxa"/>
            <w:vAlign w:val="bottom"/>
            <w:gridSpan w:val="23"/>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2"/>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41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3"/>
                <w:szCs w:val="23"/>
                <w:color w:val="auto"/>
              </w:rPr>
            </w:pPr>
          </w:p>
        </w:tc>
        <w:tc>
          <w:tcPr>
            <w:tcW w:w="41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931"/>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60" w:type="dxa"/>
            <w:vAlign w:val="bottom"/>
          </w:tcPr>
          <w:p>
            <w:pPr>
              <w:spacing w:after="0"/>
              <w:rPr>
                <w:sz w:val="16"/>
                <w:szCs w:val="16"/>
                <w:color w:val="auto"/>
              </w:rPr>
            </w:pPr>
          </w:p>
        </w:tc>
      </w:tr>
      <w:tr>
        <w:trPr>
          <w:trHeight w:val="37"/>
        </w:trPr>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171"/>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9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16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9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18"/>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52"/>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Labels Linkbase</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52"/>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36" w:lineRule="exact"/>
        <w:rPr>
          <w:sz w:val="20"/>
          <w:szCs w:val="20"/>
          <w:color w:val="auto"/>
        </w:rPr>
      </w:pPr>
    </w:p>
    <w:p>
      <w:pPr>
        <w:ind w:left="1180" w:right="6080" w:hanging="781"/>
        <w:spacing w:after="0" w:line="282" w:lineRule="auto"/>
        <w:tabs>
          <w:tab w:leader="none" w:pos="11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1" w:lineRule="exact"/>
        <w:rPr>
          <w:rFonts w:ascii="Times New Roman" w:cs="Times New Roman" w:eastAsia="Times New Roman" w:hAnsi="Times New Roman"/>
          <w:sz w:val="18"/>
          <w:szCs w:val="18"/>
          <w:color w:val="auto"/>
        </w:rPr>
      </w:pPr>
    </w:p>
    <w:p>
      <w:pPr>
        <w:ind w:right="300" w:firstLine="8"/>
        <w:spacing w:after="0" w:line="282" w:lineRule="auto"/>
        <w:tabs>
          <w:tab w:leader="none" w:pos="1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would likely cause competitive harm to TriSalus Life Sciences, Inc. if publicly disclosed.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report to be signed on its behalf by the undersigned, thereunto duly authorized, on the 15th day of May, 2024.</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00" w:lineRule="exact"/>
        <w:rPr>
          <w:sz w:val="20"/>
          <w:szCs w:val="20"/>
          <w:color w:val="auto"/>
        </w:rPr>
      </w:pPr>
    </w:p>
    <w:p>
      <w:pPr>
        <w:spacing w:after="0" w:line="380" w:lineRule="exact"/>
        <w:rPr>
          <w:sz w:val="20"/>
          <w:szCs w:val="20"/>
          <w:color w:val="auto"/>
        </w:rPr>
      </w:pPr>
    </w:p>
    <w:p>
      <w:pPr>
        <w:ind w:left="5480"/>
        <w:spacing w:after="0"/>
        <w:tabs>
          <w:tab w:leader="none" w:pos="5940" w:val="left"/>
        </w:tabs>
        <w:rPr>
          <w:sz w:val="20"/>
          <w:szCs w:val="20"/>
          <w:color w:val="auto"/>
        </w:rPr>
      </w:pPr>
      <w:r>
        <w:rPr>
          <w:rFonts w:ascii="Times New Roman" w:cs="Times New Roman" w:eastAsia="Times New Roman" w:hAnsi="Times New Roman"/>
          <w:sz w:val="18"/>
          <w:szCs w:val="18"/>
          <w:color w:val="auto"/>
        </w:rPr>
        <w:t>By:</w:t>
        <w:tab/>
        <w:t>/s/ Sean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34290</wp:posOffset>
            </wp:positionV>
            <wp:extent cx="33432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7" w:lineRule="exact"/>
        <w:rPr>
          <w:sz w:val="20"/>
          <w:szCs w:val="20"/>
          <w:color w:val="auto"/>
        </w:rPr>
      </w:pPr>
    </w:p>
    <w:p>
      <w:pPr>
        <w:ind w:left="5960"/>
        <w:spacing w:after="0"/>
        <w:tabs>
          <w:tab w:leader="none" w:pos="6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Sean Murphy</w:t>
      </w:r>
    </w:p>
    <w:p>
      <w:pPr>
        <w:spacing w:after="0" w:line="63" w:lineRule="exact"/>
        <w:rPr>
          <w:sz w:val="20"/>
          <w:szCs w:val="20"/>
          <w:color w:val="auto"/>
        </w:rPr>
      </w:pPr>
    </w:p>
    <w:p>
      <w:pPr>
        <w:ind w:left="5960"/>
        <w:spacing w:after="0"/>
        <w:tabs>
          <w:tab w:leader="none" w:pos="6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40"/>
          </w:cols>
          <w:pgMar w:left="320" w:top="135" w:right="639" w:bottom="1440" w:gutter="0" w:footer="0" w:header="0"/>
        </w:sectPr>
      </w:pPr>
    </w:p>
    <w:bookmarkStart w:id="88" w:name="page89"/>
    <w:bookmarkEnd w:id="88"/>
    <w:p>
      <w:pPr>
        <w:spacing w:after="0" w:line="22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5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21"/>
          <w:szCs w:val="21"/>
          <w:color w:val="auto"/>
        </w:rPr>
        <w:t>This Registration Rights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and entered into as of April 30, 2024, by and between TriSalus Life Sciences,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OrbiMed Royalty</w:t>
      </w:r>
    </w:p>
    <w:p>
      <w:pPr>
        <w:spacing w:after="0" w:line="2" w:lineRule="exact"/>
        <w:rPr>
          <w:sz w:val="20"/>
          <w:szCs w:val="20"/>
          <w:color w:val="auto"/>
        </w:rPr>
      </w:pPr>
    </w:p>
    <w:p>
      <w:pPr>
        <w:ind w:right="300" w:firstLine="8"/>
        <w:spacing w:after="0" w:line="245" w:lineRule="auto"/>
        <w:tabs>
          <w:tab w:leader="none" w:pos="22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Opportunities IV, LP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The Company and the Holder are referred to each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Capitalized terms used and not otherwise defined herein shall have the respective meanings set forth in the Credit Agreement.</w:t>
      </w:r>
    </w:p>
    <w:p>
      <w:pPr>
        <w:spacing w:after="0" w:line="227"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In consideration of the mutual covenants and agreements set forth herein and for good and valuable consideration, the receipt and sufficiency of which is hereby acknowledged by each Party, the Parties agree as follows:</w:t>
      </w:r>
    </w:p>
    <w:p>
      <w:pPr>
        <w:spacing w:after="0" w:line="196" w:lineRule="exact"/>
        <w:rPr>
          <w:sz w:val="20"/>
          <w:szCs w:val="20"/>
          <w:color w:val="auto"/>
        </w:rPr>
      </w:pPr>
    </w:p>
    <w:p>
      <w:pPr>
        <w:ind w:right="1460" w:firstLine="656"/>
        <w:spacing w:after="0" w:line="275" w:lineRule="auto"/>
        <w:tabs>
          <w:tab w:leader="none" w:pos="864"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used in this Agreement, the following terms shall have the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meanings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Shares</w:t>
      </w:r>
      <w:r>
        <w:rPr>
          <w:rFonts w:ascii="Times New Roman" w:cs="Times New Roman" w:eastAsia="Times New Roman" w:hAnsi="Times New Roman"/>
          <w:sz w:val="22"/>
          <w:szCs w:val="22"/>
          <w:color w:val="auto"/>
        </w:rPr>
        <w:t>” means any shares of Company Common Stock issued to the Holder pursuant to a stock split, stock dividend or other distribution with respect to, or in exchange or in replacement of, the Underlying Shares, or with respect to, or in exchange or in replacement of, the Underlying Shares in connection with a combination of shares, distribution, recapitalization, merger, consolidation, other reorganization or other similar event.</w:t>
      </w:r>
    </w:p>
    <w:p>
      <w:pPr>
        <w:spacing w:after="0" w:line="194"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with respect to any Person, any other Person that, directly or indirectly, Controls or is Controlled by or is under common Control with,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purposes of this Agreement, the Holder shall not be deemed an Affiliate of the Company or any of its Subsidiaries. “Affiliates” has a correlative meaning.</w:t>
      </w:r>
    </w:p>
    <w:p>
      <w:pPr>
        <w:spacing w:after="0" w:line="179" w:lineRule="exact"/>
        <w:rPr>
          <w:sz w:val="20"/>
          <w:szCs w:val="20"/>
          <w:color w:val="auto"/>
        </w:rPr>
      </w:pPr>
    </w:p>
    <w:p>
      <w:pPr>
        <w:ind w:right="76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that is not a Saturday, a Sunday or other day on which banks are required or authorized by law to remain closed for the entirety of such day in New York, New York.</w:t>
      </w:r>
    </w:p>
    <w:p>
      <w:pPr>
        <w:spacing w:after="0" w:line="149"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U.S. Securities and Exchange Commission or any other federal agency then administering the Securities Act or Exchange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right="4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rPr>
        <w:t>” means the shares of common stock, par value $0.0001 per share, of the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Indemnified Persons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with respect to any Person, the possession, directly or indirectly, of the power to direct or cause the direction of the management policies of such Person, whether through (a) the ownership of voting securities, by contract relating to voting rights or corporate governance, or otherwise, or (b) the ownership, directly or indirectly, of more than 50% of the voting securities or other ownership interest of a Person. “Controlled” has a correlative meaning.</w:t>
      </w:r>
    </w:p>
    <w:p>
      <w:pPr>
        <w:sectPr>
          <w:pgSz w:w="11900" w:h="16838" w:orient="portrait"/>
          <w:cols w:equalWidth="0" w:num="1">
            <w:col w:w="9720"/>
          </w:cols>
          <w:pgMar w:left="1400" w:top="1440" w:right="779" w:bottom="1440" w:gutter="0" w:footer="0" w:header="0"/>
        </w:sectPr>
      </w:pPr>
    </w:p>
    <w:bookmarkStart w:id="89" w:name="page90"/>
    <w:bookmarkEnd w:id="89"/>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means that certain Credit Agreement, dated April 30, 2024, by and</w:t>
      </w:r>
    </w:p>
    <w:p>
      <w:pPr>
        <w:spacing w:after="0" w:line="85" w:lineRule="exact"/>
        <w:rPr>
          <w:sz w:val="20"/>
          <w:szCs w:val="20"/>
          <w:color w:val="auto"/>
        </w:rPr>
      </w:pPr>
    </w:p>
    <w:p>
      <w:pPr>
        <w:jc w:val="both"/>
        <w:ind w:right="340"/>
        <w:spacing w:after="0" w:line="257" w:lineRule="auto"/>
        <w:rPr>
          <w:sz w:val="20"/>
          <w:szCs w:val="20"/>
          <w:color w:val="auto"/>
        </w:rPr>
      </w:pPr>
      <w:r>
        <w:rPr>
          <w:rFonts w:ascii="Times New Roman" w:cs="Times New Roman" w:eastAsia="Times New Roman" w:hAnsi="Times New Roman"/>
          <w:sz w:val="22"/>
          <w:szCs w:val="22"/>
          <w:color w:val="auto"/>
        </w:rPr>
        <w:t>among TriSalus Operating Life Sciences, Inc., as borrower, the Company, the lenders party thereto, and the Holder, as the administrative agent, as may be amended, restated, supplemented or otherwise modified from time to time.</w:t>
      </w: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w:t>
      </w:r>
      <w:r>
        <w:rPr>
          <w:rFonts w:ascii="Times New Roman" w:cs="Times New Roman" w:eastAsia="Times New Roman" w:hAnsi="Times New Roman"/>
          <w:sz w:val="22"/>
          <w:szCs w:val="22"/>
          <w:u w:val="single" w:color="auto"/>
          <w:color w:val="auto"/>
        </w:rPr>
        <w:t>Form S-1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Shelf</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Form S-3 Shelf</w:t>
      </w:r>
      <w:r>
        <w:rPr>
          <w:rFonts w:ascii="Times New Roman" w:cs="Times New Roman" w:eastAsia="Times New Roman" w:hAnsi="Times New Roman"/>
          <w:sz w:val="22"/>
          <w:szCs w:val="22"/>
          <w:color w:val="auto"/>
        </w:rPr>
        <w:t>” has the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meaning set forth in </w:t>
      </w:r>
      <w:r>
        <w:rPr>
          <w:rFonts w:ascii="Times New Roman" w:cs="Times New Roman" w:eastAsia="Times New Roman" w:hAnsi="Times New Roman"/>
          <w:sz w:val="22"/>
          <w:szCs w:val="22"/>
          <w:u w:val="single" w:color="auto"/>
          <w:color w:val="auto"/>
        </w:rPr>
        <w:t>Section 2(a)(i)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has the meaning set forth in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 Indemnified Persons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Indemnified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Persons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Warrant</w:t>
      </w:r>
      <w:r>
        <w:rPr>
          <w:rFonts w:ascii="Times New Roman" w:cs="Times New Roman" w:eastAsia="Times New Roman" w:hAnsi="Times New Roman"/>
          <w:sz w:val="22"/>
          <w:szCs w:val="22"/>
          <w:color w:val="auto"/>
        </w:rPr>
        <w:t>” means the Warrant, dated April 30, 2024, issued pursuant to the Credit Agreement.</w:t>
      </w:r>
    </w:p>
    <w:p>
      <w:pPr>
        <w:spacing w:after="0" w:line="314" w:lineRule="exact"/>
        <w:rPr>
          <w:sz w:val="20"/>
          <w:szCs w:val="20"/>
          <w:color w:val="auto"/>
        </w:rPr>
      </w:pPr>
    </w:p>
    <w:p>
      <w:pPr>
        <w:ind w:left="660" w:right="328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preamble.</w:t>
      </w:r>
    </w:p>
    <w:p>
      <w:pPr>
        <w:jc w:val="both"/>
        <w:ind w:right="3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corporation, company, association, trust, limited liability company, organization, entity or division, or any government, governmental department or agency or political subdivision thereof.</w:t>
      </w:r>
    </w:p>
    <w:p>
      <w:pPr>
        <w:spacing w:after="0" w:line="186" w:lineRule="exact"/>
        <w:rPr>
          <w:sz w:val="20"/>
          <w:szCs w:val="20"/>
          <w:color w:val="auto"/>
        </w:rPr>
      </w:pPr>
    </w:p>
    <w:p>
      <w:pPr>
        <w:ind w:right="24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means any action, claim, suit, proceeding or investigation (including a preliminary investigation or partial proceeding, such as a deposition) pending or known to the Company to be threatened.</w:t>
      </w:r>
    </w:p>
    <w:p>
      <w:pPr>
        <w:spacing w:after="0" w:line="13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means the prospectus included in a Registration Statement (including a prospectus that includes any information previously omitted from a prospectus filed as part of an effective Registration Statement in reliance upon Rule 430A), all amendments and supplements to the Prospectus, including post-effective amendments, and all information incorporated by reference or deemed to be incorporated by reference in such Prospectus.</w:t>
      </w:r>
    </w:p>
    <w:p>
      <w:pPr>
        <w:spacing w:after="0" w:line="1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registered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refer to a registration effected by preparing and filing a registration statement in compliance with the Securities Act, and the declaration or ordering of the effectiveness of such registration statement under the Securities Act (to the extent such declaration or order is required in order for such registration statement to become effective).</w:t>
      </w:r>
    </w:p>
    <w:p>
      <w:pPr>
        <w:sectPr>
          <w:pgSz w:w="11900" w:h="16838" w:orient="portrait"/>
          <w:cols w:equalWidth="0" w:num="1">
            <w:col w:w="9680"/>
          </w:cols>
          <w:pgMar w:left="1400" w:top="1440" w:right="819" w:bottom="1440" w:gutter="0" w:footer="0" w:header="0"/>
        </w:sectPr>
      </w:pPr>
    </w:p>
    <w:bookmarkStart w:id="90" w:name="page91"/>
    <w:bookmarkEnd w:id="90"/>
    <w:p>
      <w:pPr>
        <w:spacing w:after="0" w:line="11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Registrable Securities</w:t>
      </w:r>
      <w:r>
        <w:rPr>
          <w:rFonts w:ascii="Times New Roman" w:cs="Times New Roman" w:eastAsia="Times New Roman" w:hAnsi="Times New Roman"/>
          <w:sz w:val="21"/>
          <w:szCs w:val="21"/>
          <w:color w:val="auto"/>
        </w:rPr>
        <w:t xml:space="preserve">” means (i) the Underlying Shares, and (ii) any Additional Shares;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Underlying Shares or Additional Shares shall cease to be treated as Registrable Securities when</w:t>
      </w:r>
    </w:p>
    <w:p>
      <w:pPr>
        <w:spacing w:after="0" w:line="2" w:lineRule="exact"/>
        <w:rPr>
          <w:sz w:val="20"/>
          <w:szCs w:val="20"/>
          <w:color w:val="auto"/>
        </w:rPr>
      </w:pPr>
    </w:p>
    <w:p>
      <w:pPr>
        <w:ind w:right="80" w:firstLine="8"/>
        <w:spacing w:after="0" w:line="248" w:lineRule="auto"/>
        <w:tabs>
          <w:tab w:leader="none" w:pos="35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has been disposed of pursuant to an effective registration statement, (B) such security is sold pursuant to Rule 144, or (C) the Holder thereof, together with its Affiliates, is able to dispose of all of its Registrable Securities without restriction or limitation pursuant to Rule 144 and all restrictive legends and stop transfer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instructions have been removed with respect to such Registrable Securities.</w:t>
      </w:r>
    </w:p>
    <w:p>
      <w:pPr>
        <w:spacing w:after="0" w:line="22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Expenses</w:t>
      </w:r>
      <w:r>
        <w:rPr>
          <w:rFonts w:ascii="Times New Roman" w:cs="Times New Roman" w:eastAsia="Times New Roman" w:hAnsi="Times New Roman"/>
          <w:sz w:val="22"/>
          <w:szCs w:val="22"/>
          <w:color w:val="auto"/>
        </w:rPr>
        <w:t>” means all expenses incurred by the Company in complying with this Agreement, including, without limitation, all registration, qualification and filing fees, printing expenses, escrow fees, fees and expenses of counsel for the Company, fees and expenses of one counsel for the Holder in an amount not to exceed $10,000, blue sky fees and expenses and the expense of any special audits incident to or required by any such registration.</w:t>
      </w:r>
    </w:p>
    <w:p>
      <w:pPr>
        <w:spacing w:after="0" w:line="2"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2"/>
          <w:szCs w:val="22"/>
          <w:color w:val="auto"/>
        </w:rPr>
        <w:t>Registration Expenses shall not include underwriting discounts or commissions attributable to the sale of the Registrable Securities.</w:t>
      </w:r>
    </w:p>
    <w:p>
      <w:pPr>
        <w:spacing w:after="0" w:line="182"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means a registration statement of the Company filed with or to be filed with the Commission under the Securities Act that covers the resale of any of the Registrable Securities pursuant to the provisions of this Agreement, and including any Prospectus, amendments and supplements to each such registration statement or Prospectus, including pre- and post-effective amendments, all exhibits thereto, and all information incorporated by reference or deemed to be incorporated by reference in such registration statement.</w:t>
      </w: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8(m)</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Rule 144 under the Securities Act.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405</w:t>
      </w:r>
      <w:r>
        <w:rPr>
          <w:rFonts w:ascii="Times New Roman" w:cs="Times New Roman" w:eastAsia="Times New Roman" w:hAnsi="Times New Roman"/>
          <w:sz w:val="22"/>
          <w:szCs w:val="22"/>
          <w:color w:val="auto"/>
        </w:rPr>
        <w:t>” means Rule 405 under the Securities Act. “</w:t>
      </w:r>
      <w:r>
        <w:rPr>
          <w:rFonts w:ascii="Times New Roman" w:cs="Times New Roman" w:eastAsia="Times New Roman" w:hAnsi="Times New Roman"/>
          <w:sz w:val="22"/>
          <w:szCs w:val="22"/>
          <w:u w:val="single" w:color="auto"/>
          <w:color w:val="auto"/>
        </w:rPr>
        <w:t>Rule 415</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Rule 415 under the Securities Act. “</w:t>
      </w:r>
      <w:r>
        <w:rPr>
          <w:rFonts w:ascii="Times New Roman" w:cs="Times New Roman" w:eastAsia="Times New Roman" w:hAnsi="Times New Roman"/>
          <w:sz w:val="22"/>
          <w:szCs w:val="22"/>
          <w:u w:val="single" w:color="auto"/>
          <w:color w:val="auto"/>
        </w:rPr>
        <w:t>Rule 424</w:t>
      </w:r>
      <w:r>
        <w:rPr>
          <w:rFonts w:ascii="Times New Roman" w:cs="Times New Roman" w:eastAsia="Times New Roman" w:hAnsi="Times New Roman"/>
          <w:sz w:val="22"/>
          <w:szCs w:val="22"/>
          <w:color w:val="auto"/>
        </w:rPr>
        <w:t>” means Rule 424 under the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Securities Act. “</w:t>
      </w:r>
      <w:r>
        <w:rPr>
          <w:rFonts w:ascii="Times New Roman" w:cs="Times New Roman" w:eastAsia="Times New Roman" w:hAnsi="Times New Roman"/>
          <w:sz w:val="22"/>
          <w:szCs w:val="22"/>
          <w:u w:val="single" w:color="auto"/>
          <w:color w:val="auto"/>
        </w:rPr>
        <w:t>Rule 430A</w:t>
      </w:r>
      <w:r>
        <w:rPr>
          <w:rFonts w:ascii="Times New Roman" w:cs="Times New Roman" w:eastAsia="Times New Roman" w:hAnsi="Times New Roman"/>
          <w:sz w:val="22"/>
          <w:szCs w:val="22"/>
          <w:color w:val="auto"/>
        </w:rPr>
        <w:t>” means Rule 430A under the Securities Act.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Registration</w:t>
      </w:r>
      <w:r>
        <w:rPr>
          <w:rFonts w:ascii="Times New Roman" w:cs="Times New Roman" w:eastAsia="Times New Roman" w:hAnsi="Times New Roman"/>
          <w:sz w:val="22"/>
          <w:szCs w:val="22"/>
          <w:color w:val="auto"/>
        </w:rPr>
        <w:t xml:space="preserve">” means the registration of an offering of Registrable Securities on a Form S-1 Shelf or a Form S-3 Shelf, as applicable, on a delayed or continuous basis under Rule 415,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2(a)</w:t>
      </w:r>
      <w:r>
        <w:rPr>
          <w:rFonts w:ascii="Times New Roman" w:cs="Times New Roman" w:eastAsia="Times New Roman" w:hAnsi="Times New Roman"/>
          <w:sz w:val="22"/>
          <w:szCs w:val="22"/>
          <w:color w:val="auto"/>
        </w:rPr>
        <w:t>.</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Registration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Subsequent Registration</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2(a)(ii)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Subsequent Shelf Registration Statement</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has the meaning set forth in </w:t>
      </w:r>
      <w:r>
        <w:rPr>
          <w:rFonts w:ascii="Times New Roman" w:cs="Times New Roman" w:eastAsia="Times New Roman" w:hAnsi="Times New Roman"/>
          <w:sz w:val="22"/>
          <w:szCs w:val="22"/>
          <w:u w:val="single" w:color="auto"/>
          <w:color w:val="auto"/>
        </w:rPr>
        <w:t>Section</w:t>
      </w:r>
    </w:p>
    <w:p>
      <w:pPr>
        <w:sectPr>
          <w:pgSz w:w="11900" w:h="16838" w:orient="portrait"/>
          <w:cols w:equalWidth="0" w:num="1">
            <w:col w:w="9660"/>
          </w:cols>
          <w:pgMar w:left="1400" w:top="1440" w:right="839" w:bottom="1440" w:gutter="0" w:footer="0" w:header="0"/>
        </w:sectPr>
      </w:pPr>
    </w:p>
    <w:bookmarkStart w:id="91" w:name="page92"/>
    <w:bookmarkEnd w:id="91"/>
    <w:p>
      <w:pPr>
        <w:spacing w:after="0" w:line="50" w:lineRule="exact"/>
        <w:rPr>
          <w:sz w:val="20"/>
          <w:szCs w:val="20"/>
          <w:color w:val="auto"/>
        </w:rPr>
      </w:pPr>
    </w:p>
    <w:p>
      <w:pPr>
        <w:ind w:right="980" w:firstLine="648"/>
        <w:spacing w:after="0" w:line="412" w:lineRule="auto"/>
        <w:rPr>
          <w:sz w:val="20"/>
          <w:szCs w:val="20"/>
          <w:color w:val="auto"/>
        </w:rPr>
      </w:pPr>
      <w:r>
        <w:rPr>
          <w:rFonts w:ascii="Times New Roman" w:cs="Times New Roman" w:eastAsia="Times New Roman" w:hAnsi="Times New Roman"/>
          <w:sz w:val="22"/>
          <w:szCs w:val="22"/>
          <w:u w:val="single" w:color="auto"/>
          <w:color w:val="auto"/>
        </w:rPr>
        <w:t>2(a)(ii)</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Subsequent Warrant</w:t>
      </w:r>
      <w:r>
        <w:rPr>
          <w:rFonts w:ascii="Times New Roman" w:cs="Times New Roman" w:eastAsia="Times New Roman" w:hAnsi="Times New Roman"/>
          <w:sz w:val="22"/>
          <w:szCs w:val="22"/>
          <w:color w:val="auto"/>
        </w:rPr>
        <w:t>” means any warrant issued pursuant to the Credit Agreement in connection with a Delayed Draw Loan.</w:t>
      </w:r>
    </w:p>
    <w:p>
      <w:pPr>
        <w:spacing w:after="0" w:line="22"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when used with respect to any Person, any corporation or other entity, whether incorporated or unincorporated, of which (a) such Person or any other Subsidiary</w:t>
      </w:r>
    </w:p>
    <w:p>
      <w:pPr>
        <w:spacing w:after="0" w:line="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2"/>
          <w:szCs w:val="22"/>
          <w:color w:val="auto"/>
        </w:rPr>
        <w:t>of such Person is a general partner (excluding partnerships if the general partnership interests of which held by such Person or any Subsidiary of such Person do not have a majority of the voting interests in such partnership) or (b) at least a majority of the securities or other interests that have voting power to elect a majority of the board of directors or others performing similar functions with respect to such corporation or other entity is directly or indirectly owned or controlled by such Person or by any one or more of its Subsidiaries, or by such Person and one or more of its Subsidiaries.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Suspension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means the principal national securities exchange in the United States on which the Company Common Stock is listed.</w:t>
      </w:r>
    </w:p>
    <w:p>
      <w:pPr>
        <w:spacing w:after="0" w:line="144" w:lineRule="exact"/>
        <w:rPr>
          <w:sz w:val="20"/>
          <w:szCs w:val="20"/>
          <w:color w:val="auto"/>
        </w:rPr>
      </w:pPr>
    </w:p>
    <w:p>
      <w:pPr>
        <w:ind w:firstLine="6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Underlying Shares</w:t>
      </w:r>
      <w:r>
        <w:rPr>
          <w:rFonts w:ascii="Times New Roman" w:cs="Times New Roman" w:eastAsia="Times New Roman" w:hAnsi="Times New Roman"/>
          <w:sz w:val="22"/>
          <w:szCs w:val="22"/>
          <w:color w:val="auto"/>
        </w:rPr>
        <w:t>” means any and all shares of Company Common Stock issuable upon exercise of the Initial Warrant and any Subsequent Warrant.</w:t>
      </w:r>
    </w:p>
    <w:p>
      <w:pPr>
        <w:spacing w:after="0" w:line="198"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2"/>
          <w:szCs w:val="22"/>
          <w:color w:val="auto"/>
        </w:rPr>
        <w:t>Unless the context requires otherwise: (a) any pronoun used in this Agreement shall include the corresponding masculine, feminine or neuter forms; (b) references to Sections, paragraphs and clauses refer to Sections, paragraphs and clauses of this Agreement; (c) the terms “include,” “includes,” “including” or words of like import shall be deemed to be followed by the words “without limitation”; (d) the terms “hereof,” “herein” or “hereunder” refer to this Agreement as a whole and not to any particular provision of this Agreement; (e) unless the context otherwise requires, the term “or” is not exclusive and shall have the inclusive meaning of “and/or”; (f) defined terms herein will apply equally to both the singular and plural forms and derivative forms of defined terms will have correlative meanings; (g) references to any law or statute shall be deemed to refer to such law or statute as amended or supplemented from time to time and shall include all rules and regulations and forms promulgated thereunder, and references to any law, rule, form or statute shall be construed as including any legal and statutory provisions, rules or forms consolidating, amending, succeeding, replacing or having substantially the same effect as the applicable law, rule, form or statute; (h) references to any Person include such Person’s successors and permitted assigns; and (i) references to “days” are to calendar days unless otherwise indicated. Each of the Parties hereto acknowledges that each Party was actively involved in the negotiation and drafting of this Agreement and that no law or rule of construction shall be raised or used in which the provisions of this Agreement shall be construed in favor or against any Party hereto because one is deemed to be the author thereof.</w:t>
      </w:r>
    </w:p>
    <w:p>
      <w:pPr>
        <w:spacing w:after="0" w:line="214"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Registration</w:t>
      </w:r>
      <w:r>
        <w:rPr>
          <w:rFonts w:ascii="Times New Roman" w:cs="Times New Roman" w:eastAsia="Times New Roman" w:hAnsi="Times New Roman"/>
          <w:sz w:val="22"/>
          <w:szCs w:val="22"/>
          <w:color w:val="auto"/>
        </w:rPr>
        <w:t>.</w:t>
      </w:r>
    </w:p>
    <w:p>
      <w:pPr>
        <w:sectPr>
          <w:pgSz w:w="11900" w:h="16838" w:orient="portrait"/>
          <w:cols w:equalWidth="0" w:num="1">
            <w:col w:w="9740"/>
          </w:cols>
          <w:pgMar w:left="1400" w:top="1440" w:right="759" w:bottom="1440" w:gutter="0" w:footer="0" w:header="0"/>
        </w:sectPr>
      </w:pPr>
    </w:p>
    <w:bookmarkStart w:id="92" w:name="page93"/>
    <w:bookmarkEnd w:id="92"/>
    <w:p>
      <w:pPr>
        <w:ind w:left="1260" w:hanging="644"/>
        <w:spacing w:after="0"/>
        <w:tabs>
          <w:tab w:leader="none" w:pos="12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Shelf Registration</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620" w:right="200"/>
        <w:spacing w:after="0" w:line="250" w:lineRule="auto"/>
        <w:rPr>
          <w:sz w:val="20"/>
          <w:szCs w:val="20"/>
          <w:color w:val="auto"/>
        </w:rPr>
      </w:pPr>
      <w:r>
        <w:rPr>
          <w:rFonts w:ascii="Times New Roman" w:cs="Times New Roman" w:eastAsia="Times New Roman" w:hAnsi="Times New Roman"/>
          <w:sz w:val="22"/>
          <w:szCs w:val="22"/>
          <w:color w:val="auto"/>
        </w:rPr>
        <w:t>(i)No later than forty-five (45) days after the date hereof, the Company shall file a Registration Statement for a Shelf Registration covering the resale of any Registrable Securities, other than the Registrable Securities relating to any Subsequent Warrant, with the Commission for an offering to be made on a continuous basis pursuant to Rule 415, or if Rule 415 is not available for offers and sales of the Registrable Securities, by such other means of distribution of Registrable Securities as the Holder may reasonably specify (the “</w:t>
      </w:r>
      <w:r>
        <w:rPr>
          <w:rFonts w:ascii="Times New Roman" w:cs="Times New Roman" w:eastAsia="Times New Roman" w:hAnsi="Times New Roman"/>
          <w:sz w:val="22"/>
          <w:szCs w:val="22"/>
          <w:u w:val="single" w:color="auto"/>
          <w:color w:val="auto"/>
        </w:rPr>
        <w:t>Initial Registration Statement</w:t>
      </w:r>
      <w:r>
        <w:rPr>
          <w:rFonts w:ascii="Times New Roman" w:cs="Times New Roman" w:eastAsia="Times New Roman" w:hAnsi="Times New Roman"/>
          <w:sz w:val="22"/>
          <w:szCs w:val="22"/>
          <w:color w:val="auto"/>
        </w:rPr>
        <w:t>”). The Initial Registration Statement shall be</w:t>
      </w:r>
    </w:p>
    <w:p>
      <w:pPr>
        <w:spacing w:after="0" w:line="32" w:lineRule="exact"/>
        <w:rPr>
          <w:sz w:val="20"/>
          <w:szCs w:val="20"/>
          <w:color w:val="auto"/>
        </w:rPr>
      </w:pPr>
    </w:p>
    <w:p>
      <w:pPr>
        <w:ind w:left="620"/>
        <w:spacing w:after="0" w:line="246" w:lineRule="auto"/>
        <w:rPr>
          <w:sz w:val="20"/>
          <w:szCs w:val="20"/>
          <w:color w:val="auto"/>
        </w:rPr>
      </w:pPr>
      <w:r>
        <w:rPr>
          <w:rFonts w:ascii="Times New Roman" w:cs="Times New Roman" w:eastAsia="Times New Roman" w:hAnsi="Times New Roman"/>
          <w:sz w:val="22"/>
          <w:szCs w:val="22"/>
          <w:color w:val="auto"/>
        </w:rPr>
        <w:t>on Form S-3 (or any successor to Form S-3) covering the resale of all of the Registrable Securities held by the Holder (the “</w:t>
      </w:r>
      <w:r>
        <w:rPr>
          <w:rFonts w:ascii="Times New Roman" w:cs="Times New Roman" w:eastAsia="Times New Roman" w:hAnsi="Times New Roman"/>
          <w:sz w:val="22"/>
          <w:szCs w:val="22"/>
          <w:u w:val="single" w:color="auto"/>
          <w:color w:val="auto"/>
        </w:rPr>
        <w:t>Form S-3 Shelf</w:t>
      </w:r>
      <w:r>
        <w:rPr>
          <w:rFonts w:ascii="Times New Roman" w:cs="Times New Roman" w:eastAsia="Times New Roman" w:hAnsi="Times New Roman"/>
          <w:sz w:val="22"/>
          <w:szCs w:val="22"/>
          <w:color w:val="auto"/>
        </w:rPr>
        <w:t>”), or if such Form S-3 is not then available to the Company, the Company shall file a Registration Statement for a Shelf Registration on Form S-1 (or any successor to Form S-1) (the “</w:t>
      </w:r>
      <w:r>
        <w:rPr>
          <w:rFonts w:ascii="Times New Roman" w:cs="Times New Roman" w:eastAsia="Times New Roman" w:hAnsi="Times New Roman"/>
          <w:sz w:val="22"/>
          <w:szCs w:val="22"/>
          <w:u w:val="single" w:color="auto"/>
          <w:color w:val="auto"/>
        </w:rPr>
        <w:t>Form S-1 Shelf</w:t>
      </w:r>
      <w:r>
        <w:rPr>
          <w:rFonts w:ascii="Times New Roman" w:cs="Times New Roman" w:eastAsia="Times New Roman" w:hAnsi="Times New Roman"/>
          <w:sz w:val="22"/>
          <w:szCs w:val="22"/>
          <w:color w:val="auto"/>
        </w:rPr>
        <w:t>” and, together with the Form S-3 Shelf, the “</w:t>
      </w:r>
      <w:r>
        <w:rPr>
          <w:rFonts w:ascii="Times New Roman" w:cs="Times New Roman" w:eastAsia="Times New Roman" w:hAnsi="Times New Roman"/>
          <w:sz w:val="22"/>
          <w:szCs w:val="22"/>
          <w:u w:val="single" w:color="auto"/>
          <w:color w:val="auto"/>
        </w:rPr>
        <w:t>Shelf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Subject to the terms of this Agreement, including any applicable Suspension Period, the Company shall use its reasonable best efforts to cause the Shelf Registration Statement to be declared effective under the Securities Act as promptly as possible after the filing thereof, but in any event (x) no later than the fifth (5th) trading day following the date the Commission notifies the Company that it will not review the Shelf Registration Statement, and (y) no later than the ninetieth (90th) day following the filing of the Shelf Registration Statement in the event that the Commission reviews the Shelf Registration Statement. The Company shall use its reasonable best efforts to keep such Shelf Registration Statement continuously effective under the Securities Act until the earliest to occur of (1) the Expiration Date (as defined therein) of the Initial Warrant, and (2) such time as there are no Registrable Securities remaining or issuable upon exercise of the Initial Warrant (the “</w:t>
      </w:r>
      <w:r>
        <w:rPr>
          <w:rFonts w:ascii="Times New Roman" w:cs="Times New Roman" w:eastAsia="Times New Roman" w:hAnsi="Times New Roman"/>
          <w:sz w:val="22"/>
          <w:szCs w:val="22"/>
          <w:u w:val="single" w:color="auto"/>
          <w:color w:val="auto"/>
        </w:rPr>
        <w:t>Shelf Period</w:t>
      </w:r>
      <w:r>
        <w:rPr>
          <w:rFonts w:ascii="Times New Roman" w:cs="Times New Roman" w:eastAsia="Times New Roman" w:hAnsi="Times New Roman"/>
          <w:sz w:val="22"/>
          <w:szCs w:val="22"/>
          <w:color w:val="auto"/>
        </w:rPr>
        <w:t>”). The Company shall notify the Holder by email with electronic confirmation of the effectiveness of the Shelf Registration Statement as promptly as practicable, and in any event within two (2) Business Days after the Company telephonically or otherwise confirms effectiveness with the Commission. The Company shall file a final Prospectus with the Commission to the extent required by Rule 424. The “Plan of Distribution” section of such Shelf Registration Statement shall provide for all permitted means of disposition of Registrable Securities, including firm-commitment underwritten public offerings, agented transactions, sales directly into the market, purchases or sales by brokers and sales not involving a public offering. Notwithstanding anything to the contrary contained herein, in the event the Commission informs the Company that all of the Registrable Securities cannot, as a result of the application of Rule 415, be registered for resale as a secondary offering on a single registration statement, the Company agrees to promptly (A) inform the Holder, (B) file amendments to the Initial Registration Statement as required by the Commission or (C) withdraw the Initial Registration Statement and file a new Registration Statement (a “</w:t>
      </w:r>
      <w:r>
        <w:rPr>
          <w:rFonts w:ascii="Times New Roman" w:cs="Times New Roman" w:eastAsia="Times New Roman" w:hAnsi="Times New Roman"/>
          <w:sz w:val="22"/>
          <w:szCs w:val="22"/>
          <w:u w:val="single" w:color="auto"/>
          <w:color w:val="auto"/>
        </w:rPr>
        <w:t>New Registration Statement</w:t>
      </w:r>
      <w:r>
        <w:rPr>
          <w:rFonts w:ascii="Times New Roman" w:cs="Times New Roman" w:eastAsia="Times New Roman" w:hAnsi="Times New Roman"/>
          <w:sz w:val="22"/>
          <w:szCs w:val="22"/>
          <w:color w:val="auto"/>
        </w:rPr>
        <w:t xml:space="preserve">”), in either case of clause (B) or (C) covering the maximum number of Registrable Securities permitted to be registered by the Commission, on Form S-3 or, if the Company is ineligible to register for resale the Registrable Securities on Form S-3, such other form available to register for resale the Registrable Securities as a secondary offering;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prior to filing such amendment or New Registration Statement, the Company shall be obligated to use its reasonable efforts to advocate with</w:t>
      </w:r>
    </w:p>
    <w:p>
      <w:pPr>
        <w:sectPr>
          <w:pgSz w:w="11900" w:h="16838" w:orient="portrait"/>
          <w:cols w:equalWidth="0" w:num="1">
            <w:col w:w="9660"/>
          </w:cols>
          <w:pgMar w:left="1440" w:top="1341" w:right="799" w:bottom="1440" w:gutter="0" w:footer="0" w:header="0"/>
        </w:sectPr>
      </w:pPr>
    </w:p>
    <w:bookmarkStart w:id="93" w:name="page94"/>
    <w:bookmarkEnd w:id="93"/>
    <w:p>
      <w:pPr>
        <w:ind w:left="620" w:right="20"/>
        <w:spacing w:after="0" w:line="250" w:lineRule="auto"/>
        <w:rPr>
          <w:sz w:val="20"/>
          <w:szCs w:val="20"/>
          <w:color w:val="auto"/>
        </w:rPr>
      </w:pPr>
      <w:r>
        <w:rPr>
          <w:rFonts w:ascii="Times New Roman" w:cs="Times New Roman" w:eastAsia="Times New Roman" w:hAnsi="Times New Roman"/>
          <w:sz w:val="22"/>
          <w:szCs w:val="22"/>
          <w:color w:val="auto"/>
        </w:rPr>
        <w:t>the Commission for the registration of all of the Registrable Securities. In the event the Company amends the Initial Registration Statement or files a New Registration Statement, as the case may be, under clauses (B) or (C) above, the Company will use its reasonable efforts to file with the Commission, as promptly as allowed by the Commission, one or more Registration Statements on Form S-3 or, if the Company is ineligible to register for resale the Registrable Securities on Form S-3, such other form available to register for resale those Registrable Securities that were not registered for resale on the Initial Registration Statement, as amended, or the New Registration Statement.</w:t>
      </w:r>
    </w:p>
    <w:p>
      <w:pPr>
        <w:spacing w:after="0" w:line="32" w:lineRule="exact"/>
        <w:rPr>
          <w:sz w:val="20"/>
          <w:szCs w:val="20"/>
          <w:color w:val="auto"/>
        </w:rPr>
      </w:pPr>
    </w:p>
    <w:p>
      <w:pPr>
        <w:ind w:left="620" w:hanging="4"/>
        <w:spacing w:after="0" w:line="258" w:lineRule="auto"/>
        <w:tabs>
          <w:tab w:leader="none" w:pos="147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thirty (30) days after the issuance of any Subsequent Warrant, the Company shall file a Registration Statement for a Shelf Registration covering the resale of any Registrable Securities not covered by an existing effective Registration Statement with the Commission for an offering to be made on a continuous basis pursuant to Rule 415, or if Rule 415 is not available for offers and sales of the Registrable Securities, by such other means of distribution of Registrable Securities as the Holder may reasonably specify (each, a “</w:t>
      </w:r>
      <w:r>
        <w:rPr>
          <w:rFonts w:ascii="Times New Roman" w:cs="Times New Roman" w:eastAsia="Times New Roman" w:hAnsi="Times New Roman"/>
          <w:sz w:val="21"/>
          <w:szCs w:val="21"/>
          <w:u w:val="single" w:color="auto"/>
          <w:color w:val="auto"/>
        </w:rPr>
        <w:t>Subsequent Registration Statement</w:t>
      </w:r>
      <w:r>
        <w:rPr>
          <w:rFonts w:ascii="Times New Roman" w:cs="Times New Roman" w:eastAsia="Times New Roman" w:hAnsi="Times New Roman"/>
          <w:sz w:val="21"/>
          <w:szCs w:val="21"/>
          <w:color w:val="auto"/>
        </w:rPr>
        <w:t>”). Any Subsequent Registration Statement shall be on Form S-3 (or any successor to Form S-3) covering the resale of any Registrable Securities held by the Holder (a “</w:t>
      </w:r>
      <w:r>
        <w:rPr>
          <w:rFonts w:ascii="Times New Roman" w:cs="Times New Roman" w:eastAsia="Times New Roman" w:hAnsi="Times New Roman"/>
          <w:sz w:val="21"/>
          <w:szCs w:val="21"/>
          <w:u w:val="single" w:color="auto"/>
          <w:color w:val="auto"/>
        </w:rPr>
        <w:t>Subsequent Form S-3 Shelf</w:t>
      </w:r>
      <w:r>
        <w:rPr>
          <w:rFonts w:ascii="Times New Roman" w:cs="Times New Roman" w:eastAsia="Times New Roman" w:hAnsi="Times New Roman"/>
          <w:sz w:val="21"/>
          <w:szCs w:val="21"/>
          <w:color w:val="auto"/>
        </w:rPr>
        <w:t>”) that are not covered by an existing effective registration statement, or if such Form S-3 is not then available to the Company, the Company shall file a Registration Statement for a Shelf Registration on Form S-1 (or any successor to Form S-1) (a “</w:t>
      </w:r>
      <w:r>
        <w:rPr>
          <w:rFonts w:ascii="Times New Roman" w:cs="Times New Roman" w:eastAsia="Times New Roman" w:hAnsi="Times New Roman"/>
          <w:sz w:val="21"/>
          <w:szCs w:val="21"/>
          <w:u w:val="single" w:color="auto"/>
          <w:color w:val="auto"/>
        </w:rPr>
        <w:t>Subsequent Form S-1 Shelf</w:t>
      </w:r>
      <w:r>
        <w:rPr>
          <w:rFonts w:ascii="Times New Roman" w:cs="Times New Roman" w:eastAsia="Times New Roman" w:hAnsi="Times New Roman"/>
          <w:sz w:val="21"/>
          <w:szCs w:val="21"/>
          <w:color w:val="auto"/>
        </w:rPr>
        <w:t>” and, together with the Subsequent Form S-3 Shelf, the “</w:t>
      </w:r>
      <w:r>
        <w:rPr>
          <w:rFonts w:ascii="Times New Roman" w:cs="Times New Roman" w:eastAsia="Times New Roman" w:hAnsi="Times New Roman"/>
          <w:sz w:val="21"/>
          <w:szCs w:val="21"/>
          <w:u w:val="single" w:color="auto"/>
          <w:color w:val="auto"/>
        </w:rPr>
        <w:t>Subsequent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Shelf Registration Statement</w:t>
      </w:r>
      <w:r>
        <w:rPr>
          <w:rFonts w:ascii="Times New Roman" w:cs="Times New Roman" w:eastAsia="Times New Roman" w:hAnsi="Times New Roman"/>
          <w:sz w:val="21"/>
          <w:szCs w:val="21"/>
          <w:color w:val="auto"/>
        </w:rPr>
        <w:t>”). Subject to the terms of this Agreement, including any applicable Suspension Period, the Company shall use its reasonable best efforts to cause the Subsequent Shelf Registration Statement to be declared effective under the Securities Act as promptly as possible after the filing thereof, but in any event (x) no later than the fifth (5th) trading day following the date the Commission notifies the Company that it will not review the Subsequent Shelf Registration Statement and (y) no later than the ninetieth (90th) day following the filing of the Subsequent Shelf Registration Statement in the event that the Commission reviews the Subsequent Shelf Registration Statement. The Company shall use its reasonable best efforts to keep such Subsequent Shelf Registration Statement continuously effective under the Securities Act until the earlier to occur of (1) the Expiration Date (as defined therein) of the applicable Subsequent Warrant, and (2) such time as there are no Registrable Securities remaining or issuable upon exercise of the applicable Subsequent Warrant (the “</w:t>
      </w:r>
      <w:r>
        <w:rPr>
          <w:rFonts w:ascii="Times New Roman" w:cs="Times New Roman" w:eastAsia="Times New Roman" w:hAnsi="Times New Roman"/>
          <w:sz w:val="21"/>
          <w:szCs w:val="21"/>
          <w:u w:val="single" w:color="auto"/>
          <w:color w:val="auto"/>
        </w:rPr>
        <w:t>Subsequent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Shelf Period</w:t>
      </w:r>
      <w:r>
        <w:rPr>
          <w:rFonts w:ascii="Times New Roman" w:cs="Times New Roman" w:eastAsia="Times New Roman" w:hAnsi="Times New Roman"/>
          <w:sz w:val="21"/>
          <w:szCs w:val="21"/>
          <w:color w:val="auto"/>
        </w:rPr>
        <w:t>”). The Company shall notify the Holder by email with electronic confirmation of the effectiveness of the Subsequent Shelf Registration Statement as promptly as practicable, and in any event within two (2) Business Days, after the Company telephonically or otherwise confirms effectiveness with the Commission. The Company shall file a final Prospectus with the Commission to the extent required by Rule 424. The “Plan of Distribution” section of such Subsequent Shelf Registration Statement shall provide for all permitted means of disposition of Registrable Securities, including firm-commitment underwritten public offerings, agented transactions, sales directly into the market, purchases or sales by brokers and sales not involving a public offering. Notwithstanding anything to the contrary contained herein, in the event the Commission informs the Company that all of the Registrable Securities cannot, as a result of the application of</w:t>
      </w:r>
    </w:p>
    <w:p>
      <w:pPr>
        <w:sectPr>
          <w:pgSz w:w="11900" w:h="16838" w:orient="portrait"/>
          <w:cols w:equalWidth="0" w:num="1">
            <w:col w:w="9660"/>
          </w:cols>
          <w:pgMar w:left="1440" w:top="1422" w:right="799" w:bottom="1440" w:gutter="0" w:footer="0" w:header="0"/>
        </w:sectPr>
      </w:pPr>
    </w:p>
    <w:bookmarkStart w:id="94" w:name="page95"/>
    <w:bookmarkEnd w:id="94"/>
    <w:p>
      <w:pPr>
        <w:ind w:left="620"/>
        <w:spacing w:after="0" w:line="262" w:lineRule="auto"/>
        <w:rPr>
          <w:sz w:val="20"/>
          <w:szCs w:val="20"/>
          <w:color w:val="auto"/>
        </w:rPr>
      </w:pPr>
      <w:r>
        <w:rPr>
          <w:rFonts w:ascii="Times New Roman" w:cs="Times New Roman" w:eastAsia="Times New Roman" w:hAnsi="Times New Roman"/>
          <w:sz w:val="21"/>
          <w:szCs w:val="21"/>
          <w:color w:val="auto"/>
        </w:rPr>
        <w:t>Rule 415, be registered for resale as a secondary offering on a single registration statement, the Company agrees to promptly (A) inform the Holder, (B) file amendments to the Subsequent Registration Statement as required by the Commission or (C) withdraw the Subsequent Registration Statement and file a new Subsequent Registration Statement (a “</w:t>
      </w:r>
      <w:r>
        <w:rPr>
          <w:rFonts w:ascii="Times New Roman" w:cs="Times New Roman" w:eastAsia="Times New Roman" w:hAnsi="Times New Roman"/>
          <w:sz w:val="21"/>
          <w:szCs w:val="21"/>
          <w:u w:val="single" w:color="auto"/>
          <w:color w:val="auto"/>
        </w:rPr>
        <w:t>New Subsequent Registration Statement</w:t>
      </w:r>
      <w:r>
        <w:rPr>
          <w:rFonts w:ascii="Times New Roman" w:cs="Times New Roman" w:eastAsia="Times New Roman" w:hAnsi="Times New Roman"/>
          <w:sz w:val="21"/>
          <w:szCs w:val="21"/>
          <w:color w:val="auto"/>
        </w:rPr>
        <w:t xml:space="preserve">”), in either case of clause (B) or (C) covering the maximum number of Registrable Securities permitted to be registered by the Commission, on Form S-3 or, if the Company is ineligible to register for resale the Registrable Securities on Form S-3, such other form available to register for resale the Registrable Securities as a secondary offering;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prior to filing such amendment or New</w:t>
      </w:r>
    </w:p>
    <w:p>
      <w:pPr>
        <w:spacing w:after="0" w:line="24" w:lineRule="exact"/>
        <w:rPr>
          <w:sz w:val="20"/>
          <w:szCs w:val="20"/>
          <w:color w:val="auto"/>
        </w:rPr>
      </w:pPr>
    </w:p>
    <w:p>
      <w:pPr>
        <w:ind w:left="620" w:right="280"/>
        <w:spacing w:after="0" w:line="252" w:lineRule="auto"/>
        <w:rPr>
          <w:sz w:val="20"/>
          <w:szCs w:val="20"/>
          <w:color w:val="auto"/>
        </w:rPr>
      </w:pPr>
      <w:r>
        <w:rPr>
          <w:rFonts w:ascii="Times New Roman" w:cs="Times New Roman" w:eastAsia="Times New Roman" w:hAnsi="Times New Roman"/>
          <w:sz w:val="22"/>
          <w:szCs w:val="22"/>
          <w:color w:val="auto"/>
        </w:rPr>
        <w:t>Subsequent Registration Statement, the Company shall be obligated to use its reasonable efforts to advocate with the Commission for the registration of all of the Registrable Securities. In the event the Company amends the Subsequent Registration Statement or files a New Subsequent Registration Statement, as the case may be, under clauses (B) or</w:t>
      </w:r>
    </w:p>
    <w:p>
      <w:pPr>
        <w:spacing w:after="0" w:line="1" w:lineRule="exact"/>
        <w:rPr>
          <w:sz w:val="20"/>
          <w:szCs w:val="20"/>
          <w:color w:val="auto"/>
        </w:rPr>
      </w:pPr>
    </w:p>
    <w:p>
      <w:pPr>
        <w:ind w:left="620" w:right="360" w:hanging="4"/>
        <w:spacing w:after="0" w:line="243" w:lineRule="auto"/>
        <w:tabs>
          <w:tab w:leader="none" w:pos="96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the Company will use its reasonable efforts to file with the Commission, as promptly as allowed by the Commission, one or more Registration Statements on Form S-3 or, if the Company is ineligible to register for resale the Registrable Securities on</w:t>
      </w:r>
    </w:p>
    <w:p>
      <w:pPr>
        <w:spacing w:after="0" w:line="3" w:lineRule="exact"/>
        <w:rPr>
          <w:rFonts w:ascii="Times New Roman" w:cs="Times New Roman" w:eastAsia="Times New Roman" w:hAnsi="Times New Roman"/>
          <w:sz w:val="22"/>
          <w:szCs w:val="22"/>
          <w:color w:val="auto"/>
        </w:rPr>
      </w:pPr>
    </w:p>
    <w:p>
      <w:pPr>
        <w:jc w:val="both"/>
        <w:ind w:left="620" w:right="44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S-3, such other form available to register for resale those Registrable Securities that were not registered for resale on the Subsequent Registration Statement, as amended, or the New Subsequent Registration Statement.</w:t>
      </w:r>
    </w:p>
    <w:p>
      <w:pPr>
        <w:spacing w:after="0" w:line="206" w:lineRule="exact"/>
        <w:rPr>
          <w:sz w:val="20"/>
          <w:szCs w:val="20"/>
          <w:color w:val="auto"/>
        </w:rPr>
      </w:pPr>
    </w:p>
    <w:p>
      <w:pPr>
        <w:ind w:left="-40" w:right="100" w:firstLine="656"/>
        <w:spacing w:after="0" w:line="259" w:lineRule="auto"/>
        <w:tabs>
          <w:tab w:leader="none" w:pos="146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Suspension Period</w:t>
      </w:r>
      <w:r>
        <w:rPr>
          <w:rFonts w:ascii="Times New Roman" w:cs="Times New Roman" w:eastAsia="Times New Roman" w:hAnsi="Times New Roman"/>
          <w:sz w:val="21"/>
          <w:szCs w:val="21"/>
          <w:color w:val="auto"/>
        </w:rPr>
        <w:t>. Notwithstanding any other provision of this Section 2, Holder acknowledges that there may be times when the Company must suspend the use of the Prospectus forming a part of a Registration Statement until such time as an amendment to such Prospectus or Registration Statement has been filed by the Company and, if applicable, declared effective by the Commission, or until such time as the Company has filed an appropriate report with the Commission pursuant to the Exchange Act. Holder hereby covenants that it will not sell any Registrable Securities pursuant to said Prospectus during the period commencing at the time at which the Company gives Holder notice (which notice shall not, without Holder’s prior written consent, disclose to Holder any material nonpublic information regarding the Company) of the suspension of the use of said Prospectus and ending at the time the Company gives Holder notice that Holder may thereafter effect sales pursuant to said Prospectus (such period, a “</w:t>
      </w:r>
      <w:r>
        <w:rPr>
          <w:rFonts w:ascii="Times New Roman" w:cs="Times New Roman" w:eastAsia="Times New Roman" w:hAnsi="Times New Roman"/>
          <w:sz w:val="21"/>
          <w:szCs w:val="21"/>
          <w:u w:val="single" w:color="auto"/>
          <w:color w:val="auto"/>
        </w:rPr>
        <w:t>Suspension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(a) that such Suspension Period shall in no event exceed (i) a period of more than thirty (30) consecutive days or (ii) more than an aggregate total of sixty (60) days, in each case in any 360-day period, (b) the Company has reasonably determined that, in order for such Registration Statement or accompanying Prospectus not to contain a material misstatement or omission, an amendment or supplement thereto is needed, and (c) the Company will use commercially reasonable efforts to end the Suspension Period as promptly as practicable and, upon the termination of the condition set forth in clause (b), will provide prompt notice to Holder and take such other reasonable actions to permit sales of Registrable Securities pursuant to said Registration Statement.</w:t>
      </w:r>
    </w:p>
    <w:p>
      <w:pPr>
        <w:spacing w:after="0" w:line="200" w:lineRule="exact"/>
        <w:rPr>
          <w:rFonts w:ascii="Times New Roman" w:cs="Times New Roman" w:eastAsia="Times New Roman" w:hAnsi="Times New Roman"/>
          <w:sz w:val="21"/>
          <w:szCs w:val="21"/>
          <w:color w:val="auto"/>
        </w:rPr>
      </w:pPr>
    </w:p>
    <w:p>
      <w:pPr>
        <w:ind w:left="-40" w:right="420" w:firstLine="656"/>
        <w:spacing w:after="0" w:line="257" w:lineRule="auto"/>
        <w:tabs>
          <w:tab w:leader="none" w:pos="146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Information.</w:t>
      </w:r>
      <w:r>
        <w:rPr>
          <w:rFonts w:ascii="Times New Roman" w:cs="Times New Roman" w:eastAsia="Times New Roman" w:hAnsi="Times New Roman"/>
          <w:sz w:val="22"/>
          <w:szCs w:val="22"/>
          <w:color w:val="auto"/>
        </w:rPr>
        <w:t xml:space="preserve"> Holder agrees to complete and execute all questionnaires and other documents reasonably required by the Company in order to prepare and file any Registration Statement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shall be used only in connection with such registration).</w:t>
      </w:r>
    </w:p>
    <w:p>
      <w:pPr>
        <w:sectPr>
          <w:pgSz w:w="11900" w:h="16838" w:orient="portrait"/>
          <w:cols w:equalWidth="0" w:num="1">
            <w:col w:w="9680"/>
          </w:cols>
          <w:pgMar w:left="1440" w:top="1422" w:right="779" w:bottom="1440" w:gutter="0" w:footer="0" w:header="0"/>
        </w:sectPr>
      </w:pPr>
    </w:p>
    <w:bookmarkStart w:id="95" w:name="page96"/>
    <w:bookmarkEnd w:id="95"/>
    <w:p>
      <w:pPr>
        <w:spacing w:after="0" w:line="117" w:lineRule="exact"/>
        <w:rPr>
          <w:sz w:val="20"/>
          <w:szCs w:val="20"/>
          <w:color w:val="auto"/>
        </w:rPr>
      </w:pPr>
    </w:p>
    <w:p>
      <w:pPr>
        <w:ind w:left="-40" w:right="20" w:firstLine="656"/>
        <w:spacing w:after="0" w:line="295" w:lineRule="auto"/>
        <w:tabs>
          <w:tab w:leader="none" w:pos="1467"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Cessation of Registration Rights.</w:t>
      </w:r>
      <w:r>
        <w:rPr>
          <w:rFonts w:ascii="Times New Roman" w:cs="Times New Roman" w:eastAsia="Times New Roman" w:hAnsi="Times New Roman"/>
          <w:sz w:val="21"/>
          <w:szCs w:val="21"/>
          <w:color w:val="auto"/>
        </w:rPr>
        <w:t xml:space="preserve"> All registration rights granted under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shall continue to be applicable with respect to the Holder until the Holder no longer holds any Registrable Securities.</w:t>
      </w:r>
    </w:p>
    <w:p>
      <w:pPr>
        <w:spacing w:after="0" w:line="172" w:lineRule="exact"/>
        <w:rPr>
          <w:sz w:val="20"/>
          <w:szCs w:val="20"/>
          <w:color w:val="auto"/>
        </w:rPr>
      </w:pPr>
    </w:p>
    <w:p>
      <w:pPr>
        <w:ind w:left="-40" w:right="700" w:firstLine="656"/>
        <w:spacing w:after="0" w:line="258" w:lineRule="auto"/>
        <w:tabs>
          <w:tab w:leader="none" w:pos="824"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Registration Procedures</w:t>
      </w:r>
      <w:r>
        <w:rPr>
          <w:rFonts w:ascii="Times New Roman" w:cs="Times New Roman" w:eastAsia="Times New Roman" w:hAnsi="Times New Roman"/>
          <w:sz w:val="22"/>
          <w:szCs w:val="22"/>
          <w:color w:val="auto"/>
        </w:rPr>
        <w:t>. The procedures to be followed by the Company and the Holder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 the sale of Registrable Securities pursuant to a Registration Statement in accordance with this Agreement, and the respective rights and obligations of the Company and the Holder with respect to the preparation, filing and effectiveness of such Registration Statement, are as follows:</w:t>
      </w:r>
    </w:p>
    <w:p>
      <w:pPr>
        <w:spacing w:after="0" w:line="23" w:lineRule="exact"/>
        <w:rPr>
          <w:sz w:val="20"/>
          <w:szCs w:val="20"/>
          <w:color w:val="auto"/>
        </w:rPr>
      </w:pPr>
    </w:p>
    <w:p>
      <w:pPr>
        <w:ind w:left="-40" w:firstLine="656"/>
        <w:spacing w:after="0" w:line="246" w:lineRule="auto"/>
        <w:tabs>
          <w:tab w:leader="none" w:pos="146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(i) prepare and file a Registration Statement with the Commission (within the time period specified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which Registration Statement (A) shall be on a form required by this Agreement (or if not so required, selected by the Company) for which the Company qualifies, (B) shall be available for the sale of the Registrable Securities in accordance with the intended method or methods of distribution, and (C) shall comply as to form in all material respects with the requirements of the applicable form and include or incorporate by reference all financial statements required by the Commission to be filed therewith, (ii) use its reasonable best efforts to cause such Registration Statement to become effective and remain effective for the period provided under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and (iii) cause each Registration Statement and the related Prospectus and any amendment or supplement, (x) to comply in all material respects with any requirements of the Securities Act and the rules and regulations of the Commission and (y) not to contain any untrue statement of material fact or omit to state a material fact required to be stated therein or necessary to make the statements therein not misleading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the Company shall have no liability for any information furnished in writing by or on behalf of the Holder to the Company for inclusion in any such Registration Statement that has not been corrected in a subsequent writing to the Company prior to the filing or other disclosure of such information). The Company will, (1) at least three (3) Business Days prior to the anticipated filing of a Registration Statement or any related Prospectus or any amendment or supplement thereto containing information regarding the Holder, furnish to the Holder and its counsel copies of all such documents proposed to be filed and make such representatives of the Company as shall be reasonably requested by the Holder available for discussion of such documents, (2) use its reasonable best efforts to address in each such document prior to being so filed with the Commission such comments as the Holder or its counsel reasonably shall propose within two (2) Business Days of receipt of such copies by the Holder and (3) not file any Registration Statement or any related Prospectus or any amendment or supplement thereto containing information regarding the Holder to which the Holder objects, unless such information is required to comply with any applicable law, rule or regulation.</w:t>
      </w:r>
    </w:p>
    <w:p>
      <w:pPr>
        <w:spacing w:after="0" w:line="202" w:lineRule="exact"/>
        <w:rPr>
          <w:rFonts w:ascii="Times New Roman" w:cs="Times New Roman" w:eastAsia="Times New Roman" w:hAnsi="Times New Roman"/>
          <w:sz w:val="22"/>
          <w:szCs w:val="22"/>
          <w:color w:val="auto"/>
        </w:rPr>
      </w:pPr>
    </w:p>
    <w:p>
      <w:pPr>
        <w:ind w:left="-40" w:right="200" w:firstLine="656"/>
        <w:spacing w:after="0" w:line="264" w:lineRule="auto"/>
        <w:tabs>
          <w:tab w:leader="none" w:pos="146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will as promptly as reasonably practicable (i) prepare and file with the Commission such amendments, including post-effective amendments, and supplements to each Registration Statement and the Prospectus used in connection therewith as (A) may be reasonably requested by the Holder of Registrable Securities covered by such Registration Statement necessary to permit the Holder to sell in accordance with its intended method of distribution, including as may be required in connection with any underwritten distribution of Registrable Securities or (B) may be necessary under applicable law to keep such Registration Statement continuously effective with respect to the disposition of all Registrable Securities covered thereby for the period provided under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in accordance with the intended</w:t>
      </w:r>
    </w:p>
    <w:p>
      <w:pPr>
        <w:sectPr>
          <w:pgSz w:w="11900" w:h="16838" w:orient="portrait"/>
          <w:cols w:equalWidth="0" w:num="1">
            <w:col w:w="9640"/>
          </w:cols>
          <w:pgMar w:left="1440" w:top="1440" w:right="819" w:bottom="1440" w:gutter="0" w:footer="0" w:header="0"/>
        </w:sectPr>
      </w:pPr>
    </w:p>
    <w:bookmarkStart w:id="96" w:name="page97"/>
    <w:bookmarkEnd w:id="96"/>
    <w:p>
      <w:pPr>
        <w:spacing w:after="0" w:line="11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1"/>
          <w:szCs w:val="21"/>
          <w:color w:val="auto"/>
        </w:rPr>
        <w:t>method of distribution and, subject to the limitations contained in this Agreement, prepare and file with the Commission such additional Registration Statements in order to register for resale under the Securities Act all of the Registrable Securities held by the Holder, (ii) cause the related Prospectus to be amended or supplemented by any required prospectus supplement, and as so supplemented or amended, to be filed pursuant to Rule 424, (iii) respond to any comments received from the Commission with respect to each Registration Statement or Prospectus or any amendment thereto, and (iv) provide the Holder true and complete copies of all correspondence from and to the Commission relating to such Registration Statement or Prospectus other than any comments that the Company determines in good faith would result in the disclosure to the Holder of material non-public information concerning the Company that is not already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possession of the Holder.</w:t>
      </w:r>
    </w:p>
    <w:p>
      <w:pPr>
        <w:spacing w:after="0" w:line="220" w:lineRule="exact"/>
        <w:rPr>
          <w:sz w:val="20"/>
          <w:szCs w:val="20"/>
          <w:color w:val="auto"/>
        </w:rPr>
      </w:pPr>
    </w:p>
    <w:p>
      <w:pPr>
        <w:ind w:firstLine="656"/>
        <w:spacing w:after="0" w:line="259" w:lineRule="auto"/>
        <w:tabs>
          <w:tab w:leader="none" w:pos="150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notify the Holder as promptly as practicable: (i)(A) when a Registration Statement, any pre-effective amendment, any Prospectus or any prospectus supplement or post-effective amendment to a Registration Statement is proposed to be filed; (B) when the Commission notifies the Company whether there will be a “review” of such Registration Statement and whenever the Commission comments on such Registration Statement (in which case the Company shall provide true and complete copies thereof and all written responses thereto to the Holder and its counsel, other than information which the Company determines in good faith would constitute material non-public information that is not already in the possession of the Holder); and (C) with respect to each Registration Statement or any post- effective amendment thereto, when the same has been declared effective; (ii) of any request by the Commission or any other federal or state governmental or regulatory authority for amendments or supplements to a Registration Statement or Prospectus or for additional information (whether before or after the effective date of the Registration Statement) or any other correspondence with the Commission or any such authority relating to, or which may affect, the Registration Statement other than any comments that the Company determines in good faith would result in the disclosure to the Holder of material non-public information concerning the Company that is not already in the possession of the Holder; (iii) of the issuance by the Commission or any other governmental or regulatory authority of any stop order, injunction or other order or requirement suspending the effectiveness of a Registration Statement covering any or all of the Registrable Securities or preventing or suspending the use of any Prospectus or the initiation or threatening of any Proceedings for such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or (v) of the occurrence of any event that, to the Company’s knowledge, makes any statement made in such Registration Statement or Prospectus or any document incorporated or deemed to be incorporated therein by reference untrue in any material respect or if, as a result of such event or the passage of time, such Registration Statement, Prospectus or other documents requires revisions so that, in the case of such Registration Statement or the Prospectus, as the case may be, it will not contain any untrue statement of a material fact or omit to state any material fact required to be stated therein or necessary to make the statements therein (in the case of the Prospectus, in light of the circumstances under which they were made) not misleading, or if, for any other reason, it shall be necessary during such time period to amend or supplement such Registration Statement or Prospectus in order to comply with the Securities Act.</w:t>
      </w:r>
    </w:p>
    <w:p>
      <w:pPr>
        <w:sectPr>
          <w:pgSz w:w="11900" w:h="16838" w:orient="portrait"/>
          <w:cols w:equalWidth="0" w:num="1">
            <w:col w:w="9700"/>
          </w:cols>
          <w:pgMar w:left="1400" w:top="1440" w:right="799" w:bottom="1440" w:gutter="0" w:footer="0" w:header="0"/>
        </w:sectPr>
      </w:pPr>
    </w:p>
    <w:bookmarkStart w:id="97" w:name="page98"/>
    <w:bookmarkEnd w:id="97"/>
    <w:p>
      <w:pPr>
        <w:spacing w:after="0" w:line="117" w:lineRule="exact"/>
        <w:rPr>
          <w:sz w:val="20"/>
          <w:szCs w:val="20"/>
          <w:color w:val="auto"/>
        </w:rPr>
      </w:pPr>
    </w:p>
    <w:p>
      <w:pPr>
        <w:ind w:right="120" w:firstLine="656"/>
        <w:spacing w:after="0" w:line="251" w:lineRule="auto"/>
        <w:tabs>
          <w:tab w:leader="none" w:pos="150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use its reasonable best efforts to avoid the issuance of, or, if issued, obtain the withdrawal of (i) any stop order or other order suspending the effectiveness of a Registration Statement, or preventing or suspending the use of any Prospectus, or (ii) any suspension of the qualification (or exemption from qualification) of any of the Registrable Securities for sale in any jurisdiction, as promptly as practicable, or if any such order or suspension is made effective during any Suspension Period, as promptly as practicable after the Suspension Period is over.</w:t>
      </w:r>
    </w:p>
    <w:p>
      <w:pPr>
        <w:spacing w:after="0" w:line="181" w:lineRule="exact"/>
        <w:rPr>
          <w:rFonts w:ascii="Times New Roman" w:cs="Times New Roman" w:eastAsia="Times New Roman" w:hAnsi="Times New Roman"/>
          <w:sz w:val="22"/>
          <w:szCs w:val="22"/>
          <w:color w:val="auto"/>
        </w:rPr>
      </w:pPr>
    </w:p>
    <w:p>
      <w:pPr>
        <w:ind w:right="320" w:firstLine="656"/>
        <w:spacing w:after="0" w:line="281" w:lineRule="auto"/>
        <w:tabs>
          <w:tab w:leader="none" w:pos="150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Shelf Period or Subsequent Shelf Period, upon reasonable request of the Holder and without charge, the Company shall furnish to the Holder and its counsel, (i)</w:t>
      </w:r>
    </w:p>
    <w:p>
      <w:pPr>
        <w:spacing w:after="0" w:line="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color w:val="auto"/>
        </w:rPr>
        <w:t>promptly after the same is prepared and filed with the Commission, at least one copy of the Registration Statement and any amendment thereto, including all documents incorporated therein by reference and all exhibits to the extent requested by the Holder or its counsel, (ii) upon the effectiveness of any amendment to a Registration Statement, a copy of the prospectus included in such Registration Statement and all amendments and supplements thereto (or such other number of copies as the Holder may reasonably request) and (iii) such other filed documents, including copies of any preliminary or final prospectus, as the Holder may reasonably request from time to time in order to facilitate the disposition of the Registrable Securities owned by the Holder.</w:t>
      </w:r>
    </w:p>
    <w:p>
      <w:pPr>
        <w:spacing w:after="0" w:line="17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21"/>
          <w:szCs w:val="21"/>
          <w:color w:val="auto"/>
        </w:rPr>
        <w:t xml:space="preserve">(f)The Company will promptly upon request deliver to the Holder and its counsel as many copies of each Prospectus (including each form of prospectus) and each amendment or supplement thereto as the Holder or its counsel may reasonably request in order to facilitate the disposition of the Registrable Securities by the Holder. Subject to </w:t>
      </w:r>
      <w:r>
        <w:rPr>
          <w:rFonts w:ascii="Times New Roman" w:cs="Times New Roman" w:eastAsia="Times New Roman" w:hAnsi="Times New Roman"/>
          <w:sz w:val="21"/>
          <w:szCs w:val="21"/>
          <w:u w:val="single" w:color="auto"/>
          <w:color w:val="auto"/>
        </w:rPr>
        <w:t>Section 2(b)</w:t>
      </w:r>
      <w:r>
        <w:rPr>
          <w:rFonts w:ascii="Times New Roman" w:cs="Times New Roman" w:eastAsia="Times New Roman" w:hAnsi="Times New Roman"/>
          <w:sz w:val="21"/>
          <w:szCs w:val="21"/>
          <w:color w:val="auto"/>
        </w:rPr>
        <w:t>, the Company hereby consents to the use of such Prospectus and each amendment or supplement thereto by the Holder in connection with the offering and sale of the Registrable Securities covered by such Prospectus and any amendment or supplement thereto, so long as the same are used in compliance with the Securities Act and all other applicable laws and regulations.</w:t>
      </w:r>
    </w:p>
    <w:p>
      <w:pPr>
        <w:spacing w:after="0" w:line="165" w:lineRule="exact"/>
        <w:rPr>
          <w:sz w:val="20"/>
          <w:szCs w:val="20"/>
          <w:color w:val="auto"/>
        </w:rPr>
      </w:pPr>
    </w:p>
    <w:p>
      <w:pPr>
        <w:ind w:right="40" w:firstLine="656"/>
        <w:spacing w:after="0" w:line="261" w:lineRule="auto"/>
        <w:tabs>
          <w:tab w:leader="none" w:pos="1507"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will cooperate with the Holder to facilitate the timely preparation and delivery of certificates or book-entry entitlements representing Registrable Securities to be delivered to a transferee pursuant to a Registration Statement, which certificates or book-entry entitlements shall be free of all restrictive legends, and to enable such Registrable Securities to be in such denominations and registered in such names as the Holder may reasonably request in writing and subject to compliance with applicable securities laws. In connection therewith, if required by the Company’s transfer agent, the Company will promptly, after the effective date of the Registration Statement, cause an opinion of counsel as to the effectiveness of the Registration Statement to be delivered to and maintained with such transfer agent, together with any other authorizations, certificates and directions required by the transfer agent which authorize and direct the transfer agent to issue such Registrable Securities without any such legend upon sale by the Holder of such Registrable Securities pursuant to the Registration Statement, subject to the provisions of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ind w:firstLine="656"/>
        <w:spacing w:after="0" w:line="252" w:lineRule="auto"/>
        <w:tabs>
          <w:tab w:leader="none" w:pos="150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of any event contemplated by </w:t>
      </w:r>
      <w:r>
        <w:rPr>
          <w:rFonts w:ascii="Times New Roman" w:cs="Times New Roman" w:eastAsia="Times New Roman" w:hAnsi="Times New Roman"/>
          <w:sz w:val="22"/>
          <w:szCs w:val="22"/>
          <w:u w:val="single" w:color="auto"/>
          <w:color w:val="auto"/>
        </w:rPr>
        <w:t>Section 3(c)(v)</w:t>
      </w:r>
      <w:r>
        <w:rPr>
          <w:rFonts w:ascii="Times New Roman" w:cs="Times New Roman" w:eastAsia="Times New Roman" w:hAnsi="Times New Roman"/>
          <w:sz w:val="22"/>
          <w:szCs w:val="22"/>
          <w:color w:val="auto"/>
        </w:rPr>
        <w:t>, as promptly as practicable, the Company will prepare a supplement or amendment, including a post-effective amendment, if required by applicable law, to the affected Registration Statement or a supplement to the related Prospectus or any document incorporated or deemed to be</w:t>
      </w:r>
    </w:p>
    <w:p>
      <w:pPr>
        <w:sectPr>
          <w:pgSz w:w="11900" w:h="16838" w:orient="portrait"/>
          <w:cols w:equalWidth="0" w:num="1">
            <w:col w:w="9700"/>
          </w:cols>
          <w:pgMar w:left="1400" w:top="1440" w:right="799" w:bottom="1440" w:gutter="0" w:footer="0" w:header="0"/>
        </w:sectPr>
      </w:pPr>
    </w:p>
    <w:bookmarkStart w:id="98" w:name="page99"/>
    <w:bookmarkEnd w:id="98"/>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incorporated therein by reference, and file any other required document so that, as thereafter delivered, no Registration Statement nor any Prospectus will contain an untrue statement of a material fact or omit to state a material fact required to be stated therein or necessary to make the statements therein (in the case of a Prospectus, in light of the circumstances under which they were made) not misleading, such that the Holder can resume disposition of such Registrable Securities covered by such Registration Statement or Prospectus.</w:t>
      </w:r>
    </w:p>
    <w:p>
      <w:pPr>
        <w:spacing w:after="0" w:line="179" w:lineRule="exact"/>
        <w:rPr>
          <w:sz w:val="20"/>
          <w:szCs w:val="20"/>
          <w:color w:val="auto"/>
        </w:rPr>
      </w:pPr>
    </w:p>
    <w:p>
      <w:pPr>
        <w:ind w:right="880" w:firstLine="648"/>
        <w:spacing w:after="0" w:line="271" w:lineRule="auto"/>
        <w:rPr>
          <w:sz w:val="20"/>
          <w:szCs w:val="20"/>
          <w:color w:val="auto"/>
        </w:rPr>
      </w:pPr>
      <w:r>
        <w:rPr>
          <w:rFonts w:ascii="Times New Roman" w:cs="Times New Roman" w:eastAsia="Times New Roman" w:hAnsi="Times New Roman"/>
          <w:sz w:val="22"/>
          <w:szCs w:val="22"/>
          <w:color w:val="auto"/>
        </w:rPr>
        <w:t>(i)The Company will use its reasonable best efforts to cause all Registrable Securities covered by a Registration Statement to be listed on the Trading Market.</w:t>
      </w:r>
    </w:p>
    <w:p>
      <w:pPr>
        <w:spacing w:after="0" w:line="171"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agrees by its acquisition of Registrable Securities that, upon receipt of</w:t>
      </w:r>
    </w:p>
    <w:p>
      <w:pPr>
        <w:spacing w:after="0" w:line="7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 xml:space="preserve">a notice from the Company of the occurrence of any event of the kind described in clauses (ii) through (v) of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or the occurrence of a Suspension Period, the Holder will promptly discontinue disposition of such Registrable Securities under the applicable Registration Statement until the Holder receives copies of the supplemental Prospectus or amended Registration Statement or is advised in writing by the Company that the use of the applicable Prospectus may be resumed, and, in either case, has received copies of any additional or supplemental filings that are incorporated or deemed to be incorporated by reference in such Prospectus or Registration Statement. If the Company gives any such notice, the period during which the applicable Registration Statement is required to be maintained effective shall be extended by the number of days during the period from and including the date of the giving of such notice to and including the date when the Holder either receives the copies of the supplemented Prospectus or amended Registration Statement or is advised in writing by the Company that the use of the Prospectus may be resumed.</w:t>
      </w:r>
    </w:p>
    <w:p>
      <w:pPr>
        <w:spacing w:after="0" w:line="189" w:lineRule="exact"/>
        <w:rPr>
          <w:sz w:val="20"/>
          <w:szCs w:val="20"/>
          <w:color w:val="auto"/>
        </w:rPr>
      </w:pPr>
    </w:p>
    <w:p>
      <w:pPr>
        <w:ind w:right="200" w:firstLine="656"/>
        <w:spacing w:after="0" w:line="263" w:lineRule="auto"/>
        <w:tabs>
          <w:tab w:leader="none" w:pos="150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least ten (10) days prior to the filing date deadline specified in Section 2(a) for a Registration Statement, the Holder shall deliver to the Company an executed stockholder questionnaire in the form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right="80" w:firstLine="656"/>
        <w:spacing w:after="0" w:line="259" w:lineRule="auto"/>
        <w:tabs>
          <w:tab w:leader="none" w:pos="864"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Registration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bear all Registration Expenses. The obligation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to bear and pay the Registration Expenses shall apply irrespective of whether a registration becomes effective or is withdrawn or suspended.</w:t>
      </w:r>
    </w:p>
    <w:p>
      <w:pPr>
        <w:spacing w:after="0" w:line="16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ind w:firstLine="656"/>
        <w:spacing w:after="0" w:line="248" w:lineRule="auto"/>
        <w:tabs>
          <w:tab w:leader="none" w:pos="150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law, the Company shall indemnify and hold harmless the Holder, its partners, stockholders, equity holders, general partners, managers, members and Affiliates and each of their respective officers and directors and any Person who controls the Holder (within the meaning of the Securities Act or the Exchange Act) and any employee or agent thereof (each, a “</w:t>
      </w:r>
      <w:r>
        <w:rPr>
          <w:rFonts w:ascii="Times New Roman" w:cs="Times New Roman" w:eastAsia="Times New Roman" w:hAnsi="Times New Roman"/>
          <w:sz w:val="22"/>
          <w:szCs w:val="22"/>
          <w:u w:val="single" w:color="auto"/>
          <w:color w:val="auto"/>
        </w:rPr>
        <w:t>Company 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u w:val="single" w:color="auto"/>
          <w:color w:val="auto"/>
        </w:rPr>
        <w:t>Company Indemnified Persons</w:t>
      </w:r>
      <w:r>
        <w:rPr>
          <w:rFonts w:ascii="Times New Roman" w:cs="Times New Roman" w:eastAsia="Times New Roman" w:hAnsi="Times New Roman"/>
          <w:sz w:val="22"/>
          <w:szCs w:val="22"/>
          <w:color w:val="auto"/>
        </w:rPr>
        <w:t>”), from and against any and all losses, claims, damages, liabilities, joint or several, costs (including reasonable attorneys’, accountants’ and experts’ fees) and expenses, judgments, fines, penalties, interest, settlements or other amounts arising from any claims, demands, actions, suits or proceedings, whether civil, criminal, administrative or investigative, in which any Company Indemnified Person may become subject under the Securities Act, the Exchange Act or any state blue sky securities laws (collectively,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arising out of, based upon, resulting from or relating to (i) any untrue or alleged untrue statement of a material fact</w:t>
      </w:r>
    </w:p>
    <w:p>
      <w:pPr>
        <w:sectPr>
          <w:pgSz w:w="11900" w:h="16838" w:orient="portrait"/>
          <w:cols w:equalWidth="0" w:num="1">
            <w:col w:w="9660"/>
          </w:cols>
          <w:pgMar w:left="1400" w:top="1440" w:right="839" w:bottom="1440" w:gutter="0" w:footer="0" w:header="0"/>
        </w:sectPr>
      </w:pPr>
    </w:p>
    <w:bookmarkStart w:id="99" w:name="page100"/>
    <w:bookmarkEnd w:id="99"/>
    <w:p>
      <w:pPr>
        <w:spacing w:after="0" w:line="249" w:lineRule="auto"/>
        <w:rPr>
          <w:sz w:val="20"/>
          <w:szCs w:val="20"/>
          <w:color w:val="auto"/>
        </w:rPr>
      </w:pPr>
      <w:r>
        <w:rPr>
          <w:rFonts w:ascii="Times New Roman" w:cs="Times New Roman" w:eastAsia="Times New Roman" w:hAnsi="Times New Roman"/>
          <w:sz w:val="22"/>
          <w:szCs w:val="22"/>
          <w:color w:val="auto"/>
        </w:rPr>
        <w:t>contained in any Registration Statement under which any Registrable Securities were registered, Prospectus (including in any preliminary prospectus, if used prior to the effective date of such Registration Statement), or in any summary or final prospectus or in any amendment or supplement thereto or in any documents incorporated or deemed incorporated by reference in any of the foregoing or (ii) any omission or alleged omission to state therein a material fact required to be stated therein or necessary to make the statements made therein (in the case of the Prospectus, in light of the circumstances under which they were made) not misleading, or (iii) any violation or alleged violation by the Company or any of its Subsidiaries of the Securities Act, the Exchange Act or any state securities law or any rule or regulation promulgated under the Securities Act, the Exchange Act or any federal, state, foreign or common law rule or regulation in connection with such Registration Statement, disclosure document or related document or</w:t>
      </w:r>
    </w:p>
    <w:p>
      <w:pPr>
        <w:spacing w:after="0" w:line="3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report or any offering covered by such Registration Statement, and the Company shall reimburse such Company Indemnified Person for any reasonable legal or other expenses reasonably incurred by it in connection with investigating or defending any such Loss (the matters in the foregoing clauses (i) through (iii) being, collectively, “</w:t>
      </w:r>
      <w:r>
        <w:rPr>
          <w:rFonts w:ascii="Times New Roman" w:cs="Times New Roman" w:eastAsia="Times New Roman" w:hAnsi="Times New Roman"/>
          <w:sz w:val="22"/>
          <w:szCs w:val="22"/>
          <w:u w:val="single" w:color="auto"/>
          <w:color w:val="auto"/>
        </w:rPr>
        <w:t>Company Violations</w:t>
      </w:r>
      <w:r>
        <w:rPr>
          <w:rFonts w:ascii="Times New Roman" w:cs="Times New Roman" w:eastAsia="Times New Roman" w:hAnsi="Times New Roman"/>
          <w:sz w:val="22"/>
          <w:szCs w:val="22"/>
          <w:color w:val="auto"/>
        </w:rPr>
        <w:t xml:space="preserve">”). Notwithstanding anything to the contrary contained herein, the indemnification agreement contained in this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(A) shall not apply to a Loss by a Company Indemnified Person arising out of or based upon a Company Violation which occurs in reliance upon and in conformity with information furnished in writing to the Company by the Holder or such Company Indemnified Person for use in connection with the preparation of such Registration Statement, such preliminary, summary or final prospectus or such amendment or supplement, or other disclosure document; (B) with respect to any superseded prospectus, shall not inure to the benefit of any such Company Indemnified Person from whom the Person asserting any such Loss purchased the Registrable Securities that are the subject thereof (or to the benefit of any other Company Indemnified Person) if the untrue statement or omission of material fact contained in the superseded prospectus was corrected in the revised prospectus, as then amended or supplemented, if such revised prospectus was timely made available by the Company pursuant to </w:t>
      </w:r>
      <w:r>
        <w:rPr>
          <w:rFonts w:ascii="Times New Roman" w:cs="Times New Roman" w:eastAsia="Times New Roman" w:hAnsi="Times New Roman"/>
          <w:sz w:val="22"/>
          <w:szCs w:val="22"/>
          <w:u w:val="single" w:color="auto"/>
          <w:color w:val="auto"/>
        </w:rPr>
        <w:t>Section 3(f)</w:t>
      </w:r>
      <w:r>
        <w:rPr>
          <w:rFonts w:ascii="Times New Roman" w:cs="Times New Roman" w:eastAsia="Times New Roman" w:hAnsi="Times New Roman"/>
          <w:sz w:val="22"/>
          <w:szCs w:val="22"/>
          <w:color w:val="auto"/>
        </w:rPr>
        <w:t xml:space="preserve">, and the Company Indemnified Person was promptly advised in writing not to use the incorrect prospectus prior to the use giving rise to a violation; (C) shall not be available to the extent such Loss is based on a failure of the Holder to deliver, or to cause to be delivered, the prospectus to the extent the Company complied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3(f)</w:t>
      </w:r>
      <w:r>
        <w:rPr>
          <w:rFonts w:ascii="Times New Roman" w:cs="Times New Roman" w:eastAsia="Times New Roman" w:hAnsi="Times New Roman"/>
          <w:sz w:val="22"/>
          <w:szCs w:val="22"/>
          <w:color w:val="auto"/>
        </w:rPr>
        <w:t>; and (D) shall not apply to amounts paid in settlement of any Loss if such settlement is effected without the prior written consent of the Company, which consent shall not be unreasonably withheld, conditioned or delayed.</w:t>
      </w:r>
    </w:p>
    <w:p>
      <w:pPr>
        <w:spacing w:after="0" w:line="193" w:lineRule="exact"/>
        <w:rPr>
          <w:sz w:val="20"/>
          <w:szCs w:val="20"/>
          <w:color w:val="auto"/>
        </w:rPr>
      </w:pPr>
    </w:p>
    <w:p>
      <w:pPr>
        <w:jc w:val="both"/>
        <w:ind w:right="40" w:firstLine="656"/>
        <w:spacing w:after="0" w:line="264" w:lineRule="auto"/>
        <w:tabs>
          <w:tab w:leader="none" w:pos="150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any Registration Statement filed by the Company pursuant to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hereof in which the Holder has registered for sale its Registrable Securities, the Holder agrees to indemnify and hold harmless, to the fullest extent permitted by law, the Company, its directors and officers, employees, agents and each Person who controls the Company (within the meaning of the Securities Act or the Exchange Act)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(collectively, “</w:t>
      </w:r>
      <w:r>
        <w:rPr>
          <w:rFonts w:ascii="Times New Roman" w:cs="Times New Roman" w:eastAsia="Times New Roman" w:hAnsi="Times New Roman"/>
          <w:sz w:val="22"/>
          <w:szCs w:val="22"/>
          <w:u w:val="single" w:color="auto"/>
          <w:color w:val="auto"/>
        </w:rPr>
        <w:t>Holder Indemnified Persons</w:t>
      </w:r>
      <w:r>
        <w:rPr>
          <w:rFonts w:ascii="Times New Roman" w:cs="Times New Roman" w:eastAsia="Times New Roman" w:hAnsi="Times New Roman"/>
          <w:sz w:val="22"/>
          <w:szCs w:val="22"/>
          <w:color w:val="auto"/>
        </w:rPr>
        <w:t>,” and together with the Company Indemnified Persons, each an</w:t>
      </w:r>
    </w:p>
    <w:p>
      <w:pPr>
        <w:spacing w:after="0" w:line="3" w:lineRule="exact"/>
        <w:rPr>
          <w:rFonts w:ascii="Times New Roman" w:cs="Times New Roman" w:eastAsia="Times New Roman" w:hAnsi="Times New Roman"/>
          <w:sz w:val="21"/>
          <w:szCs w:val="21"/>
          <w:color w:val="auto"/>
        </w:rPr>
      </w:pPr>
    </w:p>
    <w:p>
      <w:pPr>
        <w:ind w:right="8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Indemnified Persons</w:t>
      </w:r>
      <w:r>
        <w:rPr>
          <w:rFonts w:ascii="Times New Roman" w:cs="Times New Roman" w:eastAsia="Times New Roman" w:hAnsi="Times New Roman"/>
          <w:sz w:val="22"/>
          <w:szCs w:val="22"/>
          <w:color w:val="auto"/>
        </w:rPr>
        <w:t>”) from and against any Losses arising out of, based upon, resulting from or relating to (i) any untrue or alleged untrue statement of a material fact contained in any Registration Statement under which such Registrable Securities were registered or sold under the Securities Act, Prospectus (including in any preliminary prospectus (if used prior to the effective date of such Registration Statement)), or in</w:t>
      </w:r>
    </w:p>
    <w:p>
      <w:pPr>
        <w:sectPr>
          <w:pgSz w:w="11900" w:h="16838" w:orient="portrait"/>
          <w:cols w:equalWidth="0" w:num="1">
            <w:col w:w="9680"/>
          </w:cols>
          <w:pgMar w:left="1400" w:top="1341" w:right="819" w:bottom="1440" w:gutter="0" w:footer="0" w:header="0"/>
        </w:sectPr>
      </w:pPr>
    </w:p>
    <w:bookmarkStart w:id="100" w:name="page101"/>
    <w:bookmarkEnd w:id="100"/>
    <w:p>
      <w:pPr>
        <w:spacing w:after="0" w:line="117" w:lineRule="exact"/>
        <w:rPr>
          <w:sz w:val="20"/>
          <w:szCs w:val="20"/>
          <w:color w:val="auto"/>
        </w:rPr>
      </w:pPr>
    </w:p>
    <w:p>
      <w:pPr>
        <w:ind w:right="500"/>
        <w:spacing w:after="0" w:line="249" w:lineRule="auto"/>
        <w:rPr>
          <w:sz w:val="20"/>
          <w:szCs w:val="20"/>
          <w:color w:val="auto"/>
        </w:rPr>
      </w:pPr>
      <w:r>
        <w:rPr>
          <w:rFonts w:ascii="Times New Roman" w:cs="Times New Roman" w:eastAsia="Times New Roman" w:hAnsi="Times New Roman"/>
          <w:sz w:val="22"/>
          <w:szCs w:val="22"/>
          <w:color w:val="auto"/>
        </w:rPr>
        <w:t>any summary or final prospectus or in any amendment or supplement thereto or in any documents incorporated by reference in any of the foregoing, (ii) any omission or alleged omission to state therein a material fact required to be stated therein or necessary to make the statements therein (in the case of the Prospectus, in light of the circumstances under which they were made) not misleading, or (iii) any violation or alleged violation by the Holder of the Securities Act, the Exchange Act or any state securities law or any rule or regulation promulgated under the Securities Act, the Exchange Act or any federal, state, foreign or common law rule or regulation in connection with any information provided by the Holder in such Registration Statement, disclosure document or related document or report in the case of clauses</w:t>
      </w:r>
    </w:p>
    <w:p>
      <w:pPr>
        <w:spacing w:after="0" w:line="3" w:lineRule="exact"/>
        <w:rPr>
          <w:sz w:val="20"/>
          <w:szCs w:val="20"/>
          <w:color w:val="auto"/>
        </w:rPr>
      </w:pPr>
    </w:p>
    <w:p>
      <w:pPr>
        <w:jc w:val="both"/>
        <w:ind w:firstLine="8"/>
        <w:spacing w:after="0" w:line="245" w:lineRule="auto"/>
        <w:tabs>
          <w:tab w:leader="none" w:pos="25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to the extent, but only to the extent, that such untrue statement or omission occurs in reliance upon and in conformity with any information furnished in writing by or on behalf of the Holder for inclusion in such Registration Statement, disclosure document or related document or</w:t>
      </w:r>
    </w:p>
    <w:p>
      <w:pPr>
        <w:spacing w:after="0" w:line="52" w:lineRule="exact"/>
        <w:rPr>
          <w:sz w:val="20"/>
          <w:szCs w:val="20"/>
          <w:color w:val="auto"/>
        </w:rPr>
      </w:pPr>
    </w:p>
    <w:p>
      <w:pPr>
        <w:ind w:right="540"/>
        <w:spacing w:after="0" w:line="251" w:lineRule="auto"/>
        <w:rPr>
          <w:sz w:val="20"/>
          <w:szCs w:val="20"/>
          <w:color w:val="auto"/>
        </w:rPr>
      </w:pPr>
      <w:r>
        <w:rPr>
          <w:rFonts w:ascii="Times New Roman" w:cs="Times New Roman" w:eastAsia="Times New Roman" w:hAnsi="Times New Roman"/>
          <w:sz w:val="22"/>
          <w:szCs w:val="22"/>
          <w:color w:val="auto"/>
        </w:rPr>
        <w:t>report and has not been corrected in a subsequent writing prior to the sale of the Registrable Securities thereunder, and the Holder will reimburse the Company for any legal or other expenses reasonably incurred by it in connection with investigating or defending such Losses. In no event shall the liability of the Holder hereunder be greater in amount than the dollar amount of the net proceeds (after deducting any underwriters’ discounts and commissions) received by the Holder under the sale of Registrable Securities giving rise to such indemnification obligation.</w:t>
      </w:r>
    </w:p>
    <w:p>
      <w:pPr>
        <w:spacing w:after="0" w:line="181" w:lineRule="exact"/>
        <w:rPr>
          <w:sz w:val="20"/>
          <w:szCs w:val="20"/>
          <w:color w:val="auto"/>
        </w:rPr>
      </w:pPr>
    </w:p>
    <w:p>
      <w:pPr>
        <w:ind w:right="420" w:firstLine="656"/>
        <w:spacing w:after="0" w:line="258" w:lineRule="auto"/>
        <w:tabs>
          <w:tab w:leader="none" w:pos="1509"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Indemnified Person under paragraph (a) or (b) of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shall (i) give prompt written notice to the indemnifying person under paragraph (a) or (b) of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of any claim with respect to which it seeks indemnification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delay or failure to so notify the indemnifying person shall not relieve the indemnifying party of its obligations hereunder except to the extent, if at all, that the indemnifying person’s ability to defend such claim (through the forfeiture of substantive rights or defenses) is actually and materially prejudiced by reason of such delay or failure) and (ii) permit such indemnifying person to assume the defense of such claim with counsel reasonably satisfactory to the Indemnified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Indemnified Person shall have the right to select and employ separate counsel and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participate in the defense of such claim, but the fees and expenses of such counsel shall be at the expense of such Indemnified Person unless (A) the indemnifying person has agreed in writing to pay such fees or expenses,</w:t>
      </w:r>
    </w:p>
    <w:p>
      <w:pPr>
        <w:spacing w:after="0" w:line="8" w:lineRule="exact"/>
        <w:rPr>
          <w:rFonts w:ascii="Times New Roman" w:cs="Times New Roman" w:eastAsia="Times New Roman" w:hAnsi="Times New Roman"/>
          <w:sz w:val="21"/>
          <w:szCs w:val="21"/>
          <w:color w:val="auto"/>
        </w:rPr>
      </w:pPr>
    </w:p>
    <w:p>
      <w:pPr>
        <w:ind w:right="500" w:firstLine="8"/>
        <w:spacing w:after="0" w:line="246" w:lineRule="auto"/>
        <w:tabs>
          <w:tab w:leader="none" w:pos="34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Indemnified Person has reasonably concluded (based upon the advice of its counsel) that there may be legal defenses available to it or other Indemnified Persons that are different from or in addition to those available to the indemnifying person, or (C) in the reasonable judgment of any such Indemnified Person (based upon the advice of its counsel) a conflict of interest may exist between such Indemnified Person and the indemnifying person with respect to such claims (in which case, if the Indemnified Person notifies the indemnifying person in writing that such Indemnified Person elects to employ separate counsel at the expense of the indemnifying person, the indemnifying person shall not have the right to assume the defense of such claim on behalf of such Indemnified Person). No action may be settled without the written consent of the Indemnified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consent of the Indemnified Person shall not be required if (x) such settlement includes an unconditional release of such Indemnified Person in form and substance satisfactory to such Indemnified Person from all liability on the claims that are the subject matter of such settlement; (y) such settlement provides solely for the payment by the indemnifying person of money as the sole relief for such action and (z) such settlement does not</w:t>
      </w:r>
    </w:p>
    <w:p>
      <w:pPr>
        <w:sectPr>
          <w:pgSz w:w="11900" w:h="16838" w:orient="portrait"/>
          <w:cols w:equalWidth="0" w:num="1">
            <w:col w:w="10120"/>
          </w:cols>
          <w:pgMar w:left="1400" w:top="1440" w:right="379" w:bottom="1440" w:gutter="0" w:footer="0" w:header="0"/>
        </w:sectPr>
      </w:pPr>
    </w:p>
    <w:bookmarkStart w:id="101" w:name="page102"/>
    <w:bookmarkEnd w:id="101"/>
    <w:p>
      <w:pPr>
        <w:spacing w:after="0" w:line="11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 xml:space="preserve">include any statement as to or any admission of fault, culpability or a failure to act by or on behalf of any Indemnified Person. It is understood that the indemnifying person or persons shall not, except as specifically set forth in this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in connection with any proceeding or related proceedings in the same jurisdiction, be liable for the reasonable fees, disbursements or other charges of more than one separate firm (in addition to any local counsel that is required to effectively defend against any such proceeding) for all Indemnified Persons and that all such fees and expenses shall be paid or reimbursed promptly.</w:t>
      </w:r>
    </w:p>
    <w:p>
      <w:pPr>
        <w:spacing w:after="0" w:line="181" w:lineRule="exact"/>
        <w:rPr>
          <w:sz w:val="20"/>
          <w:szCs w:val="20"/>
          <w:color w:val="auto"/>
        </w:rPr>
      </w:pPr>
    </w:p>
    <w:p>
      <w:pPr>
        <w:ind w:right="180" w:firstLine="656"/>
        <w:spacing w:after="0" w:line="251" w:lineRule="auto"/>
        <w:tabs>
          <w:tab w:leader="none" w:pos="150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indemnification provided for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is held by a court of a competent jurisdiction to be unavailable to an Indemnified Person with respect to any loss, damage, claim or liability, the indemnifying party, in lieu of indemnifying such Indemnified Person thereunder, shall to the extent permitted by law, contribute to the amount paid or payable by such Indemnified Person as a result of such loss, damage, claim or liability in such proportion as is appropriate to reflect the relative fault of the indemnifying party on the one hand and of the</w:t>
      </w:r>
    </w:p>
    <w:p>
      <w:pPr>
        <w:spacing w:after="0" w:line="4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2"/>
          <w:szCs w:val="22"/>
          <w:color w:val="auto"/>
        </w:rPr>
        <w:t xml:space="preserve">Indemnified Person on the other in connection with the actions that resulted in such loss, claim, damage or liability, as well as any other relevant equitable considerations. The relative fault of the indemnifying person and of the Indemnified Person shall be determined by a court of law by reference to, among other things, whether the untrue or alleged untrue statement of a material fact or the omission to state a material fact relates to information supplied by the indemnifying person or Indemnified Person and the parties’ relative intent, knowledge, access to information and opportunity to correct or prevent such statement or omission. The Parties agree that it would not be just and equitable if contribution pursuant to this </w:t>
      </w:r>
      <w:r>
        <w:rPr>
          <w:rFonts w:ascii="Times New Roman" w:cs="Times New Roman" w:eastAsia="Times New Roman" w:hAnsi="Times New Roman"/>
          <w:sz w:val="22"/>
          <w:szCs w:val="22"/>
          <w:u w:val="single" w:color="auto"/>
          <w:color w:val="auto"/>
        </w:rPr>
        <w:t>Section 5(d)</w:t>
      </w:r>
      <w:r>
        <w:rPr>
          <w:rFonts w:ascii="Times New Roman" w:cs="Times New Roman" w:eastAsia="Times New Roman" w:hAnsi="Times New Roman"/>
          <w:sz w:val="22"/>
          <w:szCs w:val="22"/>
          <w:color w:val="auto"/>
        </w:rPr>
        <w:t xml:space="preserve"> were determined by pro rata allocation or by any other method of allocation that does not take account of the equitable considerations referred to in the immediately preceding sentences. Notwithstanding the provisions of this </w:t>
      </w:r>
      <w:r>
        <w:rPr>
          <w:rFonts w:ascii="Times New Roman" w:cs="Times New Roman" w:eastAsia="Times New Roman" w:hAnsi="Times New Roman"/>
          <w:sz w:val="22"/>
          <w:szCs w:val="22"/>
          <w:u w:val="single" w:color="auto"/>
          <w:color w:val="auto"/>
        </w:rPr>
        <w:t>Section 5(d)</w:t>
      </w:r>
      <w:r>
        <w:rPr>
          <w:rFonts w:ascii="Times New Roman" w:cs="Times New Roman" w:eastAsia="Times New Roman" w:hAnsi="Times New Roman"/>
          <w:sz w:val="22"/>
          <w:szCs w:val="22"/>
          <w:color w:val="auto"/>
        </w:rPr>
        <w:t>, the Holder shall not be required to contribute any amount in excess of the net proceeds (after deducting the underwriters’ discounts and commissions) received by the Holder under the sale of Registrable Securities giving rise to such indemnification obligation. No Person guilty of fraudulent misrepresentation (within the meaning of Section 11(f) of the Securities Act) shall be entitled to contribution from any Person who was not guilty of such fraudulent misrepresentation.</w:t>
      </w:r>
    </w:p>
    <w:p>
      <w:pPr>
        <w:spacing w:after="0" w:line="189" w:lineRule="exact"/>
        <w:rPr>
          <w:sz w:val="20"/>
          <w:szCs w:val="20"/>
          <w:color w:val="auto"/>
        </w:rPr>
      </w:pPr>
    </w:p>
    <w:p>
      <w:pPr>
        <w:ind w:right="160" w:firstLine="656"/>
        <w:spacing w:after="0" w:line="256" w:lineRule="auto"/>
        <w:tabs>
          <w:tab w:leader="none" w:pos="150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remedies provided for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are not exclusive and shall not limit any rights or remedies which may otherwise be available to any Indemnified Person at law or in equity. The obligations of the Company and the Holder under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survive completion of any offering of Registrable Securities pursuant to a Registration Statement and the termination of this Agreement.</w:t>
      </w:r>
    </w:p>
    <w:p>
      <w:pPr>
        <w:spacing w:after="0" w:line="199" w:lineRule="exact"/>
        <w:rPr>
          <w:sz w:val="20"/>
          <w:szCs w:val="20"/>
          <w:color w:val="auto"/>
        </w:rPr>
      </w:pPr>
    </w:p>
    <w:p>
      <w:pPr>
        <w:ind w:firstLine="656"/>
        <w:spacing w:after="0" w:line="251" w:lineRule="auto"/>
        <w:tabs>
          <w:tab w:leader="none" w:pos="864"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Facilitation of Sales Pursuant to Rule 144</w:t>
      </w:r>
      <w:r>
        <w:rPr>
          <w:rFonts w:ascii="Times New Roman" w:cs="Times New Roman" w:eastAsia="Times New Roman" w:hAnsi="Times New Roman"/>
          <w:sz w:val="22"/>
          <w:szCs w:val="22"/>
          <w:color w:val="auto"/>
        </w:rPr>
        <w:t>. For so long as Registrable Securities remain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the Company will (a) use commercially reasonable efforts to make and keep adequate public information available, as required by clause (c) of Rule 144, (b) use commercially reasonable efforts to file with the Commission in a timely manner all reports and other documents required of the Company under the Securities Act and the Exchange Act (excluding, for avoidance of doubt, any Prospectus or Registration Statement which the Company is under no obligation to file), and (c) furnish, or otherwise make available to the Holder so long as the Holder owns Registrable Securities, promptly upon request, a written statement by the Company as to its compliance with the reporting requirements of Rule 144 and</w:t>
      </w:r>
    </w:p>
    <w:p>
      <w:pPr>
        <w:sectPr>
          <w:pgSz w:w="11900" w:h="16838" w:orient="portrait"/>
          <w:cols w:equalWidth="0" w:num="1">
            <w:col w:w="9700"/>
          </w:cols>
          <w:pgMar w:left="1400" w:top="1440" w:right="799" w:bottom="1440" w:gutter="0" w:footer="0" w:header="0"/>
        </w:sectPr>
      </w:pPr>
    </w:p>
    <w:bookmarkStart w:id="102" w:name="page103"/>
    <w:bookmarkEnd w:id="102"/>
    <w:p>
      <w:pPr>
        <w:ind w:right="80"/>
        <w:spacing w:after="0" w:line="256" w:lineRule="auto"/>
        <w:rPr>
          <w:sz w:val="20"/>
          <w:szCs w:val="20"/>
          <w:color w:val="auto"/>
        </w:rPr>
      </w:pPr>
      <w:r>
        <w:rPr>
          <w:rFonts w:ascii="Times New Roman" w:cs="Times New Roman" w:eastAsia="Times New Roman" w:hAnsi="Times New Roman"/>
          <w:sz w:val="22"/>
          <w:szCs w:val="22"/>
          <w:color w:val="auto"/>
        </w:rPr>
        <w:t>the Exchange Act, a copy of the most recent annual or quarterly report of the Company, and such other reports and documents so filed or furnished by the Company with the Commission under the Exchange Act or Securities Act as the Holder may reasonably request in connection with the sale of Registrable Securities without registration.</w:t>
      </w:r>
    </w:p>
    <w:p>
      <w:pPr>
        <w:spacing w:after="0" w:line="172"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Reserved</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64" w:lineRule="exact"/>
        <w:rPr>
          <w:sz w:val="20"/>
          <w:szCs w:val="20"/>
          <w:color w:val="auto"/>
        </w:rPr>
      </w:pPr>
    </w:p>
    <w:p>
      <w:pPr>
        <w:ind w:right="40" w:firstLine="656"/>
        <w:spacing w:after="0" w:line="251" w:lineRule="auto"/>
        <w:tabs>
          <w:tab w:leader="none" w:pos="150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In the event of a breach by the Company or the Holder of any of its obligations under this Agreement, any Party, in addition to being entitled to exercise all rights granted by law and under this Agreement, including recovery of damages, will be entitled to specific performance of its rights under this Agreement. The Parties agree that monetary damages would not provide adequate compensation for any losses incurred by reason of a breach by the Company of any of the provisions of this Agreement and further agree that, in the event of</w:t>
      </w:r>
    </w:p>
    <w:p>
      <w:pPr>
        <w:spacing w:after="0" w:line="3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any action for specific performance in respect of such breach, the Company shall waive the defense that a remedy at law would be adequate and shall waive any requirement for the posting of a bond. No failure or delay by any Person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1" w:lineRule="exact"/>
        <w:rPr>
          <w:sz w:val="20"/>
          <w:szCs w:val="20"/>
          <w:color w:val="auto"/>
        </w:rPr>
      </w:pPr>
    </w:p>
    <w:p>
      <w:pPr>
        <w:ind w:firstLine="656"/>
        <w:spacing w:after="0" w:line="256" w:lineRule="auto"/>
        <w:tabs>
          <w:tab w:leader="none" w:pos="150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Modification; Waivers</w:t>
      </w:r>
      <w:r>
        <w:rPr>
          <w:rFonts w:ascii="Times New Roman" w:cs="Times New Roman" w:eastAsia="Times New Roman" w:hAnsi="Times New Roman"/>
          <w:sz w:val="22"/>
          <w:szCs w:val="22"/>
          <w:color w:val="auto"/>
        </w:rPr>
        <w:t>. This Agreement may be amended or waived if, and only if, such amendment or waiver is in writing and signed by the Company and the Holder, which writing shall specifically reference this Agreement, specify the provision(s) hereof that it is intended to amend or waive and further specify that it is intended to amend or waive such provision(s).</w:t>
      </w:r>
    </w:p>
    <w:p>
      <w:pPr>
        <w:spacing w:after="0" w:line="176" w:lineRule="exact"/>
        <w:rPr>
          <w:rFonts w:ascii="Times New Roman" w:cs="Times New Roman" w:eastAsia="Times New Roman" w:hAnsi="Times New Roman"/>
          <w:sz w:val="22"/>
          <w:szCs w:val="22"/>
          <w:color w:val="auto"/>
        </w:rPr>
      </w:pPr>
    </w:p>
    <w:p>
      <w:pPr>
        <w:ind w:right="60" w:firstLine="656"/>
        <w:spacing w:after="0" w:line="272" w:lineRule="auto"/>
        <w:tabs>
          <w:tab w:leader="none" w:pos="1509"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in connection with this Agreement shall be in writing and shall be deemed given if delivered personally, sent via email (with confirmation), mailed by registered or certified mail (return receipt requested) or delivered by an express courier (with confirmation) to the Parties at the following addresses (or at such other address for a Party as may be specified by like notice):</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TriSalus Life Sciences, Inc. 6272 West 91st</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Avenue Westminster, CO 80031 Attn: Sean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Murphy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sean.murphy@trisaluslifesci.com</w:t>
      </w:r>
    </w:p>
    <w:p>
      <w:pPr>
        <w:spacing w:after="0" w:line="1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with a copy to (which shall not qualify as notice to any party hereto): Cooley LLP</w:t>
      </w:r>
    </w:p>
    <w:p>
      <w:pPr>
        <w:sectPr>
          <w:pgSz w:w="11900" w:h="16838" w:orient="portrait"/>
          <w:cols w:equalWidth="0" w:num="1">
            <w:col w:w="9620"/>
          </w:cols>
          <w:pgMar w:left="1400" w:top="1341" w:right="879" w:bottom="1440" w:gutter="0" w:footer="0" w:header="0"/>
        </w:sectPr>
      </w:pPr>
    </w:p>
    <w:bookmarkStart w:id="103" w:name="page104"/>
    <w:bookmarkEnd w:id="103"/>
    <w:p>
      <w:pPr>
        <w:ind w:left="1300"/>
        <w:spacing w:after="0"/>
        <w:rPr>
          <w:sz w:val="20"/>
          <w:szCs w:val="20"/>
          <w:color w:val="auto"/>
        </w:rPr>
      </w:pPr>
      <w:r>
        <w:rPr>
          <w:rFonts w:ascii="Times New Roman" w:cs="Times New Roman" w:eastAsia="Times New Roman" w:hAnsi="Times New Roman"/>
          <w:sz w:val="22"/>
          <w:szCs w:val="22"/>
          <w:color w:val="auto"/>
        </w:rPr>
        <w:t>10265 Science Center Drive San Diego, CA</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92121</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Matt Browne; Carlos Ramirez</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mbrowne@cooley.com; cramirez@cooley.com</w:t>
      </w:r>
    </w:p>
    <w:p>
      <w:pPr>
        <w:spacing w:after="0" w:line="200" w:lineRule="exact"/>
        <w:rPr>
          <w:sz w:val="20"/>
          <w:szCs w:val="20"/>
          <w:color w:val="auto"/>
        </w:rPr>
      </w:pP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Holder:</w:t>
      </w:r>
    </w:p>
    <w:p>
      <w:pPr>
        <w:spacing w:after="0" w:line="260" w:lineRule="exact"/>
        <w:rPr>
          <w:sz w:val="20"/>
          <w:szCs w:val="20"/>
          <w:color w:val="auto"/>
        </w:rPr>
      </w:pPr>
    </w:p>
    <w:p>
      <w:pPr>
        <w:ind w:left="1300" w:right="3000"/>
        <w:spacing w:after="0" w:line="254" w:lineRule="auto"/>
        <w:rPr>
          <w:sz w:val="20"/>
          <w:szCs w:val="20"/>
          <w:color w:val="auto"/>
        </w:rPr>
      </w:pPr>
      <w:r>
        <w:rPr>
          <w:rFonts w:ascii="Times New Roman" w:cs="Times New Roman" w:eastAsia="Times New Roman" w:hAnsi="Times New Roman"/>
          <w:sz w:val="22"/>
          <w:szCs w:val="22"/>
          <w:color w:val="auto"/>
        </w:rPr>
        <w:t>OrbiMed Royalty &amp; Credit Opportunities IV, LP c/o OrbiMed Advisors LLC</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601 Lexington Avenue, 54th Floor New York, 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10022</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Matthew Rizzo; OrbiMed Credit Report</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RizzoM@OrbiMed.com; ROSCreditops@orbimed.com</w:t>
      </w:r>
    </w:p>
    <w:p>
      <w:pPr>
        <w:spacing w:after="0" w:line="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 (which shall not qualify as notice to any party hereto):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Covington &amp; Burling LLP</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New York Times Building 620 Eighth</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Avenue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10018</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Peter Schwartz; Jennifer Uren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pschwartz@cov.com; juren@cov.com</w:t>
      </w:r>
    </w:p>
    <w:p>
      <w:pPr>
        <w:spacing w:after="0" w:line="236" w:lineRule="exact"/>
        <w:rPr>
          <w:sz w:val="20"/>
          <w:szCs w:val="20"/>
          <w:color w:val="auto"/>
        </w:rPr>
      </w:pPr>
    </w:p>
    <w:p>
      <w:pPr>
        <w:ind w:firstLine="656"/>
        <w:spacing w:after="0" w:line="248" w:lineRule="auto"/>
        <w:tabs>
          <w:tab w:leader="none" w:pos="150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Waiver of Jury Trial</w:t>
      </w:r>
      <w:r>
        <w:rPr>
          <w:rFonts w:ascii="Times New Roman" w:cs="Times New Roman" w:eastAsia="Times New Roman" w:hAnsi="Times New Roman"/>
          <w:sz w:val="22"/>
          <w:szCs w:val="22"/>
          <w:color w:val="auto"/>
        </w:rPr>
        <w:t xml:space="preserve">. This Agreement shall be governed by, and construed in accordance with, the internal Laws of the State of New York without giving effect to any choice of Laws or conflict of Laws provision or rule (whether of the State of New York or any other jurisdiction) that would cause the application of Laws of any jurisdiction other than the State of New York. In any action or proceeding between any of the Parties arising out of or relating to this Agreement, each of the Parties: (a) irrevocably and unconditionally consents and submits to the exclusive jurisdiction and venue of the federal courts of the United States or the courts of the State of New York, in each case located in the city and county of New York; and (b) agrees that all claims in respect of such action or proceeding shall be heard and determined exclusively in accordance with clause (a) of this </w:t>
      </w:r>
      <w:r>
        <w:rPr>
          <w:rFonts w:ascii="Times New Roman" w:cs="Times New Roman" w:eastAsia="Times New Roman" w:hAnsi="Times New Roman"/>
          <w:sz w:val="22"/>
          <w:szCs w:val="22"/>
          <w:u w:val="single" w:color="auto"/>
          <w:color w:val="auto"/>
        </w:rPr>
        <w:t>Section 8(d).</w:t>
      </w:r>
    </w:p>
    <w:p>
      <w:pPr>
        <w:spacing w:after="0" w:line="185" w:lineRule="exact"/>
        <w:rPr>
          <w:rFonts w:ascii="Times New Roman" w:cs="Times New Roman" w:eastAsia="Times New Roman" w:hAnsi="Times New Roman"/>
          <w:sz w:val="22"/>
          <w:szCs w:val="22"/>
          <w:color w:val="auto"/>
        </w:rPr>
      </w:pPr>
    </w:p>
    <w:p>
      <w:pPr>
        <w:jc w:val="both"/>
        <w:ind w:right="40" w:firstLine="656"/>
        <w:spacing w:after="0" w:line="263" w:lineRule="auto"/>
        <w:tabs>
          <w:tab w:leader="none" w:pos="150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hereto and their respective successors and permitted assigns. The Holder may not assign its rights under this Agreement without the prior written consent of the Company.</w:t>
      </w:r>
    </w:p>
    <w:p>
      <w:pPr>
        <w:spacing w:after="0" w:line="167"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21"/>
          <w:szCs w:val="21"/>
          <w:color w:val="auto"/>
        </w:rPr>
        <w:t>(f)</w:t>
      </w:r>
      <w:r>
        <w:rPr>
          <w:rFonts w:ascii="Times New Roman" w:cs="Times New Roman" w:eastAsia="Times New Roman" w:hAnsi="Times New Roman"/>
          <w:sz w:val="21"/>
          <w:szCs w:val="21"/>
          <w:u w:val="single" w:color="auto"/>
          <w:color w:val="auto"/>
        </w:rPr>
        <w:t>Waiver of Venue</w:t>
      </w:r>
      <w:r>
        <w:rPr>
          <w:rFonts w:ascii="Times New Roman" w:cs="Times New Roman" w:eastAsia="Times New Roman" w:hAnsi="Times New Roman"/>
          <w:sz w:val="21"/>
          <w:szCs w:val="21"/>
          <w:color w:val="auto"/>
        </w:rPr>
        <w:t xml:space="preserve">. The Parties irrevocably and unconditionally waive, to the fullest extent permitted by applicable law, (i) any objection that they may now or hereafter have to the laying of venue of any action or proceeding arising out of or relating to this Agreement in any court referred to in </w:t>
      </w:r>
      <w:r>
        <w:rPr>
          <w:rFonts w:ascii="Times New Roman" w:cs="Times New Roman" w:eastAsia="Times New Roman" w:hAnsi="Times New Roman"/>
          <w:sz w:val="21"/>
          <w:szCs w:val="21"/>
          <w:u w:val="single" w:color="auto"/>
          <w:color w:val="auto"/>
        </w:rPr>
        <w:t>Section 8(d)</w:t>
      </w:r>
      <w:r>
        <w:rPr>
          <w:rFonts w:ascii="Times New Roman" w:cs="Times New Roman" w:eastAsia="Times New Roman" w:hAnsi="Times New Roman"/>
          <w:sz w:val="21"/>
          <w:szCs w:val="21"/>
          <w:color w:val="auto"/>
        </w:rPr>
        <w:t xml:space="preserve"> and (ii) the defense of an inconvenient forum to the maintenance of such action or proceeding in any such court.</w:t>
      </w:r>
    </w:p>
    <w:p>
      <w:pPr>
        <w:sectPr>
          <w:pgSz w:w="11900" w:h="16838" w:orient="portrait"/>
          <w:cols w:equalWidth="0" w:num="1">
            <w:col w:w="9660"/>
          </w:cols>
          <w:pgMar w:left="1400" w:top="1341" w:right="839" w:bottom="1440" w:gutter="0" w:footer="0" w:header="0"/>
        </w:sectPr>
      </w:pPr>
    </w:p>
    <w:bookmarkStart w:id="104" w:name="page105"/>
    <w:bookmarkEnd w:id="104"/>
    <w:p>
      <w:pPr>
        <w:spacing w:after="0" w:line="117" w:lineRule="exact"/>
        <w:rPr>
          <w:sz w:val="20"/>
          <w:szCs w:val="20"/>
          <w:color w:val="auto"/>
        </w:rPr>
      </w:pPr>
    </w:p>
    <w:p>
      <w:pPr>
        <w:ind w:right="80" w:firstLine="656"/>
        <w:spacing w:after="0" w:line="261" w:lineRule="auto"/>
        <w:tabs>
          <w:tab w:leader="none" w:pos="1507"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Trial by Jury</w:t>
      </w:r>
      <w:r>
        <w:rPr>
          <w:rFonts w:ascii="Times New Roman" w:cs="Times New Roman" w:eastAsia="Times New Roman" w:hAnsi="Times New Roman"/>
          <w:sz w:val="21"/>
          <w:szCs w:val="21"/>
          <w:color w:val="auto"/>
        </w:rPr>
        <w:t>. EACH PARTY ACKNOWLEDGES AND AGREES THAT ANY CONTROVERSY WHICH MAY ARISE UNDER THIS AGREEMENT IS LIKELY TO INVOLVE COMPLICATED AND DIFFICULT ISSUES, AND THEREFORE EACH SUCH PARTY HEREBY IRREVOCABLY AND UNCONDITIONALLY WAIVES ANY RIGHT SUCH PARTY MAY HAVE TO A TRIAL BY JURY WITH RESPECT TO ANY LITIGATION DIRECTLY OR INDIRECTLY ARISING OUT OF OR RELATING TO THIS AGREEMENT. EACH PARTY CERTIFIES AND ACKNOWLEDGES THAT</w:t>
      </w:r>
    </w:p>
    <w:p>
      <w:pPr>
        <w:ind w:right="360" w:firstLine="8"/>
        <w:spacing w:after="0" w:line="247" w:lineRule="auto"/>
        <w:tabs>
          <w:tab w:leader="none" w:pos="25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REPRESENTATIVE, AGENT OR ATTORNEY OF THE OTHER PARTY HAS REPRESENTED, EXPRESSLY OR OTHERWISE, THAT SUCH OTHER PARTY WOULD NOT, IN THE EVENT OF LITIGATION, SEEK TO ENFORCE THE FOREGOING WAIVER,</w:t>
      </w:r>
    </w:p>
    <w:p>
      <w:pPr>
        <w:spacing w:after="0" w:line="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PARTY UNDERSTANDS AND HAS CONSIDERED THE IMPLICATIONS OF THIS WAIVER,</w:t>
      </w:r>
    </w:p>
    <w:p>
      <w:pPr>
        <w:spacing w:after="0" w:line="15" w:lineRule="exact"/>
        <w:rPr>
          <w:rFonts w:ascii="Times New Roman" w:cs="Times New Roman" w:eastAsia="Times New Roman" w:hAnsi="Times New Roman"/>
          <w:sz w:val="21"/>
          <w:szCs w:val="21"/>
          <w:color w:val="auto"/>
        </w:rPr>
      </w:pPr>
    </w:p>
    <w:p>
      <w:pPr>
        <w:jc w:val="both"/>
        <w:ind w:right="680" w:firstLine="8"/>
        <w:spacing w:after="0" w:line="245" w:lineRule="auto"/>
        <w:tabs>
          <w:tab w:leader="none" w:pos="37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MAKES THIS WAIVER VOLUNTARILY, AND (iv) SUCH PARTY HAS BEEN INDUCED TO ENTER INTO THIS AGREEMENT BY, AMONG OTHER THINGS, THE MUTUAL WAIVERS AND CERTIFICATIONS IN THIS SECTION.</w:t>
      </w:r>
    </w:p>
    <w:p>
      <w:pPr>
        <w:spacing w:after="0" w:line="200" w:lineRule="exact"/>
        <w:rPr>
          <w:rFonts w:ascii="Times New Roman" w:cs="Times New Roman" w:eastAsia="Times New Roman" w:hAnsi="Times New Roman"/>
          <w:sz w:val="22"/>
          <w:szCs w:val="22"/>
          <w:color w:val="auto"/>
        </w:rPr>
      </w:pPr>
    </w:p>
    <w:p>
      <w:pPr>
        <w:ind w:right="140" w:firstLine="656"/>
        <w:spacing w:after="0" w:line="271" w:lineRule="auto"/>
        <w:tabs>
          <w:tab w:leader="none" w:pos="1507"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shall be deemed severable and the invalidity or unenforceability of any provision hereof shall not affect the validity or</w:t>
      </w:r>
    </w:p>
    <w:p>
      <w:pPr>
        <w:spacing w:after="0" w:line="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 xml:space="preserve">enforceability of any other provision. Whenever possible, each provision or portion of any provision of this Agreement shall be interpreted in such manner as to be effective and valid under applicable Laws, but if any provision of this Agreement, or the application thereof to any Person or any circumstance, is invalid or unenforceable, (i) a suitable and equitable provision shall be substituted therefor to carry out, so far as may be valid and enforceable, the intent and purpose of such invalid or unenforceable provision and (ii)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any one or more of the provisions contained in this Agreement shall be determined to be excessively broad as to activity, subject, duration or geographic scope, it shall be reformed by limiting and reducing it to the minimum extent necessary, so as to be enforceable under applicable law.</w:t>
      </w:r>
    </w:p>
    <w:p>
      <w:pPr>
        <w:spacing w:after="0" w:line="189"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be a day other than a Business Day, then such action may be taken or such right may be exercised on the next succeeding Business Day.</w:t>
      </w:r>
    </w:p>
    <w:p>
      <w:pPr>
        <w:spacing w:after="0" w:line="1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among the Parties with respect to the subject matter hereof and supersedes all prior contracts or agreements with respect to the subject matter hereof and supersedes any and all prior or contemporaneous discussions, agreements and understandings, whether oral or written, that may have been made or entered into by or among any of the Parties or any of their respective Affiliates relating to the transactions contemplated hereby.</w:t>
      </w:r>
    </w:p>
    <w:p>
      <w:pPr>
        <w:spacing w:after="0" w:line="179" w:lineRule="exact"/>
        <w:rPr>
          <w:sz w:val="20"/>
          <w:szCs w:val="20"/>
          <w:color w:val="auto"/>
        </w:rPr>
      </w:pPr>
    </w:p>
    <w:p>
      <w:pPr>
        <w:ind w:right="480" w:firstLine="656"/>
        <w:spacing w:after="0" w:line="271" w:lineRule="auto"/>
        <w:tabs>
          <w:tab w:leader="none" w:pos="150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of Agreement</w:t>
      </w:r>
      <w:r>
        <w:rPr>
          <w:rFonts w:ascii="Times New Roman" w:cs="Times New Roman" w:eastAsia="Times New Roman" w:hAnsi="Times New Roman"/>
          <w:sz w:val="22"/>
          <w:szCs w:val="22"/>
          <w:color w:val="auto"/>
        </w:rPr>
        <w:t>. This Agreement may be executed and delivered (by facsimile, email or other means of electronic transmission) in any number of counterparts,</w:t>
      </w:r>
    </w:p>
    <w:p>
      <w:pPr>
        <w:sectPr>
          <w:pgSz w:w="11900" w:h="16838" w:orient="portrait"/>
          <w:cols w:equalWidth="0" w:num="1">
            <w:col w:w="9600"/>
          </w:cols>
          <w:pgMar w:left="1400" w:top="1440" w:right="899" w:bottom="1440" w:gutter="0" w:footer="0" w:header="0"/>
        </w:sectPr>
      </w:pPr>
    </w:p>
    <w:bookmarkStart w:id="105" w:name="page106"/>
    <w:bookmarkEnd w:id="105"/>
    <w:p>
      <w:pPr>
        <w:spacing w:after="0" w:line="117" w:lineRule="exact"/>
        <w:rPr>
          <w:sz w:val="20"/>
          <w:szCs w:val="20"/>
          <w:color w:val="auto"/>
        </w:rPr>
      </w:pPr>
    </w:p>
    <w:p>
      <w:pPr>
        <w:ind w:left="320" w:right="620"/>
        <w:spacing w:after="0" w:line="271" w:lineRule="auto"/>
        <w:rPr>
          <w:sz w:val="20"/>
          <w:szCs w:val="20"/>
          <w:color w:val="auto"/>
        </w:rPr>
      </w:pPr>
      <w:r>
        <w:rPr>
          <w:rFonts w:ascii="Times New Roman" w:cs="Times New Roman" w:eastAsia="Times New Roman" w:hAnsi="Times New Roman"/>
          <w:sz w:val="22"/>
          <w:szCs w:val="22"/>
          <w:color w:val="auto"/>
        </w:rPr>
        <w:t>each of which, when executed and delivered, shall be deemed an original, and all of which together shall constitute the same agreement.</w:t>
      </w:r>
    </w:p>
    <w:p>
      <w:pPr>
        <w:spacing w:after="0" w:line="171" w:lineRule="exact"/>
        <w:rPr>
          <w:sz w:val="20"/>
          <w:szCs w:val="20"/>
          <w:color w:val="auto"/>
        </w:rPr>
      </w:pPr>
    </w:p>
    <w:p>
      <w:pPr>
        <w:ind w:left="320" w:right="240" w:firstLine="648"/>
        <w:spacing w:after="0" w:line="257" w:lineRule="auto"/>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22"/>
          <w:szCs w:val="22"/>
          <w:u w:val="single" w:color="auto"/>
          <w:color w:val="auto"/>
        </w:rPr>
        <w:t>Determination of Ownership</w:t>
      </w:r>
      <w:r>
        <w:rPr>
          <w:rFonts w:ascii="Times New Roman" w:cs="Times New Roman" w:eastAsia="Times New Roman" w:hAnsi="Times New Roman"/>
          <w:sz w:val="22"/>
          <w:szCs w:val="22"/>
          <w:color w:val="auto"/>
        </w:rPr>
        <w:t>. In determining ownership of Company Common Stock hereunder for any purpose, the Company may rely solely on the records of the transfer agent for the Company Common Stock from time to time, or, if no such transfer agent exists, the Company’s stock ledger.</w:t>
      </w:r>
    </w:p>
    <w:p>
      <w:pPr>
        <w:spacing w:after="0" w:line="173" w:lineRule="exact"/>
        <w:rPr>
          <w:sz w:val="20"/>
          <w:szCs w:val="20"/>
          <w:color w:val="auto"/>
        </w:rPr>
      </w:pPr>
    </w:p>
    <w:p>
      <w:pPr>
        <w:ind w:left="320" w:right="100" w:firstLine="656"/>
        <w:spacing w:after="0" w:line="248" w:lineRule="auto"/>
        <w:tabs>
          <w:tab w:leader="none" w:pos="18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w:t>
      </w:r>
      <w:r>
        <w:rPr>
          <w:rFonts w:ascii="Times New Roman" w:cs="Times New Roman" w:eastAsia="Times New Roman" w:hAnsi="Times New Roman"/>
          <w:sz w:val="22"/>
          <w:szCs w:val="22"/>
          <w:color w:val="auto"/>
        </w:rPr>
        <w:t>. Notwithstanding anything that may be expressed or implied in this Agreement, each Party covenants, agrees and acknowledges that no recourse under this Agreement or any documents or instruments delivered in connection with this Agreement shall be had against any of the Company’s or the Holder’s former, current or future direct or indirect equity holders, controlling persons, stockholders, directors, officers, employees, agents, Affiliates, members, financing sources, managers, general or limited partners or assignees (each, a “</w:t>
      </w:r>
      <w:r>
        <w:rPr>
          <w:rFonts w:ascii="Times New Roman" w:cs="Times New Roman" w:eastAsia="Times New Roman" w:hAnsi="Times New Roman"/>
          <w:sz w:val="22"/>
          <w:szCs w:val="22"/>
          <w:u w:val="single" w:color="auto"/>
          <w:color w:val="auto"/>
        </w:rPr>
        <w:t>Related Person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Related Persons</w:t>
      </w:r>
      <w:r>
        <w:rPr>
          <w:rFonts w:ascii="Times New Roman" w:cs="Times New Roman" w:eastAsia="Times New Roman" w:hAnsi="Times New Roman"/>
          <w:sz w:val="22"/>
          <w:szCs w:val="22"/>
          <w:color w:val="auto"/>
        </w:rPr>
        <w:t>”), in each case other than the Company, the Holder or any of their respective successors or permitted assigns under this Agreement, whether by the enforcement of any assessment or by any legal or equitable proceeding, or by virtue of any applicable Laws, it being expressly agreed and acknowledged that no personal liability whatsoever shall attach to, be imposed on or otherwise be incurred by any of the Related Persons, as such, for any obligation or liability of the Company or the Holder</w:t>
      </w:r>
    </w:p>
    <w:p>
      <w:pPr>
        <w:spacing w:after="0" w:line="54" w:lineRule="exact"/>
        <w:rPr>
          <w:sz w:val="20"/>
          <w:szCs w:val="20"/>
          <w:color w:val="auto"/>
        </w:rPr>
      </w:pPr>
    </w:p>
    <w:p>
      <w:pPr>
        <w:ind w:left="320" w:right="20"/>
        <w:spacing w:after="0" w:line="250" w:lineRule="auto"/>
        <w:rPr>
          <w:sz w:val="20"/>
          <w:szCs w:val="20"/>
          <w:color w:val="auto"/>
        </w:rPr>
      </w:pPr>
      <w:r>
        <w:rPr>
          <w:rFonts w:ascii="Times New Roman" w:cs="Times New Roman" w:eastAsia="Times New Roman" w:hAnsi="Times New Roman"/>
          <w:sz w:val="22"/>
          <w:szCs w:val="22"/>
          <w:color w:val="auto"/>
        </w:rPr>
        <w:t xml:space="preserve">under this Agreement or any documents or instruments delivered in connection herewith for any claim based on, in respect of or by reason of such obligations or liabilities or their creation;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8(m)</w:t>
      </w:r>
      <w:r>
        <w:rPr>
          <w:rFonts w:ascii="Times New Roman" w:cs="Times New Roman" w:eastAsia="Times New Roman" w:hAnsi="Times New Roman"/>
          <w:sz w:val="22"/>
          <w:szCs w:val="22"/>
          <w:color w:val="auto"/>
        </w:rPr>
        <w:t xml:space="preserve"> shall relieve or otherwise limit the liability of the Company or the Holder, as such, for any breach or violation of its obligations under this Agreement. For the avoidance of doubt, none of the Parties will have any recourse, be entitled to commence any proceeding or make any claim under this Agreement or in connection with the transactions contemplated hereby except against the other Party or its respective successors and permitted assigns, as applicable.</w:t>
      </w:r>
    </w:p>
    <w:p>
      <w:pPr>
        <w:spacing w:after="0" w:line="180" w:lineRule="exact"/>
        <w:rPr>
          <w:sz w:val="20"/>
          <w:szCs w:val="20"/>
          <w:color w:val="auto"/>
        </w:rPr>
      </w:pPr>
    </w:p>
    <w:p>
      <w:pPr>
        <w:ind w:left="320" w:right="100" w:firstLine="656"/>
        <w:spacing w:after="0" w:line="257" w:lineRule="auto"/>
        <w:tabs>
          <w:tab w:leader="none" w:pos="182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Except to the extent set forth in Section 5, nothing in this Agreement, express or implied, is intended to confer upon any Person other than a Party and its successors and permitted assigns any rights, benefits or remedies of any nature whatsoever.</w:t>
      </w:r>
    </w:p>
    <w:p>
      <w:pPr>
        <w:spacing w:after="0" w:line="172" w:lineRule="exact"/>
        <w:rPr>
          <w:rFonts w:ascii="Times New Roman" w:cs="Times New Roman" w:eastAsia="Times New Roman" w:hAnsi="Times New Roman"/>
          <w:sz w:val="22"/>
          <w:szCs w:val="22"/>
          <w:color w:val="auto"/>
        </w:rPr>
      </w:pPr>
    </w:p>
    <w:p>
      <w:pPr>
        <w:ind w:left="320" w:right="220" w:firstLine="656"/>
        <w:spacing w:after="0" w:line="263" w:lineRule="auto"/>
        <w:tabs>
          <w:tab w:leader="none" w:pos="182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Section References; Signatories</w:t>
      </w:r>
      <w:r>
        <w:rPr>
          <w:rFonts w:ascii="Times New Roman" w:cs="Times New Roman" w:eastAsia="Times New Roman" w:hAnsi="Times New Roman"/>
          <w:sz w:val="22"/>
          <w:szCs w:val="22"/>
          <w:color w:val="auto"/>
        </w:rPr>
        <w:t>. All heading references contained in this Agreement are for convenience purposes only and shall not be deemed to limit or affect any of the provisions of this Agreement.</w:t>
      </w:r>
    </w:p>
    <w:p>
      <w:pPr>
        <w:spacing w:after="0" w:line="16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undersigned Parties have executed this Agreement as of the date first written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TRISALUS LIFE SCIENCES, INC.</w:t>
      </w:r>
    </w:p>
    <w:p>
      <w:pPr>
        <w:spacing w:after="0" w:line="200" w:lineRule="exact"/>
        <w:rPr>
          <w:sz w:val="20"/>
          <w:szCs w:val="20"/>
          <w:color w:val="auto"/>
        </w:rPr>
      </w:pPr>
    </w:p>
    <w:p>
      <w:pPr>
        <w:spacing w:after="0" w:line="2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/s/Sean Murphy</w:t>
      </w:r>
    </w:p>
    <w:p>
      <w:pPr>
        <w:spacing w:after="0" w:line="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Sean Murphy</w:t>
      </w:r>
    </w:p>
    <w:p>
      <w:pPr>
        <w:ind w:left="4440"/>
        <w:spacing w:after="0"/>
        <w:rPr>
          <w:sz w:val="20"/>
          <w:szCs w:val="20"/>
          <w:color w:val="auto"/>
        </w:rPr>
      </w:pPr>
      <w:r>
        <w:rPr>
          <w:rFonts w:ascii="Times New Roman" w:cs="Times New Roman" w:eastAsia="Times New Roman" w:hAnsi="Times New Roman"/>
          <w:sz w:val="22"/>
          <w:szCs w:val="22"/>
          <w:color w:val="auto"/>
        </w:rPr>
        <w:t>Title: Chief Financial Officer</w:t>
      </w:r>
    </w:p>
    <w:p>
      <w:pPr>
        <w:sectPr>
          <w:pgSz w:w="11900" w:h="16838" w:orient="portrait"/>
          <w:cols w:equalWidth="0" w:num="1">
            <w:col w:w="10000"/>
          </w:cols>
          <w:pgMar w:left="1080" w:top="1440" w:right="81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ORBIMED</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ROYALTY &amp;</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CREDIT</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OPPORTUNITIES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IV, LP</w:t>
      </w:r>
    </w:p>
    <w:p>
      <w:pPr>
        <w:spacing w:after="0" w:line="19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By: OrbiMed</w:t>
      </w:r>
    </w:p>
    <w:p>
      <w:pPr>
        <w:spacing w:after="0" w:line="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ROF IV LLC,</w:t>
      </w:r>
    </w:p>
    <w:p>
      <w:pPr>
        <w:spacing w:after="0" w:line="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its General</w:t>
      </w:r>
    </w:p>
    <w:p>
      <w:pPr>
        <w:spacing w:after="0" w:line="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Partner</w:t>
      </w:r>
    </w:p>
    <w:p>
      <w:pPr>
        <w:spacing w:after="0" w:line="2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OrbiMed</w:t>
      </w:r>
    </w:p>
    <w:p>
      <w:pPr>
        <w:spacing w:after="0" w:line="2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Advisors</w:t>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LLC, its</w:t>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Managing</w:t>
      </w:r>
    </w:p>
    <w:p>
      <w:pPr>
        <w:spacing w:after="0" w:line="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Member</w:t>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u w:val="single" w:color="auto"/>
          <w:color w:val="auto"/>
        </w:rPr>
        <w:t>/s/Matthew</w:t>
      </w:r>
    </w:p>
    <w:p>
      <w:pPr>
        <w:ind w:left="4120"/>
        <w:spacing w:after="0"/>
        <w:rPr>
          <w:sz w:val="20"/>
          <w:szCs w:val="20"/>
          <w:color w:val="auto"/>
        </w:rPr>
      </w:pPr>
      <w:r>
        <w:rPr>
          <w:rFonts w:ascii="Times New Roman" w:cs="Times New Roman" w:eastAsia="Times New Roman" w:hAnsi="Times New Roman"/>
          <w:sz w:val="22"/>
          <w:szCs w:val="22"/>
          <w:u w:val="single" w:color="auto"/>
          <w:color w:val="auto"/>
        </w:rPr>
        <w:t>Rizzo</w:t>
      </w:r>
    </w:p>
    <w:p>
      <w:pPr>
        <w:spacing w:after="0" w:line="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Name: Matthew Rizzo</w:t>
      </w:r>
    </w:p>
    <w:p>
      <w:pPr>
        <w:spacing w:after="0" w:line="4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Member</w:t>
      </w:r>
    </w:p>
    <w:p>
      <w:pPr>
        <w:sectPr>
          <w:pgSz w:w="11900" w:h="16838" w:orient="portrait"/>
          <w:cols w:equalWidth="0" w:num="1">
            <w:col w:w="9019"/>
          </w:cols>
          <w:pgMar w:left="1440" w:top="1440" w:right="1440" w:bottom="1440" w:gutter="0" w:footer="0" w:header="0"/>
        </w:sectPr>
      </w:pPr>
    </w:p>
    <w:bookmarkStart w:id="107" w:name="page108"/>
    <w:bookmarkEnd w:id="10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Form of Selling Securityholder Questionnaire TRISALUS LIFE</w:t>
      </w:r>
    </w:p>
    <w:p>
      <w:pPr>
        <w:spacing w:after="0" w:line="3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SCIENCES, INC.</w:t>
      </w:r>
    </w:p>
    <w:p>
      <w:pPr>
        <w:spacing w:after="0" w:line="19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SELLING SECURITYHOLDER NOTICE AND QUESTIONNAIRE</w:t>
      </w:r>
    </w:p>
    <w:p>
      <w:pPr>
        <w:spacing w:after="0" w:line="218"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22"/>
          <w:szCs w:val="22"/>
          <w:color w:val="auto"/>
        </w:rPr>
        <w:t>The undersigned holder of Registrable Securities issued by TriSalus Life Sciences,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understands that the Company intends to file with the Securities and Exchange Commission a registration statement on Form S-3 or Form S-1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for the registration and the resale under Rule 415 of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of the Registrable Securities in accordance with the terms of the Registration Rights Agreement, dated April 30, 2024, by and between the Company and OrbiMed Royalty &amp; Credit Opportunities IV, LP (the “</w:t>
      </w:r>
      <w:r>
        <w:rPr>
          <w:rFonts w:ascii="Times New Roman" w:cs="Times New Roman" w:eastAsia="Times New Roman" w:hAnsi="Times New Roman"/>
          <w:sz w:val="22"/>
          <w:szCs w:val="22"/>
          <w:b w:val="1"/>
          <w:bCs w:val="1"/>
          <w:i w:val="1"/>
          <w:iCs w:val="1"/>
          <w:color w:val="auto"/>
        </w:rPr>
        <w:t>Registration Rights Agreement</w:t>
      </w:r>
      <w:r>
        <w:rPr>
          <w:rFonts w:ascii="Times New Roman" w:cs="Times New Roman" w:eastAsia="Times New Roman" w:hAnsi="Times New Roman"/>
          <w:sz w:val="22"/>
          <w:szCs w:val="22"/>
          <w:color w:val="auto"/>
        </w:rPr>
        <w:t>”). All capitalized terms not otherwise defined herein shall have the meanings ascribed thereto in the Registration Rights Agreement.</w:t>
      </w:r>
    </w:p>
    <w:p>
      <w:pPr>
        <w:spacing w:after="0" w:line="7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In order to sell or otherwise dispose of any Registrable Securities pursuant to the Registration Statement, a holder of Registrable Securities generally will be required to be named as a Selling Securityholder in the related prospectus or a supplement thereto (as so supplemented, the “</w:t>
      </w:r>
      <w:r>
        <w:rPr>
          <w:rFonts w:ascii="Times New Roman" w:cs="Times New Roman" w:eastAsia="Times New Roman" w:hAnsi="Times New Roman"/>
          <w:sz w:val="21"/>
          <w:szCs w:val="21"/>
          <w:b w:val="1"/>
          <w:bCs w:val="1"/>
          <w:i w:val="1"/>
          <w:iCs w:val="1"/>
          <w:color w:val="auto"/>
        </w:rPr>
        <w:t>Prospectus</w:t>
      </w:r>
      <w:r>
        <w:rPr>
          <w:rFonts w:ascii="Times New Roman" w:cs="Times New Roman" w:eastAsia="Times New Roman" w:hAnsi="Times New Roman"/>
          <w:sz w:val="21"/>
          <w:szCs w:val="21"/>
          <w:color w:val="auto"/>
        </w:rPr>
        <w:t>”), deliver the Prospectus to purchasers of Registrable Securities (including pursuant to Rule 172 under the Securities Act) and be bound by the provisions of the Registration Rights Agreement (including certain indemnification provisions, as described therein). Holders must complete and deliver this notice and questionnaire (“</w:t>
      </w:r>
      <w:r>
        <w:rPr>
          <w:rFonts w:ascii="Times New Roman" w:cs="Times New Roman" w:eastAsia="Times New Roman" w:hAnsi="Times New Roman"/>
          <w:sz w:val="21"/>
          <w:szCs w:val="21"/>
          <w:b w:val="1"/>
          <w:bCs w:val="1"/>
          <w:i w:val="1"/>
          <w:iCs w:val="1"/>
          <w:color w:val="auto"/>
        </w:rPr>
        <w:t>Notice and Questionnaire</w:t>
      </w:r>
      <w:r>
        <w:rPr>
          <w:rFonts w:ascii="Times New Roman" w:cs="Times New Roman" w:eastAsia="Times New Roman" w:hAnsi="Times New Roman"/>
          <w:sz w:val="21"/>
          <w:szCs w:val="21"/>
          <w:color w:val="auto"/>
        </w:rPr>
        <w:t>”) in order to be named as Selling Securityholders in the Prospectus. Certain legal consequences arise from being named as a Selling Securityholder in the Registration Statement and the Prospectus. Holders of Registrable Securities are advised to consult their own securities law counsel regarding the consequences of being named or not named as a Selling Securityholder in the Registration Statement and the Prospectus.</w:t>
      </w:r>
    </w:p>
    <w:p>
      <w:pPr>
        <w:spacing w:after="0" w:line="3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NOTICE</w:t>
      </w:r>
    </w:p>
    <w:p>
      <w:pPr>
        <w:spacing w:after="0" w:line="21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2"/>
          <w:szCs w:val="22"/>
          <w:color w:val="auto"/>
        </w:rPr>
        <w:t>The undersigned holder (the “</w:t>
      </w:r>
      <w:r>
        <w:rPr>
          <w:rFonts w:ascii="Times New Roman" w:cs="Times New Roman" w:eastAsia="Times New Roman" w:hAnsi="Times New Roman"/>
          <w:sz w:val="22"/>
          <w:szCs w:val="22"/>
          <w:b w:val="1"/>
          <w:bCs w:val="1"/>
          <w:i w:val="1"/>
          <w:iCs w:val="1"/>
          <w:color w:val="auto"/>
        </w:rPr>
        <w:t>Selling Securityholder</w:t>
      </w:r>
      <w:r>
        <w:rPr>
          <w:rFonts w:ascii="Times New Roman" w:cs="Times New Roman" w:eastAsia="Times New Roman" w:hAnsi="Times New Roman"/>
          <w:sz w:val="22"/>
          <w:szCs w:val="22"/>
          <w:color w:val="auto"/>
        </w:rPr>
        <w:t>”) of Registrable Securities hereby provides the following information to the Company and represents and warrants that such information is materially accurate and complete:</w:t>
      </w:r>
    </w:p>
    <w:p>
      <w:pPr>
        <w:spacing w:after="0" w:line="7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color w:val="auto"/>
        </w:rPr>
        <w:t>QUESTIONNAIRE</w:t>
      </w:r>
    </w:p>
    <w:p>
      <w:pPr>
        <w:spacing w:after="0" w:line="2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PART I. Name:</w:t>
      </w:r>
    </w:p>
    <w:p>
      <w:pPr>
        <w:spacing w:after="0" w:line="196" w:lineRule="exact"/>
        <w:rPr>
          <w:sz w:val="20"/>
          <w:szCs w:val="20"/>
          <w:color w:val="auto"/>
        </w:rPr>
      </w:pPr>
    </w:p>
    <w:p>
      <w:pPr>
        <w:ind w:left="1480" w:hanging="726"/>
        <w:spacing w:after="0"/>
        <w:tabs>
          <w:tab w:leader="none" w:pos="14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legal name of the Selling Securityholder:</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480" w:right="980" w:hanging="728"/>
        <w:spacing w:after="0" w:line="271" w:lineRule="auto"/>
        <w:tabs>
          <w:tab w:leader="none" w:pos="147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legal name of the registered holder (if not the same as Part I(a) above) through which the Registrable Securities listed in Part III below are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-490220</wp:posOffset>
            </wp:positionV>
            <wp:extent cx="41319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117475</wp:posOffset>
            </wp:positionV>
            <wp:extent cx="41319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ectPr>
          <w:pgSz w:w="11900" w:h="16838" w:orient="portrait"/>
          <w:cols w:equalWidth="0" w:num="1">
            <w:col w:w="9640"/>
          </w:cols>
          <w:pgMar w:left="1400" w:top="1418" w:right="859" w:bottom="1440" w:gutter="0" w:footer="0" w:header="0"/>
        </w:sectPr>
      </w:pPr>
    </w:p>
    <w:bookmarkStart w:id="109" w:name="page110"/>
    <w:bookmarkEnd w:id="109"/>
    <w:p>
      <w:pPr>
        <w:spacing w:after="0" w:line="9" w:lineRule="exact"/>
        <w:rPr>
          <w:sz w:val="20"/>
          <w:szCs w:val="20"/>
          <w:color w:val="auto"/>
        </w:rPr>
      </w:pPr>
    </w:p>
    <w:p>
      <w:pPr>
        <w:ind w:left="1480" w:right="20" w:hanging="728"/>
        <w:spacing w:after="0" w:line="263" w:lineRule="auto"/>
        <w:tabs>
          <w:tab w:leader="none" w:pos="147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Full legal name of any natural control person (which means a natural person who directly or indirectly alone or with others has power to vote or dispose of the Registrable Securities listed in Part III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114935</wp:posOffset>
            </wp:positionV>
            <wp:extent cx="41319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Notices to Selling Securityholder:</w:t>
      </w:r>
    </w:p>
    <w:p>
      <w:pPr>
        <w:spacing w:after="0" w:line="224" w:lineRule="exact"/>
        <w:rPr>
          <w:sz w:val="20"/>
          <w:szCs w:val="20"/>
          <w:color w:val="auto"/>
        </w:rPr>
      </w:pPr>
    </w:p>
    <w:p>
      <w:pPr>
        <w:ind w:left="1480" w:hanging="730"/>
        <w:spacing w:after="0"/>
        <w:tabs>
          <w:tab w:leader="none" w:pos="14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480" w:hanging="731"/>
        <w:spacing w:after="0"/>
        <w:tabs>
          <w:tab w:leader="none" w:pos="14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Telephone:</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480" w:hanging="731"/>
        <w:spacing w:after="0"/>
        <w:tabs>
          <w:tab w:leader="none" w:pos="14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Fax:</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480" w:hanging="731"/>
        <w:spacing w:after="0"/>
        <w:tabs>
          <w:tab w:leader="none" w:pos="14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person:</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480" w:hanging="731"/>
        <w:spacing w:after="0"/>
        <w:tabs>
          <w:tab w:leader="none" w:pos="14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address of 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-1600200</wp:posOffset>
            </wp:positionV>
            <wp:extent cx="41059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4105910"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-1162685</wp:posOffset>
            </wp:positionV>
            <wp:extent cx="41319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-716915</wp:posOffset>
            </wp:positionV>
            <wp:extent cx="41319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-288290</wp:posOffset>
            </wp:positionV>
            <wp:extent cx="41319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Beneficial Ownership of Registrable Securities:</w:t>
      </w:r>
    </w:p>
    <w:p>
      <w:pPr>
        <w:spacing w:after="0" w:line="224" w:lineRule="exact"/>
        <w:rPr>
          <w:sz w:val="20"/>
          <w:szCs w:val="20"/>
          <w:color w:val="auto"/>
        </w:rPr>
      </w:pPr>
    </w:p>
    <w:p>
      <w:pPr>
        <w:ind w:left="1500" w:hanging="732"/>
        <w:spacing w:after="0"/>
        <w:tabs>
          <w:tab w:leader="none" w:pos="1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and number of Registrable Securities beneficially owned: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9" w:lineRule="exact"/>
        <w:rPr>
          <w:rFonts w:ascii="Times New Roman" w:cs="Times New Roman" w:eastAsia="Times New Roman" w:hAnsi="Times New Roman"/>
          <w:sz w:val="22"/>
          <w:szCs w:val="22"/>
          <w:color w:val="auto"/>
        </w:rPr>
      </w:pPr>
    </w:p>
    <w:p>
      <w:pPr>
        <w:ind w:left="1500" w:right="160" w:hanging="733"/>
        <w:spacing w:after="0" w:line="271" w:lineRule="auto"/>
        <w:tabs>
          <w:tab w:leader="none" w:pos="149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of Common Stock to be registered for resale pursuant to this Notice and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-721995</wp:posOffset>
            </wp:positionV>
            <wp:extent cx="41319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-859155</wp:posOffset>
            </wp:positionV>
            <wp:extent cx="41319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-996315</wp:posOffset>
            </wp:positionV>
            <wp:extent cx="41319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426085</wp:posOffset>
            </wp:positionV>
            <wp:extent cx="41319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288925</wp:posOffset>
            </wp:positionV>
            <wp:extent cx="41319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151765</wp:posOffset>
            </wp:positionV>
            <wp:extent cx="41319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IV. Broker-Dealer Status:</w:t>
      </w:r>
    </w:p>
    <w:p>
      <w:pPr>
        <w:spacing w:after="0" w:line="224" w:lineRule="exact"/>
        <w:rPr>
          <w:sz w:val="20"/>
          <w:szCs w:val="20"/>
          <w:color w:val="auto"/>
        </w:rPr>
      </w:pPr>
    </w:p>
    <w:p>
      <w:pPr>
        <w:ind w:left="1500" w:right="5800" w:hanging="732"/>
        <w:spacing w:after="0" w:line="352" w:lineRule="auto"/>
        <w:tabs>
          <w:tab w:leader="none" w:pos="1497"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you a broker-dealer? Yes No</w:t>
      </w:r>
    </w:p>
    <w:p>
      <w:pPr>
        <w:ind w:left="1500" w:right="120" w:hanging="732"/>
        <w:spacing w:after="0" w:line="271" w:lineRule="auto"/>
        <w:tabs>
          <w:tab w:leader="none" w:pos="149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answered “yes” to Part IV(a) above, did you receive your Registrable Securities as compensation for investment banking services provided to the Company?</w:t>
      </w:r>
    </w:p>
    <w:p>
      <w:pPr>
        <w:spacing w:after="0" w:line="49"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Yes No</w:t>
      </w:r>
    </w:p>
    <w:p>
      <w:pPr>
        <w:sectPr>
          <w:pgSz w:w="11900" w:h="16838" w:orient="portrait"/>
          <w:cols w:equalWidth="0" w:num="1">
            <w:col w:w="9460"/>
          </w:cols>
          <w:pgMar w:left="1400" w:top="1440" w:right="1039" w:bottom="1440" w:gutter="0" w:footer="0" w:header="0"/>
        </w:sectPr>
      </w:pPr>
    </w:p>
    <w:p>
      <w:pPr>
        <w:spacing w:after="0" w:line="108" w:lineRule="exact"/>
        <w:rPr>
          <w:sz w:val="20"/>
          <w:szCs w:val="20"/>
          <w:color w:val="auto"/>
        </w:rPr>
      </w:pPr>
    </w:p>
    <w:p>
      <w:pPr>
        <w:ind w:left="1500"/>
        <w:spacing w:after="0" w:line="275" w:lineRule="auto"/>
        <w:rPr>
          <w:sz w:val="20"/>
          <w:szCs w:val="20"/>
          <w:color w:val="auto"/>
        </w:rPr>
      </w:pPr>
      <w:r>
        <w:rPr>
          <w:rFonts w:ascii="Times New Roman" w:cs="Times New Roman" w:eastAsia="Times New Roman" w:hAnsi="Times New Roman"/>
          <w:sz w:val="22"/>
          <w:szCs w:val="22"/>
          <w:i w:val="1"/>
          <w:iCs w:val="1"/>
          <w:color w:val="auto"/>
        </w:rPr>
        <w:t>Note: If you answered “no”, the SEC’s staff has indicated that you should be identified as an underwriter in the Registration Statement.</w:t>
      </w:r>
    </w:p>
    <w:p>
      <w:pPr>
        <w:sectPr>
          <w:pgSz w:w="11900" w:h="16838" w:orient="portrait"/>
          <w:cols w:equalWidth="0" w:num="1">
            <w:col w:w="9460"/>
          </w:cols>
          <w:pgMar w:left="1400" w:top="1440" w:right="1039" w:bottom="1440" w:gutter="0" w:footer="0" w:header="0"/>
          <w:type w:val="continuous"/>
        </w:sectPr>
      </w:pPr>
    </w:p>
    <w:bookmarkStart w:id="110" w:name="page111"/>
    <w:bookmarkEnd w:id="110"/>
    <w:p>
      <w:pPr>
        <w:spacing w:after="0" w:line="50" w:lineRule="exact"/>
        <w:rPr>
          <w:sz w:val="20"/>
          <w:szCs w:val="20"/>
          <w:color w:val="auto"/>
        </w:rPr>
      </w:pPr>
    </w:p>
    <w:p>
      <w:pPr>
        <w:ind w:left="1500" w:hanging="732"/>
        <w:spacing w:after="0"/>
        <w:tabs>
          <w:tab w:leader="none" w:pos="15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you an affiliate of a broker-dealer? Yes No</w:t>
      </w:r>
    </w:p>
    <w:p>
      <w:pPr>
        <w:spacing w:after="0" w:line="71"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answered “yes”, provide a narrative explanation below: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9" w:lineRule="exact"/>
        <w:rPr>
          <w:rFonts w:ascii="Times New Roman" w:cs="Times New Roman" w:eastAsia="Times New Roman" w:hAnsi="Times New Roman"/>
          <w:sz w:val="22"/>
          <w:szCs w:val="22"/>
          <w:color w:val="auto"/>
        </w:rPr>
      </w:pPr>
    </w:p>
    <w:p>
      <w:pPr>
        <w:ind w:left="1500" w:right="520" w:hanging="732"/>
        <w:spacing w:after="0" w:line="252" w:lineRule="auto"/>
        <w:tabs>
          <w:tab w:leader="none" w:pos="149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8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Yes No</w:t>
      </w:r>
    </w:p>
    <w:p>
      <w:pPr>
        <w:spacing w:after="0" w:line="67" w:lineRule="exact"/>
        <w:rPr>
          <w:rFonts w:ascii="Times New Roman" w:cs="Times New Roman" w:eastAsia="Times New Roman" w:hAnsi="Times New Roman"/>
          <w:sz w:val="22"/>
          <w:szCs w:val="22"/>
          <w:color w:val="auto"/>
        </w:rPr>
      </w:pPr>
    </w:p>
    <w:p>
      <w:pPr>
        <w:ind w:left="1500" w:right="160"/>
        <w:spacing w:after="0" w:line="27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Note: If you answered “no”, the SEC’s staff has indicated that you should be identified as an underwriter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-1513205</wp:posOffset>
            </wp:positionV>
            <wp:extent cx="41319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-1650365</wp:posOffset>
            </wp:positionV>
            <wp:extent cx="41319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-1787525</wp:posOffset>
            </wp:positionV>
            <wp:extent cx="41319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V. Beneficial Ownership of Other Securities of the Company Owned by the Selling Securityholder:</w:t>
      </w:r>
    </w:p>
    <w:p>
      <w:pPr>
        <w:spacing w:after="0" w:line="249"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22"/>
          <w:szCs w:val="22"/>
          <w:color w:val="auto"/>
        </w:rPr>
        <w:t>Except as set forth below in this Part V, the undersigned is not the beneficial or registered owner of any securities of the Company, other than the Registrable Securities listed above in Part III.</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and amount of other securities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508000</wp:posOffset>
            </wp:positionV>
            <wp:extent cx="57689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370840</wp:posOffset>
            </wp:positionV>
            <wp:extent cx="57689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233680</wp:posOffset>
            </wp:positionV>
            <wp:extent cx="57689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VI. Relationships with the Company:</w:t>
      </w:r>
    </w:p>
    <w:p>
      <w:pPr>
        <w:spacing w:after="0" w:line="224" w:lineRule="exact"/>
        <w:rPr>
          <w:sz w:val="20"/>
          <w:szCs w:val="20"/>
          <w:color w:val="auto"/>
        </w:rPr>
      </w:pPr>
    </w:p>
    <w:p>
      <w:pPr>
        <w:ind w:left="1500" w:right="540" w:hanging="732"/>
        <w:spacing w:after="0" w:line="256" w:lineRule="auto"/>
        <w:tabs>
          <w:tab w:leader="none" w:pos="14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you or any of your affiliates, officers, directors or principal equity holders (owners of 5% or more of the equity securities of the undersigned) held any position or office or have you had any other material relationship with the Company (or its predecessors or affiliates) within the past three years?</w:t>
      </w:r>
    </w:p>
    <w:p>
      <w:pPr>
        <w:spacing w:after="0" w:line="68"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Yes No</w:t>
      </w:r>
    </w:p>
    <w:p>
      <w:pPr>
        <w:spacing w:after="0" w:line="111" w:lineRule="exact"/>
        <w:rPr>
          <w:rFonts w:ascii="Times New Roman" w:cs="Times New Roman" w:eastAsia="Times New Roman" w:hAnsi="Times New Roman"/>
          <w:sz w:val="22"/>
          <w:szCs w:val="22"/>
          <w:color w:val="auto"/>
        </w:rPr>
      </w:pPr>
    </w:p>
    <w:p>
      <w:pPr>
        <w:ind w:left="1500" w:right="960" w:hanging="732"/>
        <w:spacing w:after="0" w:line="271" w:lineRule="auto"/>
        <w:tabs>
          <w:tab w:leader="none" w:pos="149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response to Part VI(a) above is “yes”, please state the nature and duration of your relationship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408940</wp:posOffset>
            </wp:positionV>
            <wp:extent cx="41319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271780</wp:posOffset>
            </wp:positionV>
            <wp:extent cx="41319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134620</wp:posOffset>
            </wp:positionV>
            <wp:extent cx="41319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VII. Plan of Distribution:</w:t>
      </w:r>
    </w:p>
    <w:p>
      <w:pPr>
        <w:sectPr>
          <w:pgSz w:w="11900" w:h="16838" w:orient="portrait"/>
          <w:cols w:equalWidth="0" w:num="1">
            <w:col w:w="9680"/>
          </w:cols>
          <w:pgMar w:left="1400" w:top="1440" w:right="819" w:bottom="1440" w:gutter="0" w:footer="0" w:header="0"/>
        </w:sectPr>
      </w:pPr>
    </w:p>
    <w:bookmarkStart w:id="111" w:name="page112"/>
    <w:bookmarkEnd w:id="111"/>
    <w:p>
      <w:pPr>
        <w:spacing w:after="0" w:line="117" w:lineRule="exact"/>
        <w:rPr>
          <w:sz w:val="20"/>
          <w:szCs w:val="20"/>
          <w:color w:val="auto"/>
        </w:rPr>
      </w:pPr>
    </w:p>
    <w:p>
      <w:pPr>
        <w:jc w:val="both"/>
        <w:ind w:right="540"/>
        <w:spacing w:after="0" w:line="263" w:lineRule="auto"/>
        <w:rPr>
          <w:sz w:val="20"/>
          <w:szCs w:val="20"/>
          <w:color w:val="auto"/>
        </w:rPr>
      </w:pPr>
      <w:r>
        <w:rPr>
          <w:rFonts w:ascii="Times New Roman" w:cs="Times New Roman" w:eastAsia="Times New Roman" w:hAnsi="Times New Roman"/>
          <w:sz w:val="22"/>
          <w:szCs w:val="22"/>
          <w:color w:val="auto"/>
        </w:rPr>
        <w:t>The undersigned has reviewed the form of Plan of Distribution attached as Annex I hereto, and hereby confirms that, except as set forth below, the information contained therein regarding the undersigned and its plan of distribution is correct and complete.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439420</wp:posOffset>
            </wp:positionV>
            <wp:extent cx="57689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302260</wp:posOffset>
            </wp:positionV>
            <wp:extent cx="57689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576897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165100</wp:posOffset>
            </wp:positionV>
            <wp:extent cx="57689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22"/>
          <w:szCs w:val="22"/>
          <w:color w:val="auto"/>
        </w:rPr>
        <w:t>The undersigned agrees to promptly notify the Company of any inaccuracies or changes in the information provided herein that may occur subsequent to the date hereof and prior to the effective date of any applicable Registration Statement; provided, that the undersigned shall not be required to notify the Company of any changes to the number of securities held or owned by the undersigned or its Affiliates. All notices hereunder shall be delivered as set forth in the Registration Rights Agreement. In the absence of any such notification, the Company shall be entitled to continue to rely on the accuracy of the information in this Notice and Questionnaire.</w:t>
      </w:r>
    </w:p>
    <w:p>
      <w:pPr>
        <w:spacing w:after="0" w:line="72"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22"/>
          <w:szCs w:val="22"/>
          <w:color w:val="auto"/>
        </w:rPr>
        <w:t>By signing below, the undersigned consents to the disclosure of the information contained herein in its answers to Parts I through VII above and the inclusion of such information in the Registration Statement and the Prospectus. The undersigned understands that such information will be relied upon by the Company in connection with the preparation or amendment of any such Registration Statement and Prospectus.</w:t>
      </w:r>
    </w:p>
    <w:p>
      <w:pPr>
        <w:spacing w:after="0" w:line="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by authority duly given, has caused this Notice and Questionnaire to be executed and delivered either in person or by its duly authorized agent.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Selling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362585</wp:posOffset>
            </wp:positionV>
            <wp:extent cx="31629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of Entity or Individual</w:t>
      </w:r>
    </w:p>
    <w:p>
      <w:pPr>
        <w:spacing w:after="0" w:line="2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-158750</wp:posOffset>
            </wp:positionV>
            <wp:extent cx="26746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12065</wp:posOffset>
            </wp:positionV>
            <wp:extent cx="26746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-158750</wp:posOffset>
            </wp:positionV>
            <wp:extent cx="26746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9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Annex I</w:t>
      </w:r>
    </w:p>
    <w:p>
      <w:pPr>
        <w:spacing w:after="0" w:line="11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56" w:lineRule="exact"/>
        <w:rPr>
          <w:sz w:val="20"/>
          <w:szCs w:val="20"/>
          <w:color w:val="auto"/>
        </w:rPr>
      </w:pPr>
    </w:p>
    <w:p>
      <w:pPr>
        <w:jc w:val="both"/>
        <w:ind w:right="340" w:firstLine="358"/>
        <w:spacing w:after="0" w:line="270" w:lineRule="auto"/>
        <w:rPr>
          <w:sz w:val="20"/>
          <w:szCs w:val="20"/>
          <w:color w:val="auto"/>
        </w:rPr>
      </w:pPr>
      <w:r>
        <w:rPr>
          <w:rFonts w:ascii="Times New Roman" w:cs="Times New Roman" w:eastAsia="Times New Roman" w:hAnsi="Times New Roman"/>
          <w:sz w:val="22"/>
          <w:szCs w:val="22"/>
          <w:color w:val="auto"/>
        </w:rPr>
        <w:t>We are registering the resale by the Selling Securityholders or their permitted transferees from time to time of [●] shares of Common Stock that are issuable upon the exercise of an equivalent number of Warrants issued to the Selling Securityholder in a private placement in connection with the [Loan Agreement].</w:t>
      </w:r>
    </w:p>
    <w:p>
      <w:pPr>
        <w:sectPr>
          <w:pgSz w:w="11900" w:h="16838" w:orient="portrait"/>
          <w:cols w:equalWidth="0" w:num="1">
            <w:col w:w="10060"/>
          </w:cols>
          <w:pgMar w:left="1400" w:top="1440" w:right="439" w:bottom="1440" w:gutter="0" w:footer="0" w:header="0"/>
        </w:sectPr>
      </w:pPr>
    </w:p>
    <w:bookmarkStart w:id="112" w:name="page113"/>
    <w:bookmarkEnd w:id="112"/>
    <w:p>
      <w:pPr>
        <w:spacing w:after="0" w:line="36" w:lineRule="exact"/>
        <w:rPr>
          <w:sz w:val="20"/>
          <w:szCs w:val="20"/>
          <w:color w:val="auto"/>
        </w:rPr>
      </w:pPr>
    </w:p>
    <w:p>
      <w:pPr>
        <w:jc w:val="both"/>
        <w:ind w:firstLine="358"/>
        <w:spacing w:after="0" w:line="288" w:lineRule="auto"/>
        <w:rPr>
          <w:sz w:val="20"/>
          <w:szCs w:val="20"/>
          <w:color w:val="auto"/>
        </w:rPr>
      </w:pPr>
      <w:r>
        <w:rPr>
          <w:rFonts w:ascii="Times New Roman" w:cs="Times New Roman" w:eastAsia="Times New Roman" w:hAnsi="Times New Roman"/>
          <w:sz w:val="21"/>
          <w:szCs w:val="21"/>
          <w:color w:val="auto"/>
        </w:rPr>
        <w:t>We are required to pay all fees and expenses incident to the registration of the securities to be offered and sold pursuant to this prospectus, including with regard to compliance with state securities or “blue sky” laws. The Selling Securityholder will bear all commissions and discounts, if any, attributable to its sale of securities.</w:t>
      </w:r>
    </w:p>
    <w:p>
      <w:pPr>
        <w:spacing w:after="0" w:line="76" w:lineRule="exact"/>
        <w:rPr>
          <w:sz w:val="20"/>
          <w:szCs w:val="20"/>
          <w:color w:val="auto"/>
        </w:rPr>
      </w:pPr>
    </w:p>
    <w:p>
      <w:pPr>
        <w:jc w:val="both"/>
        <w:ind w:firstLine="358"/>
        <w:spacing w:after="0" w:line="256" w:lineRule="auto"/>
        <w:rPr>
          <w:sz w:val="20"/>
          <w:szCs w:val="20"/>
          <w:color w:val="auto"/>
        </w:rPr>
      </w:pPr>
      <w:r>
        <w:rPr>
          <w:rFonts w:ascii="Times New Roman" w:cs="Times New Roman" w:eastAsia="Times New Roman" w:hAnsi="Times New Roman"/>
          <w:sz w:val="22"/>
          <w:szCs w:val="22"/>
          <w:color w:val="auto"/>
        </w:rPr>
        <w:t>We will not receive any of the proceeds from the sale of the securities by the Selling Securityholder. We will receive proceeds from Warrants exercised in the event that such Warrants are exercised for cash. The aggregate proceeds to the Selling Securityholder will be the purchase price of the securities less any discounts and commissions borne by the Selling Securityholder.</w:t>
      </w:r>
    </w:p>
    <w:p>
      <w:pPr>
        <w:spacing w:after="0" w:line="95" w:lineRule="exact"/>
        <w:rPr>
          <w:sz w:val="20"/>
          <w:szCs w:val="20"/>
          <w:color w:val="auto"/>
        </w:rPr>
      </w:pPr>
    </w:p>
    <w:p>
      <w:pPr>
        <w:jc w:val="both"/>
        <w:ind w:firstLine="358"/>
        <w:spacing w:after="0" w:line="256" w:lineRule="auto"/>
        <w:rPr>
          <w:sz w:val="20"/>
          <w:szCs w:val="20"/>
          <w:color w:val="auto"/>
        </w:rPr>
      </w:pPr>
      <w:r>
        <w:rPr>
          <w:rFonts w:ascii="Times New Roman" w:cs="Times New Roman" w:eastAsia="Times New Roman" w:hAnsi="Times New Roman"/>
          <w:sz w:val="22"/>
          <w:szCs w:val="22"/>
          <w:color w:val="auto"/>
        </w:rPr>
        <w:t>The securities beneficially owned by the Selling Securityholder covered by this prospectus may be offered and sold from time to time by the Selling Securityholder. The term “Selling Securityholder” includes donees, pledgees, transferees or other successors in interest selling securities received after the date of this prospectus from the Selling Securityholder as a gift, pledge, partnership distribution or other transfer. The Selling Securityholder will act independently of us in making decisions with respect to the timing, manner and size of each sale. Such sales may be made on one or more exchanges or in the over-the-counter market or otherwise. These sales may be at fixed prices, at prevailing market prices at the time of sale, at prices related to the prevailing market price, at varying prices determined at the time of sale, or at negotiated prices.</w:t>
      </w:r>
    </w:p>
    <w:p>
      <w:pPr>
        <w:spacing w:after="0" w:line="109" w:lineRule="exact"/>
        <w:rPr>
          <w:sz w:val="20"/>
          <w:szCs w:val="20"/>
          <w:color w:val="auto"/>
        </w:rPr>
      </w:pPr>
    </w:p>
    <w:p>
      <w:pPr>
        <w:jc w:val="both"/>
        <w:ind w:right="20" w:firstLine="358"/>
        <w:spacing w:after="0" w:line="271" w:lineRule="auto"/>
        <w:rPr>
          <w:sz w:val="20"/>
          <w:szCs w:val="20"/>
          <w:color w:val="auto"/>
        </w:rPr>
      </w:pPr>
      <w:r>
        <w:rPr>
          <w:rFonts w:ascii="Times New Roman" w:cs="Times New Roman" w:eastAsia="Times New Roman" w:hAnsi="Times New Roman"/>
          <w:sz w:val="22"/>
          <w:szCs w:val="22"/>
          <w:color w:val="auto"/>
        </w:rPr>
        <w:t>The Selling Securityholder may sell its securities by one or more of, or a combination of, the following methods:</w:t>
      </w:r>
    </w:p>
    <w:p>
      <w:pPr>
        <w:spacing w:after="0" w:line="63" w:lineRule="exact"/>
        <w:rPr>
          <w:sz w:val="20"/>
          <w:szCs w:val="20"/>
          <w:color w:val="auto"/>
        </w:rPr>
      </w:pPr>
    </w:p>
    <w:p>
      <w:pPr>
        <w:ind w:left="1460" w:hanging="186"/>
        <w:spacing w:after="0" w:line="284" w:lineRule="auto"/>
        <w:tabs>
          <w:tab w:leader="none" w:pos="1451" w:val="left"/>
        </w:tabs>
        <w:numPr>
          <w:ilvl w:val="0"/>
          <w:numId w:val="96"/>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purchases by a broker-dealer as principal and resale by such broker-dealer for its own account pursuant to this prospectus;</w:t>
      </w:r>
    </w:p>
    <w:p>
      <w:pPr>
        <w:spacing w:after="0" w:line="35" w:lineRule="exact"/>
        <w:rPr>
          <w:rFonts w:ascii="Times New Roman" w:cs="Times New Roman" w:eastAsia="Times New Roman" w:hAnsi="Times New Roman"/>
          <w:sz w:val="18"/>
          <w:szCs w:val="18"/>
          <w:color w:val="231F1F"/>
        </w:rPr>
      </w:pPr>
    </w:p>
    <w:p>
      <w:pPr>
        <w:ind w:left="1440" w:hanging="166"/>
        <w:spacing w:after="0"/>
        <w:tabs>
          <w:tab w:leader="none" w:pos="1440" w:val="left"/>
        </w:tabs>
        <w:numPr>
          <w:ilvl w:val="0"/>
          <w:numId w:val="96"/>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ordinary brokerage transactions and transactions in which the broker solicits purchasers;</w:t>
      </w:r>
    </w:p>
    <w:p>
      <w:pPr>
        <w:spacing w:after="0" w:line="125" w:lineRule="exact"/>
        <w:rPr>
          <w:rFonts w:ascii="Times New Roman" w:cs="Times New Roman" w:eastAsia="Times New Roman" w:hAnsi="Times New Roman"/>
          <w:sz w:val="18"/>
          <w:szCs w:val="18"/>
          <w:color w:val="231F1F"/>
        </w:rPr>
      </w:pPr>
    </w:p>
    <w:p>
      <w:pPr>
        <w:ind w:left="1460" w:hanging="186"/>
        <w:spacing w:after="0" w:line="284" w:lineRule="auto"/>
        <w:tabs>
          <w:tab w:leader="none" w:pos="1451" w:val="left"/>
        </w:tabs>
        <w:numPr>
          <w:ilvl w:val="0"/>
          <w:numId w:val="96"/>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block trades in which the broker-dealer so engaged will attempt to sell the shares as agent but may position and resell a portion of the block as principal to facilitate the transaction;</w:t>
      </w:r>
    </w:p>
    <w:p>
      <w:pPr>
        <w:spacing w:after="0" w:line="49" w:lineRule="exact"/>
        <w:rPr>
          <w:rFonts w:ascii="Times New Roman" w:cs="Times New Roman" w:eastAsia="Times New Roman" w:hAnsi="Times New Roman"/>
          <w:sz w:val="18"/>
          <w:szCs w:val="18"/>
          <w:color w:val="231F1F"/>
        </w:rPr>
      </w:pPr>
    </w:p>
    <w:p>
      <w:pPr>
        <w:ind w:left="1440" w:hanging="165"/>
        <w:spacing w:after="0"/>
        <w:tabs>
          <w:tab w:leader="none" w:pos="1440" w:val="left"/>
        </w:tabs>
        <w:numPr>
          <w:ilvl w:val="0"/>
          <w:numId w:val="96"/>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an over-the-counter distribution in accordance with the rules of Nasdaq;</w:t>
      </w:r>
    </w:p>
    <w:p>
      <w:pPr>
        <w:spacing w:after="0" w:line="125" w:lineRule="exact"/>
        <w:rPr>
          <w:rFonts w:ascii="Times New Roman" w:cs="Times New Roman" w:eastAsia="Times New Roman" w:hAnsi="Times New Roman"/>
          <w:sz w:val="18"/>
          <w:szCs w:val="18"/>
          <w:color w:val="231F1F"/>
        </w:rPr>
      </w:pPr>
    </w:p>
    <w:p>
      <w:pPr>
        <w:jc w:val="both"/>
        <w:ind w:left="1460" w:hanging="186"/>
        <w:spacing w:after="0" w:line="261" w:lineRule="auto"/>
        <w:tabs>
          <w:tab w:leader="none" w:pos="1451" w:val="left"/>
        </w:tabs>
        <w:numPr>
          <w:ilvl w:val="0"/>
          <w:numId w:val="96"/>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through trading plans entered into by the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33" w:lineRule="exact"/>
        <w:rPr>
          <w:rFonts w:ascii="Times New Roman" w:cs="Times New Roman" w:eastAsia="Times New Roman" w:hAnsi="Times New Roman"/>
          <w:sz w:val="18"/>
          <w:szCs w:val="18"/>
          <w:color w:val="231F1F"/>
        </w:rPr>
      </w:pPr>
    </w:p>
    <w:p>
      <w:pPr>
        <w:ind w:left="1440" w:hanging="165"/>
        <w:spacing w:after="0"/>
        <w:tabs>
          <w:tab w:leader="none" w:pos="1440" w:val="left"/>
        </w:tabs>
        <w:numPr>
          <w:ilvl w:val="0"/>
          <w:numId w:val="96"/>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short sales;</w:t>
      </w:r>
    </w:p>
    <w:p>
      <w:pPr>
        <w:spacing w:after="0" w:line="125" w:lineRule="exact"/>
        <w:rPr>
          <w:rFonts w:ascii="Times New Roman" w:cs="Times New Roman" w:eastAsia="Times New Roman" w:hAnsi="Times New Roman"/>
          <w:sz w:val="18"/>
          <w:szCs w:val="18"/>
          <w:color w:val="231F1F"/>
        </w:rPr>
      </w:pPr>
    </w:p>
    <w:p>
      <w:pPr>
        <w:ind w:left="1460" w:right="880" w:hanging="186"/>
        <w:spacing w:after="0" w:line="271" w:lineRule="auto"/>
        <w:tabs>
          <w:tab w:leader="none" w:pos="1451" w:val="left"/>
        </w:tabs>
        <w:numPr>
          <w:ilvl w:val="0"/>
          <w:numId w:val="96"/>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distribution to employees, members, limited partners or securityholders of the Selling Securityholder;</w:t>
      </w:r>
    </w:p>
    <w:p>
      <w:pPr>
        <w:spacing w:after="0" w:line="22" w:lineRule="exact"/>
        <w:rPr>
          <w:rFonts w:ascii="Times New Roman" w:cs="Times New Roman" w:eastAsia="Times New Roman" w:hAnsi="Times New Roman"/>
          <w:sz w:val="18"/>
          <w:szCs w:val="18"/>
          <w:color w:val="231F1F"/>
        </w:rPr>
      </w:pPr>
    </w:p>
    <w:p>
      <w:pPr>
        <w:ind w:left="1460" w:right="240" w:hanging="186"/>
        <w:spacing w:after="0" w:line="271" w:lineRule="auto"/>
        <w:tabs>
          <w:tab w:leader="none" w:pos="1451" w:val="left"/>
        </w:tabs>
        <w:numPr>
          <w:ilvl w:val="0"/>
          <w:numId w:val="96"/>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through the writing or settlement of options or other hedging transaction, whether through an options exchange or otherwise;</w:t>
      </w:r>
    </w:p>
    <w:p>
      <w:pPr>
        <w:spacing w:after="0" w:line="36" w:lineRule="exact"/>
        <w:rPr>
          <w:rFonts w:ascii="Times New Roman" w:cs="Times New Roman" w:eastAsia="Times New Roman" w:hAnsi="Times New Roman"/>
          <w:sz w:val="18"/>
          <w:szCs w:val="18"/>
          <w:color w:val="231F1F"/>
        </w:rPr>
      </w:pPr>
    </w:p>
    <w:p>
      <w:pPr>
        <w:ind w:left="1440" w:hanging="165"/>
        <w:spacing w:after="0"/>
        <w:tabs>
          <w:tab w:leader="none" w:pos="1440" w:val="left"/>
        </w:tabs>
        <w:numPr>
          <w:ilvl w:val="0"/>
          <w:numId w:val="96"/>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by pledge to secured debts and other obligations;</w:t>
      </w:r>
    </w:p>
    <w:p>
      <w:pPr>
        <w:sectPr>
          <w:pgSz w:w="11900" w:h="16838" w:orient="portrait"/>
          <w:cols w:equalWidth="0" w:num="1">
            <w:col w:w="9720"/>
          </w:cols>
          <w:pgMar w:left="1400" w:top="1440" w:right="779" w:bottom="1440" w:gutter="0" w:footer="0" w:header="0"/>
        </w:sectPr>
      </w:pPr>
    </w:p>
    <w:bookmarkStart w:id="113" w:name="page114"/>
    <w:bookmarkEnd w:id="113"/>
    <w:p>
      <w:pPr>
        <w:spacing w:after="0" w:line="23" w:lineRule="exact"/>
        <w:rPr>
          <w:sz w:val="20"/>
          <w:szCs w:val="20"/>
          <w:color w:val="auto"/>
        </w:rPr>
      </w:pPr>
    </w:p>
    <w:p>
      <w:pPr>
        <w:ind w:left="1440" w:hanging="165"/>
        <w:spacing w:after="0"/>
        <w:tabs>
          <w:tab w:leader="none" w:pos="1440" w:val="left"/>
        </w:tabs>
        <w:numPr>
          <w:ilvl w:val="0"/>
          <w:numId w:val="97"/>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delayed delivery arrangements;</w:t>
      </w:r>
    </w:p>
    <w:p>
      <w:pPr>
        <w:spacing w:after="0" w:line="111" w:lineRule="exact"/>
        <w:rPr>
          <w:rFonts w:ascii="Times New Roman" w:cs="Times New Roman" w:eastAsia="Times New Roman" w:hAnsi="Times New Roman"/>
          <w:sz w:val="18"/>
          <w:szCs w:val="18"/>
          <w:color w:val="231F1F"/>
        </w:rPr>
      </w:pPr>
    </w:p>
    <w:p>
      <w:pPr>
        <w:ind w:left="1440" w:hanging="165"/>
        <w:spacing w:after="0"/>
        <w:tabs>
          <w:tab w:leader="none" w:pos="1440" w:val="left"/>
        </w:tabs>
        <w:numPr>
          <w:ilvl w:val="0"/>
          <w:numId w:val="97"/>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to or through underwriters or broker-dealers;</w:t>
      </w:r>
    </w:p>
    <w:p>
      <w:pPr>
        <w:spacing w:after="0" w:line="111" w:lineRule="exact"/>
        <w:rPr>
          <w:rFonts w:ascii="Times New Roman" w:cs="Times New Roman" w:eastAsia="Times New Roman" w:hAnsi="Times New Roman"/>
          <w:sz w:val="18"/>
          <w:szCs w:val="18"/>
          <w:color w:val="231F1F"/>
        </w:rPr>
      </w:pPr>
    </w:p>
    <w:p>
      <w:pPr>
        <w:jc w:val="both"/>
        <w:ind w:left="1460" w:hanging="186"/>
        <w:spacing w:after="0" w:line="245" w:lineRule="auto"/>
        <w:tabs>
          <w:tab w:leader="none" w:pos="1451" w:val="left"/>
        </w:tabs>
        <w:numPr>
          <w:ilvl w:val="0"/>
          <w:numId w:val="97"/>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w:t>
      </w:r>
    </w:p>
    <w:p>
      <w:pPr>
        <w:spacing w:after="0" w:line="3" w:lineRule="exact"/>
        <w:rPr>
          <w:rFonts w:ascii="Times New Roman" w:cs="Times New Roman" w:eastAsia="Times New Roman" w:hAnsi="Times New Roman"/>
          <w:sz w:val="18"/>
          <w:szCs w:val="18"/>
          <w:color w:val="231F1F"/>
        </w:rPr>
      </w:pPr>
    </w:p>
    <w:p>
      <w:pPr>
        <w:ind w:left="1460"/>
        <w:spacing w:after="0"/>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on an exchange or other similar offerings through sales agents;</w:t>
      </w:r>
    </w:p>
    <w:p>
      <w:pPr>
        <w:spacing w:after="0" w:line="101" w:lineRule="exact"/>
        <w:rPr>
          <w:rFonts w:ascii="Times New Roman" w:cs="Times New Roman" w:eastAsia="Times New Roman" w:hAnsi="Times New Roman"/>
          <w:sz w:val="18"/>
          <w:szCs w:val="18"/>
          <w:color w:val="231F1F"/>
        </w:rPr>
      </w:pPr>
    </w:p>
    <w:p>
      <w:pPr>
        <w:ind w:left="1440" w:hanging="165"/>
        <w:spacing w:after="0"/>
        <w:tabs>
          <w:tab w:leader="none" w:pos="1440" w:val="left"/>
        </w:tabs>
        <w:numPr>
          <w:ilvl w:val="0"/>
          <w:numId w:val="97"/>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in privately negotiated transactions;</w:t>
      </w:r>
    </w:p>
    <w:p>
      <w:pPr>
        <w:spacing w:after="0" w:line="111" w:lineRule="exact"/>
        <w:rPr>
          <w:rFonts w:ascii="Times New Roman" w:cs="Times New Roman" w:eastAsia="Times New Roman" w:hAnsi="Times New Roman"/>
          <w:sz w:val="18"/>
          <w:szCs w:val="18"/>
          <w:color w:val="231F1F"/>
        </w:rPr>
      </w:pPr>
    </w:p>
    <w:p>
      <w:pPr>
        <w:ind w:left="1440" w:hanging="165"/>
        <w:spacing w:after="0"/>
        <w:tabs>
          <w:tab w:leader="none" w:pos="1440" w:val="left"/>
        </w:tabs>
        <w:numPr>
          <w:ilvl w:val="0"/>
          <w:numId w:val="97"/>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in options transactions;</w:t>
      </w:r>
    </w:p>
    <w:p>
      <w:pPr>
        <w:spacing w:after="0" w:line="125" w:lineRule="exact"/>
        <w:rPr>
          <w:rFonts w:ascii="Times New Roman" w:cs="Times New Roman" w:eastAsia="Times New Roman" w:hAnsi="Times New Roman"/>
          <w:sz w:val="18"/>
          <w:szCs w:val="18"/>
          <w:color w:val="231F1F"/>
        </w:rPr>
      </w:pPr>
    </w:p>
    <w:p>
      <w:pPr>
        <w:ind w:left="1440" w:hanging="165"/>
        <w:spacing w:after="0"/>
        <w:tabs>
          <w:tab w:leader="none" w:pos="1440" w:val="left"/>
        </w:tabs>
        <w:numPr>
          <w:ilvl w:val="0"/>
          <w:numId w:val="97"/>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through a combination of any of the above methods of sale; or</w:t>
      </w:r>
    </w:p>
    <w:p>
      <w:pPr>
        <w:spacing w:after="0" w:line="111" w:lineRule="exact"/>
        <w:rPr>
          <w:rFonts w:ascii="Times New Roman" w:cs="Times New Roman" w:eastAsia="Times New Roman" w:hAnsi="Times New Roman"/>
          <w:sz w:val="18"/>
          <w:szCs w:val="18"/>
          <w:color w:val="231F1F"/>
        </w:rPr>
      </w:pPr>
    </w:p>
    <w:p>
      <w:pPr>
        <w:ind w:left="1440" w:hanging="165"/>
        <w:spacing w:after="0"/>
        <w:tabs>
          <w:tab w:leader="none" w:pos="1440" w:val="left"/>
        </w:tabs>
        <w:numPr>
          <w:ilvl w:val="0"/>
          <w:numId w:val="97"/>
        </w:numPr>
        <w:rPr>
          <w:rFonts w:ascii="Times New Roman" w:cs="Times New Roman" w:eastAsia="Times New Roman" w:hAnsi="Times New Roman"/>
          <w:sz w:val="18"/>
          <w:szCs w:val="18"/>
          <w:color w:val="231F1F"/>
        </w:rPr>
      </w:pPr>
      <w:r>
        <w:rPr>
          <w:rFonts w:ascii="Times New Roman" w:cs="Times New Roman" w:eastAsia="Times New Roman" w:hAnsi="Times New Roman"/>
          <w:sz w:val="22"/>
          <w:szCs w:val="22"/>
          <w:color w:val="auto"/>
        </w:rPr>
        <w:t>any other method permitted pursuant to applicable law.</w:t>
      </w:r>
    </w:p>
    <w:p>
      <w:pPr>
        <w:spacing w:after="0" w:line="139" w:lineRule="exact"/>
        <w:rPr>
          <w:sz w:val="20"/>
          <w:szCs w:val="20"/>
          <w:color w:val="auto"/>
        </w:rPr>
      </w:pPr>
    </w:p>
    <w:p>
      <w:pPr>
        <w:jc w:val="both"/>
        <w:ind w:firstLine="358"/>
        <w:spacing w:after="0" w:line="271" w:lineRule="auto"/>
        <w:rPr>
          <w:sz w:val="20"/>
          <w:szCs w:val="20"/>
          <w:color w:val="auto"/>
        </w:rPr>
      </w:pPr>
      <w:r>
        <w:rPr>
          <w:rFonts w:ascii="Times New Roman" w:cs="Times New Roman" w:eastAsia="Times New Roman" w:hAnsi="Times New Roman"/>
          <w:sz w:val="22"/>
          <w:szCs w:val="22"/>
          <w:color w:val="auto"/>
        </w:rPr>
        <w:t>In addition, any securities that qualify for sale pursuant to Rule 144 may be sold under Rule 144 rather than pursuant to this prospectus.</w:t>
      </w:r>
    </w:p>
    <w:p>
      <w:pPr>
        <w:spacing w:after="0" w:line="104" w:lineRule="exact"/>
        <w:rPr>
          <w:sz w:val="20"/>
          <w:szCs w:val="20"/>
          <w:color w:val="auto"/>
        </w:rPr>
      </w:pPr>
    </w:p>
    <w:p>
      <w:pPr>
        <w:jc w:val="both"/>
        <w:ind w:firstLine="358"/>
        <w:spacing w:after="0" w:line="245" w:lineRule="auto"/>
        <w:rPr>
          <w:sz w:val="20"/>
          <w:szCs w:val="20"/>
          <w:color w:val="auto"/>
        </w:rPr>
      </w:pPr>
      <w:r>
        <w:rPr>
          <w:rFonts w:ascii="Times New Roman" w:cs="Times New Roman" w:eastAsia="Times New Roman" w:hAnsi="Times New Roman"/>
          <w:sz w:val="22"/>
          <w:szCs w:val="22"/>
          <w:color w:val="auto"/>
        </w:rPr>
        <w:t>To the extent required, this prospectus may be amended or supplemented from time to time to describe a specific plan of distribution. In connection with distributions of the securities or otherwise, the Selling Securityholder may enter into hedging transactions with broker-dealers or other financial institutions. In connection with such transactions, broker-dealers or other financial institutions may engage in short sales of the securities in the course of hedging the positions they assume with the Selling Securityholder. The Selling Securityholder may also sell the securities short and redeliver the securities to close out such short positions. The Selling Securityholder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2" w:lineRule="exact"/>
        <w:rPr>
          <w:sz w:val="20"/>
          <w:szCs w:val="20"/>
          <w:color w:val="auto"/>
        </w:rPr>
      </w:pPr>
    </w:p>
    <w:p>
      <w:pPr>
        <w:jc w:val="both"/>
        <w:ind w:firstLine="358"/>
        <w:spacing w:after="0" w:line="263" w:lineRule="auto"/>
        <w:rPr>
          <w:sz w:val="20"/>
          <w:szCs w:val="20"/>
          <w:color w:val="auto"/>
        </w:rPr>
      </w:pPr>
      <w:r>
        <w:rPr>
          <w:rFonts w:ascii="Times New Roman" w:cs="Times New Roman" w:eastAsia="Times New Roman" w:hAnsi="Times New Roman"/>
          <w:sz w:val="22"/>
          <w:szCs w:val="22"/>
          <w:color w:val="auto"/>
        </w:rPr>
        <w:t>In effecting sales, broker-dealers or agents engaged by the Selling Securityholder may arrange for other broker-dealers to participate. Broker-dealers or agents may receive commissions, discounts or concessions from the Selling Securityholder in amounts to be negotiated immediately prior to the sale.</w:t>
      </w:r>
    </w:p>
    <w:p>
      <w:pPr>
        <w:spacing w:after="0" w:line="86" w:lineRule="exact"/>
        <w:rPr>
          <w:sz w:val="20"/>
          <w:szCs w:val="20"/>
          <w:color w:val="auto"/>
        </w:rPr>
      </w:pPr>
    </w:p>
    <w:p>
      <w:pPr>
        <w:jc w:val="both"/>
        <w:ind w:firstLine="358"/>
        <w:spacing w:after="0" w:line="271" w:lineRule="auto"/>
        <w:rPr>
          <w:sz w:val="20"/>
          <w:szCs w:val="20"/>
          <w:color w:val="auto"/>
        </w:rPr>
      </w:pPr>
      <w:r>
        <w:rPr>
          <w:rFonts w:ascii="Times New Roman" w:cs="Times New Roman" w:eastAsia="Times New Roman" w:hAnsi="Times New Roman"/>
          <w:sz w:val="22"/>
          <w:szCs w:val="22"/>
          <w:color w:val="auto"/>
        </w:rPr>
        <w:t>In connection with any sales of securities offered hereunder, the Selling Securityholder and any underwriters, agents, brokers or dealers participating in such sales may be deemed to be</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“underwriters” within the meaning of the Securities Act. Any profits realized by the Selling Securityholder and the compensation of any broker-dealer may be deemed to be underwriting discounts and commissions. If the Selling Securityholder is an “underwriter” within the meaning of Section 2(11) of the Securities Act, then the Selling Securityholder will be subject to the prospectus delivery requirements of the Securities Act. 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w:t>
      </w:r>
    </w:p>
    <w:p>
      <w:pPr>
        <w:sectPr>
          <w:pgSz w:w="11900" w:h="16838" w:orient="portrait"/>
          <w:cols w:equalWidth="0" w:num="1">
            <w:col w:w="9720"/>
          </w:cols>
          <w:pgMar w:left="1400" w:top="1440" w:right="779" w:bottom="1440" w:gutter="0" w:footer="0" w:header="0"/>
        </w:sectPr>
      </w:pPr>
    </w:p>
    <w:bookmarkStart w:id="114" w:name="page115"/>
    <w:bookmarkEnd w:id="114"/>
    <w:p>
      <w:pPr>
        <w:jc w:val="both"/>
        <w:spacing w:after="0" w:line="271" w:lineRule="auto"/>
        <w:rPr>
          <w:sz w:val="20"/>
          <w:szCs w:val="20"/>
          <w:color w:val="auto"/>
        </w:rPr>
      </w:pPr>
      <w:r>
        <w:rPr>
          <w:rFonts w:ascii="Times New Roman" w:cs="Times New Roman" w:eastAsia="Times New Roman" w:hAnsi="Times New Roman"/>
          <w:sz w:val="22"/>
          <w:szCs w:val="22"/>
          <w:color w:val="auto"/>
        </w:rPr>
        <w:t>item constituting compensation, any discount, commission or concession allowed or reallowed or paid to any dealer, and the proposed selling price to the public.</w:t>
      </w:r>
    </w:p>
    <w:p>
      <w:pPr>
        <w:spacing w:after="0" w:line="77" w:lineRule="exact"/>
        <w:rPr>
          <w:sz w:val="20"/>
          <w:szCs w:val="20"/>
          <w:color w:val="auto"/>
        </w:rPr>
      </w:pPr>
    </w:p>
    <w:p>
      <w:pPr>
        <w:jc w:val="both"/>
        <w:ind w:firstLine="358"/>
        <w:spacing w:after="0" w:line="256" w:lineRule="auto"/>
        <w:rPr>
          <w:sz w:val="20"/>
          <w:szCs w:val="20"/>
          <w:color w:val="auto"/>
        </w:rPr>
      </w:pPr>
      <w:r>
        <w:rPr>
          <w:rFonts w:ascii="Times New Roman" w:cs="Times New Roman" w:eastAsia="Times New Roman" w:hAnsi="Times New Roman"/>
          <w:sz w:val="22"/>
          <w:szCs w:val="22"/>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95" w:lineRule="exact"/>
        <w:rPr>
          <w:sz w:val="20"/>
          <w:szCs w:val="20"/>
          <w:color w:val="auto"/>
        </w:rPr>
      </w:pPr>
    </w:p>
    <w:p>
      <w:pPr>
        <w:jc w:val="both"/>
        <w:ind w:firstLine="358"/>
        <w:spacing w:after="0" w:line="251" w:lineRule="auto"/>
        <w:rPr>
          <w:sz w:val="20"/>
          <w:szCs w:val="20"/>
          <w:color w:val="auto"/>
        </w:rPr>
      </w:pPr>
      <w:r>
        <w:rPr>
          <w:rFonts w:ascii="Times New Roman" w:cs="Times New Roman" w:eastAsia="Times New Roman" w:hAnsi="Times New Roman"/>
          <w:sz w:val="22"/>
          <w:szCs w:val="22"/>
          <w:color w:val="auto"/>
        </w:rPr>
        <w:t>We have advised the Selling Securityholder that the anti-manipulation rules of Regulation M under the Exchange Act may apply to sales of securities in the market and to the activities of the Selling Securityholder and its affiliates. In addition, we will make copies of this prospectus available to the Selling Securityholder for the purpose of satisfying the prospectus delivery requirements of the Securities Act. The Selling Securityholder may indemnify any broker-dealer that participates in transactions involving the sale of the securities against certain liabilities, including liabilities arising under the Securities Act.</w:t>
      </w:r>
    </w:p>
    <w:p>
      <w:pPr>
        <w:spacing w:after="0" w:line="100" w:lineRule="exact"/>
        <w:rPr>
          <w:sz w:val="20"/>
          <w:szCs w:val="20"/>
          <w:color w:val="auto"/>
        </w:rPr>
      </w:pPr>
    </w:p>
    <w:p>
      <w:pPr>
        <w:jc w:val="both"/>
        <w:ind w:firstLine="358"/>
        <w:spacing w:after="0" w:line="267" w:lineRule="auto"/>
        <w:rPr>
          <w:sz w:val="20"/>
          <w:szCs w:val="20"/>
          <w:color w:val="auto"/>
        </w:rPr>
      </w:pPr>
      <w:r>
        <w:rPr>
          <w:rFonts w:ascii="Times New Roman" w:cs="Times New Roman" w:eastAsia="Times New Roman" w:hAnsi="Times New Roman"/>
          <w:sz w:val="21"/>
          <w:szCs w:val="21"/>
          <w:color w:val="auto"/>
        </w:rPr>
        <w:t>A holder of Warrants may exercise their Warrants in accordance with the Warrant on or before the expiration date set forth therein by surrendering, at the office of the Warrant Agent, Continental Stock Transfer</w:t>
      </w:r>
    </w:p>
    <w:p>
      <w:pPr>
        <w:spacing w:after="0" w:line="2" w:lineRule="exact"/>
        <w:rPr>
          <w:sz w:val="20"/>
          <w:szCs w:val="20"/>
          <w:color w:val="auto"/>
        </w:rPr>
      </w:pPr>
    </w:p>
    <w:p>
      <w:pPr>
        <w:jc w:val="both"/>
        <w:ind w:firstLine="8"/>
        <w:spacing w:after="0" w:line="251" w:lineRule="auto"/>
        <w:tabs>
          <w:tab w:leader="none" w:pos="2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 Company, the certificate evidencing such Warrant, with the form of election to purchase set forth thereon, properly completed and duly executed, accompanied by full payment of the exercise price, subject to any applicable provisions relating to cashless exercises in accordance with the Warrant.</w:t>
      </w:r>
    </w:p>
    <w:p>
      <w:pPr>
        <w:spacing w:after="0" w:line="112" w:lineRule="exact"/>
        <w:rPr>
          <w:sz w:val="20"/>
          <w:szCs w:val="20"/>
          <w:color w:val="auto"/>
        </w:rPr>
      </w:pPr>
    </w:p>
    <w:p>
      <w:pPr>
        <w:jc w:val="both"/>
        <w:ind w:firstLine="358"/>
        <w:spacing w:after="0" w:line="295" w:lineRule="auto"/>
        <w:rPr>
          <w:sz w:val="20"/>
          <w:szCs w:val="20"/>
          <w:color w:val="auto"/>
        </w:rPr>
      </w:pPr>
      <w:r>
        <w:rPr>
          <w:rFonts w:ascii="Times New Roman" w:cs="Times New Roman" w:eastAsia="Times New Roman" w:hAnsi="Times New Roman"/>
          <w:sz w:val="21"/>
          <w:szCs w:val="21"/>
          <w:color w:val="auto"/>
        </w:rPr>
        <w:t>We have agreed to indemnify the Selling Securityholder against certain liabilities, including liabilities under the Securities Act and state securities laws, relating to the registration of the shares offered by this prospectus.</w:t>
      </w:r>
    </w:p>
    <w:p>
      <w:pPr>
        <w:spacing w:after="0" w:line="68" w:lineRule="exact"/>
        <w:rPr>
          <w:sz w:val="20"/>
          <w:szCs w:val="20"/>
          <w:color w:val="auto"/>
        </w:rPr>
      </w:pPr>
    </w:p>
    <w:p>
      <w:pPr>
        <w:jc w:val="both"/>
        <w:ind w:firstLine="358"/>
        <w:spacing w:after="0" w:line="251" w:lineRule="auto"/>
        <w:rPr>
          <w:sz w:val="20"/>
          <w:szCs w:val="20"/>
          <w:color w:val="auto"/>
        </w:rPr>
      </w:pPr>
      <w:r>
        <w:rPr>
          <w:rFonts w:ascii="Times New Roman" w:cs="Times New Roman" w:eastAsia="Times New Roman" w:hAnsi="Times New Roman"/>
          <w:sz w:val="22"/>
          <w:szCs w:val="22"/>
          <w:color w:val="auto"/>
        </w:rPr>
        <w:t>Pursuant to the Registration Rights Agreement, we have agreed to keep the registration statement of which this prospectus constitutes a part effective until such time as (A) such shares have been disposed of pursuant to an effective registration statement, (B) such shares are sold pursuant to Rule 144, (C) the Selling Securityholder is able to dispose of all of the shares without restriction or limitation pursuant to Rule 144 and all restrictive legends and stop transfer instructions have been removed with respect to such shares or (D) the expiration date of the Warrant.</w:t>
      </w:r>
    </w:p>
    <w:p>
      <w:pPr>
        <w:sectPr>
          <w:pgSz w:w="11900" w:h="16838" w:orient="portrait"/>
          <w:cols w:equalWidth="0" w:num="1">
            <w:col w:w="9720"/>
          </w:cols>
          <w:pgMar w:left="1400" w:top="1422" w:right="779" w:bottom="1440" w:gutter="0" w:footer="0" w:header="0"/>
        </w:sectPr>
      </w:pPr>
    </w:p>
    <w:bookmarkStart w:id="115" w:name="page116"/>
    <w:bookmarkEnd w:id="115"/>
    <w:p>
      <w:pPr>
        <w:spacing w:after="0" w:line="200" w:lineRule="exact"/>
        <w:rPr>
          <w:sz w:val="20"/>
          <w:szCs w:val="20"/>
          <w:color w:val="auto"/>
        </w:rPr>
      </w:pPr>
    </w:p>
    <w:p>
      <w:pPr>
        <w:spacing w:after="0" w:line="27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WARRANT CERTIFICATE</w:t>
      </w:r>
    </w:p>
    <w:p>
      <w:pPr>
        <w:spacing w:after="0" w:line="224" w:lineRule="exact"/>
        <w:rPr>
          <w:sz w:val="20"/>
          <w:szCs w:val="20"/>
          <w:color w:val="auto"/>
        </w:rPr>
      </w:pPr>
    </w:p>
    <w:p>
      <w:pPr>
        <w:jc w:val="both"/>
        <w:ind w:right="20" w:firstLine="648"/>
        <w:spacing w:after="0" w:line="248" w:lineRule="auto"/>
        <w:rPr>
          <w:sz w:val="20"/>
          <w:szCs w:val="20"/>
          <w:color w:val="auto"/>
        </w:rPr>
      </w:pPr>
      <w:r>
        <w:rPr>
          <w:rFonts w:ascii="Times New Roman" w:cs="Times New Roman" w:eastAsia="Times New Roman" w:hAnsi="Times New Roman"/>
          <w:sz w:val="22"/>
          <w:szCs w:val="22"/>
          <w:color w:val="auto"/>
        </w:rPr>
        <w:t>THIS WARRANT CERTIFICATE AND THE SECURITIES ISSUABLE UPON EXERCISE OF THIS WARRANT CERTIFICATE HAVE NOT BEEN REGISTERED UNDER THE SECURITIES ACT OF 1933, AS AMENDED (THE “SECURITIES ACT”), OR QUALIFIED UNDER ANY STATE OR FOREIGN SECURITIES LAWS AND MAY NOT BE OFFERED FOR SALE, SOLD, PLEDGED, HYPOTHECATED OR OTHERWISE TRANSFERRED OR ASSIGNED UNLESS (I) A REGISTRATION STATEMENT COVERING THE OFFER AND SALE OF SUCH SECURITIES IS EFFECTIVE UNDER THE SECURITIES ACT AND IS QUALIFIED UNDER APPLICABLE STATE AND FOREIGN LAW OR (II) THE TRANSACTION IS EXEMPT FROM THE REGISTRATION AND PROSPECTUS DELIVERY REQUIREMENTS UNDER THE SECURITIES ACT AND THE QUALIFICATION REQUIREMENTS UNDER APPLICABLE STATE AND FOREIGN LAW AND, IN EACH CASE, IF THE COMPANY REQUESTS, AN OPINION SATISFACTORY TO THE COMPANY TO SUCH EFFECT HAS BEEN RENDERED BY COUNSEL.</w:t>
      </w:r>
    </w:p>
    <w:p>
      <w:pPr>
        <w:spacing w:after="0" w:line="283" w:lineRule="exact"/>
        <w:rPr>
          <w:sz w:val="20"/>
          <w:szCs w:val="20"/>
          <w:color w:val="auto"/>
        </w:rPr>
      </w:pPr>
    </w:p>
    <w:p>
      <w:pPr>
        <w:ind w:right="3760"/>
        <w:spacing w:after="0" w:line="394" w:lineRule="auto"/>
        <w:rPr>
          <w:sz w:val="20"/>
          <w:szCs w:val="20"/>
          <w:color w:val="auto"/>
        </w:rPr>
      </w:pPr>
      <w:r>
        <w:rPr>
          <w:rFonts w:ascii="Times New Roman" w:cs="Times New Roman" w:eastAsia="Times New Roman" w:hAnsi="Times New Roman"/>
          <w:sz w:val="22"/>
          <w:szCs w:val="22"/>
          <w:color w:val="auto"/>
        </w:rPr>
        <w:t>Warrant Shares Issuable: 130,805 Common Shares Issue Date: April 30, 2024</w:t>
      </w: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FOR VALUE RECEIVED, TRISALUS LIFE SCIENCES,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certifies that ORBIMED ROYALTY &amp; CREDIT OPPORTUNITIES IV, LP, a Delaware limited partnership (the “</w:t>
      </w:r>
      <w:r>
        <w:rPr>
          <w:rFonts w:ascii="Times New Roman" w:cs="Times New Roman" w:eastAsia="Times New Roman" w:hAnsi="Times New Roman"/>
          <w:sz w:val="22"/>
          <w:szCs w:val="22"/>
          <w:b w:val="1"/>
          <w:bCs w:val="1"/>
          <w:i w:val="1"/>
          <w:iCs w:val="1"/>
          <w:color w:val="auto"/>
        </w:rPr>
        <w:t>Initial Holder</w:t>
      </w:r>
      <w:r>
        <w:rPr>
          <w:rFonts w:ascii="Times New Roman" w:cs="Times New Roman" w:eastAsia="Times New Roman" w:hAnsi="Times New Roman"/>
          <w:sz w:val="22"/>
          <w:szCs w:val="22"/>
          <w:color w:val="auto"/>
        </w:rPr>
        <w:t>” and, together with its successors and permitted transferees and assigns, a “</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is entitled to purchase, at the per share Exercise Price, up to One Hundred Thirty Thousand, Eight Hundred and Five (130,805) fully paid and nonassessable Common Shares (as subject to adjustment hereunder, the “</w:t>
      </w:r>
      <w:r>
        <w:rPr>
          <w:rFonts w:ascii="Times New Roman" w:cs="Times New Roman" w:eastAsia="Times New Roman" w:hAnsi="Times New Roman"/>
          <w:sz w:val="22"/>
          <w:szCs w:val="22"/>
          <w:b w:val="1"/>
          <w:bCs w:val="1"/>
          <w:i w:val="1"/>
          <w:iCs w:val="1"/>
          <w:color w:val="auto"/>
        </w:rPr>
        <w:t>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all subject to the terms, conditions and adjustments set forth below in this Warrant Certificate. Certain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capitalized terms used herein are defined in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This Warrant Certificate has been issued as a condition precedent to the making of loans under and pursuant to the Credit Agreement, dated as of April 30, 2024 (as amended or otherwise modified from time to time, the “</w:t>
      </w:r>
      <w:r>
        <w:rPr>
          <w:rFonts w:ascii="Times New Roman" w:cs="Times New Roman" w:eastAsia="Times New Roman" w:hAnsi="Times New Roman"/>
          <w:sz w:val="22"/>
          <w:szCs w:val="22"/>
          <w:b w:val="1"/>
          <w:bCs w:val="1"/>
          <w:i w:val="1"/>
          <w:iCs w:val="1"/>
          <w:color w:val="auto"/>
        </w:rPr>
        <w:t>Credit Agreement</w:t>
      </w:r>
      <w:r>
        <w:rPr>
          <w:rFonts w:ascii="Times New Roman" w:cs="Times New Roman" w:eastAsia="Times New Roman" w:hAnsi="Times New Roman"/>
          <w:sz w:val="22"/>
          <w:szCs w:val="22"/>
          <w:color w:val="auto"/>
        </w:rPr>
        <w:t>”), among TriSalus Operating Life Sciences, Inc., as borrower, the Company, the lenders party thereto, and OrbiMed Royalty &amp; Credit Opportunities IV, LP, as the administrative agent.</w:t>
      </w:r>
    </w:p>
    <w:p>
      <w:pPr>
        <w:spacing w:after="0" w:line="17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1. Definitions. </w:t>
      </w:r>
      <w:r>
        <w:rPr>
          <w:rFonts w:ascii="Times New Roman" w:cs="Times New Roman" w:eastAsia="Times New Roman" w:hAnsi="Times New Roman"/>
          <w:sz w:val="22"/>
          <w:szCs w:val="22"/>
          <w:color w:val="auto"/>
        </w:rPr>
        <w:t>Capitalized terms used in this Warrant Certificate but not defined herein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ascribed thereto in the Credit Agreement as in effect on the date hereof. The following terms when used herein have the following meanings:</w:t>
      </w:r>
    </w:p>
    <w:p>
      <w:pPr>
        <w:spacing w:after="0" w:line="159"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Aggregate Exercise Price</w:t>
      </w:r>
      <w:r>
        <w:rPr>
          <w:rFonts w:ascii="Times New Roman" w:cs="Times New Roman" w:eastAsia="Times New Roman" w:hAnsi="Times New Roman"/>
          <w:sz w:val="22"/>
          <w:szCs w:val="22"/>
          <w:color w:val="auto"/>
        </w:rPr>
        <w:t xml:space="preserve">” means, with respect to any exercise of this Warrant Certificate for Warrant Shares, an amount equal to the product of (i) the number of Warrant Shares in respect of which this Warrant Certificate is then being exercised pursuant to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multiplied by (ii) the Exercise Price.</w:t>
      </w:r>
    </w:p>
    <w:p>
      <w:pPr>
        <w:sectPr>
          <w:pgSz w:w="11900" w:h="16838" w:orient="portrait"/>
          <w:cols w:equalWidth="0" w:num="1">
            <w:col w:w="10060"/>
          </w:cols>
          <w:pgMar w:left="1400" w:top="1440" w:right="439" w:bottom="1440" w:gutter="0" w:footer="0" w:header="0"/>
        </w:sectPr>
      </w:pPr>
    </w:p>
    <w:bookmarkStart w:id="116" w:name="page117"/>
    <w:bookmarkEnd w:id="116"/>
    <w:p>
      <w:pPr>
        <w:spacing w:after="0" w:line="200" w:lineRule="exact"/>
        <w:rPr>
          <w:sz w:val="20"/>
          <w:szCs w:val="20"/>
          <w:color w:val="auto"/>
        </w:rPr>
      </w:pPr>
    </w:p>
    <w:p>
      <w:pPr>
        <w:spacing w:after="0" w:line="276" w:lineRule="exact"/>
        <w:rPr>
          <w:sz w:val="20"/>
          <w:szCs w:val="20"/>
          <w:color w:val="auto"/>
        </w:rPr>
      </w:pPr>
    </w:p>
    <w:p>
      <w:pPr>
        <w:ind w:left="660" w:right="1380"/>
        <w:spacing w:after="0" w:line="42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Bloomberg</w:t>
      </w:r>
      <w:r>
        <w:rPr>
          <w:rFonts w:ascii="Times New Roman" w:cs="Times New Roman" w:eastAsia="Times New Roman" w:hAnsi="Times New Roman"/>
          <w:sz w:val="22"/>
          <w:szCs w:val="22"/>
          <w:color w:val="auto"/>
        </w:rPr>
        <w:t>” has the meaning set forth within the definition of “VWAP”. “</w:t>
      </w:r>
      <w:r>
        <w:rPr>
          <w:rFonts w:ascii="Times New Roman" w:cs="Times New Roman" w:eastAsia="Times New Roman" w:hAnsi="Times New Roman"/>
          <w:sz w:val="22"/>
          <w:szCs w:val="22"/>
          <w:b w:val="1"/>
          <w:bCs w:val="1"/>
          <w:i w:val="1"/>
          <w:iCs w:val="1"/>
          <w:color w:val="auto"/>
        </w:rPr>
        <w:t>Cashless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Exercise</w:t>
      </w:r>
      <w:r>
        <w:rPr>
          <w:rFonts w:ascii="Times New Roman" w:cs="Times New Roman" w:eastAsia="Times New Roman" w:hAnsi="Times New Roman"/>
          <w:sz w:val="22"/>
          <w:szCs w:val="22"/>
          <w:color w:val="auto"/>
        </w:rPr>
        <w:t>” has the meaning set forth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w:t>
      </w: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Charter</w:t>
      </w:r>
      <w:r>
        <w:rPr>
          <w:rFonts w:ascii="Times New Roman" w:cs="Times New Roman" w:eastAsia="Times New Roman" w:hAnsi="Times New Roman"/>
          <w:sz w:val="22"/>
          <w:szCs w:val="22"/>
          <w:color w:val="auto"/>
        </w:rPr>
        <w:t>” means the Second Amended and Restated Certificate of Incorporation of the Company, as amended as of August 10, 2023.</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Shares</w:t>
      </w:r>
      <w:r>
        <w:rPr>
          <w:rFonts w:ascii="Times New Roman" w:cs="Times New Roman" w:eastAsia="Times New Roman" w:hAnsi="Times New Roman"/>
          <w:sz w:val="22"/>
          <w:szCs w:val="22"/>
          <w:color w:val="auto"/>
        </w:rPr>
        <w:t>” means the Company’s common stock, par value $0.0001 per share. “</w:t>
      </w:r>
      <w:r>
        <w:rPr>
          <w:rFonts w:ascii="Times New Roman" w:cs="Times New Roman" w:eastAsia="Times New Roman" w:hAnsi="Times New Roman"/>
          <w:sz w:val="22"/>
          <w:szCs w:val="22"/>
          <w:b w:val="1"/>
          <w:bCs w:val="1"/>
          <w:i w:val="1"/>
          <w:iCs w:val="1"/>
          <w:color w:val="auto"/>
        </w:rPr>
        <w:t>Common Shares</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Deemed Outstanding</w:t>
      </w:r>
      <w:r>
        <w:rPr>
          <w:rFonts w:ascii="Times New Roman" w:cs="Times New Roman" w:eastAsia="Times New Roman" w:hAnsi="Times New Roman"/>
          <w:sz w:val="22"/>
          <w:szCs w:val="22"/>
          <w:color w:val="auto"/>
        </w:rPr>
        <w:t>” means, at any given time, the sum of (i) the</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number of Common Shares actually outstanding at such time, plus (ii) the number of Common Shares issuable upon exercise of Options actually outstanding at such time, plus (iii) the number of Common Shares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provided that Common Shares Deemed Outstanding at any given time shall not include shares owned or held by or for the account of the Company or any or its wholly owned subsidiaries.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Convertible Securities</w:t>
      </w:r>
      <w:r>
        <w:rPr>
          <w:rFonts w:ascii="Times New Roman" w:cs="Times New Roman" w:eastAsia="Times New Roman" w:hAnsi="Times New Roman"/>
          <w:sz w:val="22"/>
          <w:szCs w:val="22"/>
          <w:color w:val="auto"/>
        </w:rPr>
        <w:t>” means any Capital Securities that, directly or indirectly, are convertible into, exchangeable or settleable for Common Shares, including shares of the Company’s preferred stock that may be issued from time to time.</w:t>
      </w:r>
    </w:p>
    <w:p>
      <w:pPr>
        <w:spacing w:after="0" w:line="258" w:lineRule="exact"/>
        <w:rPr>
          <w:sz w:val="20"/>
          <w:szCs w:val="20"/>
          <w:color w:val="auto"/>
        </w:rPr>
      </w:pPr>
    </w:p>
    <w:p>
      <w:pPr>
        <w:ind w:left="660" w:right="1060"/>
        <w:spacing w:after="0" w:line="4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Credit Agreement</w:t>
      </w:r>
      <w:r>
        <w:rPr>
          <w:rFonts w:ascii="Times New Roman" w:cs="Times New Roman" w:eastAsia="Times New Roman" w:hAnsi="Times New Roman"/>
          <w:sz w:val="21"/>
          <w:szCs w:val="21"/>
          <w:color w:val="auto"/>
        </w:rPr>
        <w:t>” has the meaning set forth in the preamble. “</w:t>
      </w:r>
      <w:r>
        <w:rPr>
          <w:rFonts w:ascii="Times New Roman" w:cs="Times New Roman" w:eastAsia="Times New Roman" w:hAnsi="Times New Roman"/>
          <w:sz w:val="21"/>
          <w:szCs w:val="21"/>
          <w:b w:val="1"/>
          <w:bCs w:val="1"/>
          <w:i w:val="1"/>
          <w:iCs w:val="1"/>
          <w:color w:val="auto"/>
        </w:rPr>
        <w:t>Determination Date</w:t>
      </w:r>
      <w:r>
        <w:rPr>
          <w:rFonts w:ascii="Times New Roman" w:cs="Times New Roman" w:eastAsia="Times New Roman" w:hAnsi="Times New Roman"/>
          <w:sz w:val="21"/>
          <w:szCs w:val="21"/>
          <w:color w:val="auto"/>
        </w:rPr>
        <w:t>” has the meaning set forth in the definition of “VWAP”.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means the Securities Exchange Act of 1934, as amended. “</w:t>
      </w:r>
      <w:r>
        <w:rPr>
          <w:rFonts w:ascii="Times New Roman" w:cs="Times New Roman" w:eastAsia="Times New Roman" w:hAnsi="Times New Roman"/>
          <w:sz w:val="21"/>
          <w:szCs w:val="21"/>
          <w:b w:val="1"/>
          <w:bCs w:val="1"/>
          <w:i w:val="1"/>
          <w:iCs w:val="1"/>
          <w:color w:val="auto"/>
        </w:rPr>
        <w:t>Exercise Certificate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b w:val="1"/>
          <w:bCs w:val="1"/>
          <w:color w:val="auto"/>
        </w:rPr>
        <w:t>Section 3(a)(i)</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Exercise Date</w:t>
      </w:r>
      <w:r>
        <w:rPr>
          <w:rFonts w:ascii="Times New Roman" w:cs="Times New Roman" w:eastAsia="Times New Roman" w:hAnsi="Times New Roman"/>
          <w:sz w:val="22"/>
          <w:szCs w:val="22"/>
          <w:color w:val="auto"/>
        </w:rPr>
        <w:t xml:space="preserve">” means, for any given exercise of this Warrant Certificate, whether in whole or in part, a Business Day on which the conditions to such exercise as set forth in </w:t>
      </w: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color w:val="auto"/>
        </w:rPr>
        <w:t xml:space="preserve"> shall have been satisfied at or prior to 5:00 p.m., New York City time, including, without limitation, the receipt by the Company of the Exercise Certificate.</w:t>
      </w:r>
    </w:p>
    <w:p>
      <w:pPr>
        <w:spacing w:after="0" w:line="17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Exercise Period</w:t>
      </w:r>
      <w:r>
        <w:rPr>
          <w:rFonts w:ascii="Times New Roman" w:cs="Times New Roman" w:eastAsia="Times New Roman" w:hAnsi="Times New Roman"/>
          <w:sz w:val="22"/>
          <w:szCs w:val="22"/>
          <w:color w:val="auto"/>
        </w:rPr>
        <w:t>” means the period from (and including) the Issue Date to (and including) 5:00 p.m., New York City time, on the Expiration Date.</w:t>
      </w:r>
    </w:p>
    <w:p>
      <w:pPr>
        <w:spacing w:after="0" w:line="228" w:lineRule="exact"/>
        <w:rPr>
          <w:sz w:val="20"/>
          <w:szCs w:val="20"/>
          <w:color w:val="auto"/>
        </w:rPr>
      </w:pPr>
    </w:p>
    <w:p>
      <w:pPr>
        <w:ind w:left="660" w:right="340"/>
        <w:spacing w:after="0" w:line="4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Exercise Price</w:t>
      </w:r>
      <w:r>
        <w:rPr>
          <w:rFonts w:ascii="Times New Roman" w:cs="Times New Roman" w:eastAsia="Times New Roman" w:hAnsi="Times New Roman"/>
          <w:sz w:val="22"/>
          <w:szCs w:val="22"/>
          <w:color w:val="auto"/>
        </w:rPr>
        <w:t xml:space="preserve">” means $9.5562, as adjusted from time to time pursuant to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Expiration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means April 30, 2031.</w:t>
      </w:r>
    </w:p>
    <w:p>
      <w:pPr>
        <w:sectPr>
          <w:pgSz w:w="11900" w:h="16838" w:orient="portrait"/>
          <w:cols w:equalWidth="0" w:num="1">
            <w:col w:w="10040"/>
          </w:cols>
          <w:pgMar w:left="1400" w:top="1440" w:right="459" w:bottom="1440" w:gutter="0" w:footer="0" w:header="0"/>
        </w:sectPr>
      </w:pPr>
    </w:p>
    <w:bookmarkStart w:id="117" w:name="page118"/>
    <w:bookmarkEnd w:id="117"/>
    <w:p>
      <w:pPr>
        <w:spacing w:after="0" w:line="1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Fair Market Value</w:t>
      </w:r>
      <w:r>
        <w:rPr>
          <w:rFonts w:ascii="Times New Roman" w:cs="Times New Roman" w:eastAsia="Times New Roman" w:hAnsi="Times New Roman"/>
          <w:sz w:val="21"/>
          <w:szCs w:val="21"/>
          <w:color w:val="auto"/>
        </w:rPr>
        <w:t>” means (i) if the Common Shares are traded on a Trading Market, the VWAP of such Common Shares for such day (provided that if the Fair Market Value is being determined in connection with a Sale of the Company, such Fair Market Value shall be the greater of the amount determined pursuant to this clause (i) and the closing price on the Trading Market on the Trading Day immediately prior to the closing date of the Sale of the Company) or (ii) if at any time the Common Shares are not listed, quoted or otherwise available for trading on any Trading Market (so that no Trading Day shall have occurred), or if VWAP cannot be calculated</w:t>
      </w:r>
    </w:p>
    <w:p>
      <w:pPr>
        <w:spacing w:after="0" w:line="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for the Common Shares for such day for any other reason, the “</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xml:space="preserve">” of such Common Shares shall be the fair market value per share of such Common Shares as determined jointly by the Company and the Holder;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event the Company and Holder are unable to so mutually agree, Fair Market Value shall be determined pursuant to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has the meaning set forth in the preamble.</w:t>
      </w: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Independent Advisor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Initial Holder</w:t>
      </w:r>
      <w:r>
        <w:rPr>
          <w:rFonts w:ascii="Times New Roman" w:cs="Times New Roman" w:eastAsia="Times New Roman" w:hAnsi="Times New Roman"/>
          <w:sz w:val="22"/>
          <w:szCs w:val="22"/>
          <w:color w:val="auto"/>
        </w:rPr>
        <w:t>” has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meaning set forth in the preamble.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Issue Date</w:t>
      </w:r>
      <w:r>
        <w:rPr>
          <w:rFonts w:ascii="Times New Roman" w:cs="Times New Roman" w:eastAsia="Times New Roman" w:hAnsi="Times New Roman"/>
          <w:sz w:val="22"/>
          <w:szCs w:val="22"/>
          <w:color w:val="auto"/>
        </w:rPr>
        <w:t>” means the date designated as such on the first page of this Warrant Certificate.</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Marketable Securities</w:t>
      </w:r>
      <w:r>
        <w:rPr>
          <w:rFonts w:ascii="Times New Roman" w:cs="Times New Roman" w:eastAsia="Times New Roman" w:hAnsi="Times New Roman"/>
          <w:sz w:val="22"/>
          <w:szCs w:val="22"/>
          <w:color w:val="auto"/>
        </w:rPr>
        <w:t xml:space="preserve">” means equity securities meeting each of the following requirements: (i) the issuer thereof is subject to the reporting requirements of Section 13 or Section 15(d) of the Exchange Act, and is current in its filing of all required reports and other information under the Securities Act and the Exchange Act; (ii) such equity securities are traded on a Trading Market; and (iii) if delivered (or to be delivered) as payment or compensation to the Holder in connection with an automatic Cashless Exercise pursuant to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following the closing of the related Sale of the Company, the Holder would not be restricted from publicly re-selling all of such equity securities delivered to it.</w:t>
      </w:r>
    </w:p>
    <w:p>
      <w:pPr>
        <w:spacing w:after="0" w:line="266" w:lineRule="exact"/>
        <w:rPr>
          <w:sz w:val="20"/>
          <w:szCs w:val="20"/>
          <w:color w:val="auto"/>
        </w:rPr>
      </w:pPr>
    </w:p>
    <w:p>
      <w:pPr>
        <w:ind w:left="660" w:right="350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means The Nasdaq Stock Market LLC. “</w:t>
      </w:r>
      <w:r>
        <w:rPr>
          <w:rFonts w:ascii="Times New Roman" w:cs="Times New Roman" w:eastAsia="Times New Roman" w:hAnsi="Times New Roman"/>
          <w:sz w:val="22"/>
          <w:szCs w:val="22"/>
          <w:b w:val="1"/>
          <w:bCs w:val="1"/>
          <w:i w:val="1"/>
          <w:iCs w:val="1"/>
          <w:color w:val="auto"/>
        </w:rPr>
        <w:t>NYSE</w:t>
      </w:r>
      <w:r>
        <w:rPr>
          <w:rFonts w:ascii="Times New Roman" w:cs="Times New Roman" w:eastAsia="Times New Roman" w:hAnsi="Times New Roman"/>
          <w:sz w:val="22"/>
          <w:szCs w:val="22"/>
          <w:color w:val="auto"/>
        </w:rPr>
        <w:t>” means the New York Stock Exchange.</w:t>
      </w:r>
    </w:p>
    <w:p>
      <w:pPr>
        <w:jc w:val="both"/>
        <w:ind w:right="20"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Options</w:t>
      </w:r>
      <w:r>
        <w:rPr>
          <w:rFonts w:ascii="Times New Roman" w:cs="Times New Roman" w:eastAsia="Times New Roman" w:hAnsi="Times New Roman"/>
          <w:sz w:val="22"/>
          <w:szCs w:val="22"/>
          <w:color w:val="auto"/>
        </w:rPr>
        <w:t>” means any warrants, options or similar rights to subscribe for or purchase Common Shares or Convertible Securities.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OTC Bulletin Board</w:t>
      </w:r>
      <w:r>
        <w:rPr>
          <w:rFonts w:ascii="Times New Roman" w:cs="Times New Roman" w:eastAsia="Times New Roman" w:hAnsi="Times New Roman"/>
          <w:sz w:val="22"/>
          <w:szCs w:val="22"/>
          <w:color w:val="auto"/>
        </w:rPr>
        <w:t>” means the Financial Industry Regulatory Authority, Inc. OTC Bulletin Board.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Pre-emptive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color w:val="auto"/>
        </w:rPr>
        <w:t>.</w:t>
      </w:r>
    </w:p>
    <w:p>
      <w:pPr>
        <w:sectPr>
          <w:pgSz w:w="11900" w:h="16838" w:orient="portrait"/>
          <w:cols w:equalWidth="0" w:num="1">
            <w:col w:w="10060"/>
          </w:cols>
          <w:pgMar w:left="1400" w:top="1440" w:right="439" w:bottom="1440" w:gutter="0" w:footer="0" w:header="0"/>
        </w:sectPr>
      </w:pPr>
    </w:p>
    <w:bookmarkStart w:id="118" w:name="page119"/>
    <w:bookmarkEnd w:id="118"/>
    <w:p>
      <w:pPr>
        <w:spacing w:after="0" w:line="3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means, in connection with any public offering of securities, any registration statement required pursuant to the Securities Act that covers the offer and sales of any such securities, including any prospectus, amendments or supplements to such Registration Statement, including post-effective amendments and all exhibits and all materials incorporated by reference in such Registration Statement.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144”</w:t>
      </w:r>
      <w:r>
        <w:rPr>
          <w:rFonts w:ascii="Times New Roman" w:cs="Times New Roman" w:eastAsia="Times New Roman" w:hAnsi="Times New Roman"/>
          <w:sz w:val="22"/>
          <w:szCs w:val="22"/>
          <w:color w:val="auto"/>
        </w:rPr>
        <w:t xml:space="preserve"> means Rule 144 promulgated under the Securities Act.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Sale of the Company</w:t>
      </w:r>
      <w:r>
        <w:rPr>
          <w:rFonts w:ascii="Times New Roman" w:cs="Times New Roman" w:eastAsia="Times New Roman" w:hAnsi="Times New Roman"/>
          <w:sz w:val="22"/>
          <w:szCs w:val="22"/>
          <w:color w:val="auto"/>
        </w:rPr>
        <w:t>” means a transaction pursuant to which (i) (x) any Person or group of Persons acting jointly or otherwise in concert (other than the Holder and any other parties to the Credit Agreement) acquires ownership, directly or indirectly, beneficially or of record, of Capital Securities of the Company having more than fifty percent (50%) of the aggregate economic interests and/or voting power, determined on a fully diluted basis, (y) any Person or group of</w:t>
      </w:r>
    </w:p>
    <w:p>
      <w:pPr>
        <w:spacing w:after="0" w:line="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Persons acting jointly or otherwise in concert (other than the Holder and any other parties to the Credit Agreement) acquires, by contract or otherwise, the right to appoint or elect a majority of the Company’s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or (z) all or substantially all of the assets of the Company and its Subsidiaries, taken as a whole, are sold, leased, exclusively licensed, transferred, conveyed or otherwise disposed of, and (ii) all Obligations outstanding under the Credit Agreement are to be paid in full in cash, whether pursuant to the terms of the transaction, pursuant to the terms of the Credit Agreement or otherwise.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Securities and Exchange Commission or any successor thereto.</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 Distribution</w:t>
      </w:r>
      <w:r>
        <w:rPr>
          <w:rFonts w:ascii="Times New Roman" w:cs="Times New Roman" w:eastAsia="Times New Roman" w:hAnsi="Times New Roman"/>
          <w:sz w:val="22"/>
          <w:szCs w:val="22"/>
          <w:color w:val="auto"/>
        </w:rPr>
        <w:t>” means any issuance or sale by the Company of any of its Common Shares, Options or Convertible Securities, other than in connection with a dividend or distribution to holders of its Common Shares of the type described in Section 4(c) below.</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 Reorganization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4(a)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means, with respect to the Common Shares or any other Marketable Securities, a date on which the relevant Trading Market is open and conducting business.</w:t>
      </w:r>
    </w:p>
    <w:p>
      <w:pPr>
        <w:spacing w:after="0" w:line="14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Market</w:t>
      </w:r>
      <w:r>
        <w:rPr>
          <w:rFonts w:ascii="Times New Roman" w:cs="Times New Roman" w:eastAsia="Times New Roman" w:hAnsi="Times New Roman"/>
          <w:sz w:val="22"/>
          <w:szCs w:val="22"/>
          <w:color w:val="auto"/>
        </w:rPr>
        <w:t>” means, with respect to the Common Shares or any other Marketable Securities, the Nasdaq, the NYSE or the OTC Bulletin Board.</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Unrestricted Conditions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11(a)(ii)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VWAP</w:t>
      </w:r>
      <w:r>
        <w:rPr>
          <w:rFonts w:ascii="Times New Roman" w:cs="Times New Roman" w:eastAsia="Times New Roman" w:hAnsi="Times New Roman"/>
          <w:sz w:val="22"/>
          <w:szCs w:val="22"/>
          <w:color w:val="auto"/>
        </w:rPr>
        <w:t>” means, with respect to any Common Shares, as of any day of determination (a “</w:t>
      </w:r>
      <w:r>
        <w:rPr>
          <w:rFonts w:ascii="Times New Roman" w:cs="Times New Roman" w:eastAsia="Times New Roman" w:hAnsi="Times New Roman"/>
          <w:sz w:val="22"/>
          <w:szCs w:val="22"/>
          <w:b w:val="1"/>
          <w:bCs w:val="1"/>
          <w:i w:val="1"/>
          <w:iCs w:val="1"/>
          <w:color w:val="auto"/>
        </w:rPr>
        <w:t>Determination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the volume weighted average sale price for the period of ten (10) consecutive Trading Days immediately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preceding such Determination Date on the Trading Market for such Common Shares as reported by, or based upon data reported by, Bloomberg Financial Markets or an equivalent, reliable reporting service reasonably acceptable to the Holder and the Company (collectively, “</w:t>
      </w:r>
      <w:r>
        <w:rPr>
          <w:rFonts w:ascii="Times New Roman" w:cs="Times New Roman" w:eastAsia="Times New Roman" w:hAnsi="Times New Roman"/>
          <w:sz w:val="22"/>
          <w:szCs w:val="22"/>
          <w:b w:val="1"/>
          <w:bCs w:val="1"/>
          <w:i w:val="1"/>
          <w:iCs w:val="1"/>
          <w:color w:val="auto"/>
        </w:rPr>
        <w:t>Bloomberg</w:t>
      </w:r>
      <w:r>
        <w:rPr>
          <w:rFonts w:ascii="Times New Roman" w:cs="Times New Roman" w:eastAsia="Times New Roman" w:hAnsi="Times New Roman"/>
          <w:sz w:val="22"/>
          <w:szCs w:val="22"/>
          <w:color w:val="auto"/>
        </w:rPr>
        <w:t>”) or, if the volume weighted average sale price has not been reported for such security by Bloomberg for such ten (10) day period, then the simple average of the last closing trade prices of such security for such ten (10) day period, as</w:t>
      </w:r>
    </w:p>
    <w:p>
      <w:pPr>
        <w:sectPr>
          <w:pgSz w:w="11900" w:h="16838" w:orient="portrait"/>
          <w:cols w:equalWidth="0" w:num="1">
            <w:col w:w="10040"/>
          </w:cols>
          <w:pgMar w:left="1400" w:top="1440" w:right="459" w:bottom="1440" w:gutter="0" w:footer="0" w:header="0"/>
        </w:sectPr>
      </w:pPr>
    </w:p>
    <w:bookmarkStart w:id="119" w:name="page120"/>
    <w:bookmarkEnd w:id="119"/>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reported by Bloomberg, or, if no last closing trade price is reported for such security by Bloomberg, the simple average of the bid prices of any market makers for such security that are listed in the over the counter market by the Financial Industry Regulatory Authority, Inc. or on the OTC Bulletin Board (or any successor) or in the “pink sheets” (or any successor) by the OTC Markets Group, Inc. over such ten (10) day period.</w:t>
      </w:r>
    </w:p>
    <w:p>
      <w:pPr>
        <w:spacing w:after="0" w:line="17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 Certificate</w:t>
      </w:r>
      <w:r>
        <w:rPr>
          <w:rFonts w:ascii="Times New Roman" w:cs="Times New Roman" w:eastAsia="Times New Roman" w:hAnsi="Times New Roman"/>
          <w:sz w:val="22"/>
          <w:szCs w:val="22"/>
          <w:color w:val="auto"/>
        </w:rPr>
        <w:t>” means this Warrant Certificate and all subsequent warrant certificates issued upon division, combination or transfer of, or in substitution for, this Warrant Certificate.</w:t>
      </w:r>
    </w:p>
    <w:p>
      <w:pPr>
        <w:spacing w:after="0" w:line="255" w:lineRule="exact"/>
        <w:rPr>
          <w:sz w:val="20"/>
          <w:szCs w:val="20"/>
          <w:color w:val="auto"/>
        </w:rPr>
      </w:pPr>
    </w:p>
    <w:p>
      <w:pPr>
        <w:ind w:left="660" w:right="248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Warrant 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Warrant Shares</w:t>
      </w:r>
      <w:r>
        <w:rPr>
          <w:rFonts w:ascii="Times New Roman" w:cs="Times New Roman" w:eastAsia="Times New Roman" w:hAnsi="Times New Roman"/>
          <w:sz w:val="22"/>
          <w:szCs w:val="22"/>
          <w:color w:val="auto"/>
        </w:rPr>
        <w:t>” has the meaning set forth in the preamble.</w:t>
      </w:r>
    </w:p>
    <w:p>
      <w:pPr>
        <w:spacing w:after="0" w:line="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2. Term of Warrant Certificate. </w:t>
      </w:r>
      <w:r>
        <w:rPr>
          <w:rFonts w:ascii="Times New Roman" w:cs="Times New Roman" w:eastAsia="Times New Roman" w:hAnsi="Times New Roman"/>
          <w:sz w:val="22"/>
          <w:szCs w:val="22"/>
          <w:color w:val="auto"/>
        </w:rPr>
        <w:t>Subject to the terms and conditions hereof, from time to time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Period, the Holder of this Warrant Certificate may exercise this</w:t>
      </w:r>
    </w:p>
    <w:p>
      <w:pPr>
        <w:spacing w:after="0" w:line="18"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22"/>
          <w:szCs w:val="22"/>
          <w:color w:val="auto"/>
        </w:rPr>
        <w:t>Warrant Certificate for all or any part of the Warrant Shares purchasable hereunder (subject to adjustment as provided herein).</w:t>
      </w:r>
    </w:p>
    <w:p>
      <w:pPr>
        <w:spacing w:after="0" w:line="15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Exercise of Warrant Certificate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56"/>
        <w:spacing w:after="0" w:line="275" w:lineRule="auto"/>
        <w:tabs>
          <w:tab w:leader="none" w:pos="150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Procedure</w:t>
      </w:r>
      <w:r>
        <w:rPr>
          <w:rFonts w:ascii="Times New Roman" w:cs="Times New Roman" w:eastAsia="Times New Roman" w:hAnsi="Times New Roman"/>
          <w:sz w:val="22"/>
          <w:szCs w:val="22"/>
          <w:color w:val="auto"/>
        </w:rPr>
        <w:t>. This Warrant Certificate may be exercised from time to time 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Day during the Exercise Period, for all or any part of the unexercised Warrant Shares, upon:</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(i)delivery to the Company at its then registered office of a duly completed and executed Exercise Certificate in the form attached hereto as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(each, an “</w:t>
      </w:r>
      <w:r>
        <w:rPr>
          <w:rFonts w:ascii="Times New Roman" w:cs="Times New Roman" w:eastAsia="Times New Roman" w:hAnsi="Times New Roman"/>
          <w:sz w:val="22"/>
          <w:szCs w:val="22"/>
          <w:b w:val="1"/>
          <w:bCs w:val="1"/>
          <w:i w:val="1"/>
          <w:iCs w:val="1"/>
          <w:color w:val="auto"/>
        </w:rPr>
        <w:t>Exercise Certificate</w:t>
      </w:r>
      <w:r>
        <w:rPr>
          <w:rFonts w:ascii="Times New Roman" w:cs="Times New Roman" w:eastAsia="Times New Roman" w:hAnsi="Times New Roman"/>
          <w:sz w:val="22"/>
          <w:szCs w:val="22"/>
          <w:color w:val="auto"/>
        </w:rPr>
        <w:t>”), which certificate will specify the number of Warrant Shares to be purchased and the Aggregate Exercise Price; and</w:t>
      </w:r>
    </w:p>
    <w:p>
      <w:pPr>
        <w:spacing w:after="0" w:line="173" w:lineRule="exact"/>
        <w:rPr>
          <w:sz w:val="20"/>
          <w:szCs w:val="20"/>
          <w:color w:val="auto"/>
        </w:rPr>
      </w:pPr>
    </w:p>
    <w:p>
      <w:pPr>
        <w:ind w:firstLine="1304"/>
        <w:spacing w:after="0" w:line="271" w:lineRule="auto"/>
        <w:tabs>
          <w:tab w:leader="none" w:pos="215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simultaneously with the delivery of the Exercise Certificate, payment to the Company of the Aggregate Exercise Price in accordance with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656"/>
        <w:spacing w:after="0" w:line="259" w:lineRule="auto"/>
        <w:tabs>
          <w:tab w:leader="none" w:pos="150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 of the Aggregate Exercise Price. </w:t>
      </w:r>
      <w:r>
        <w:rPr>
          <w:rFonts w:ascii="Times New Roman" w:cs="Times New Roman" w:eastAsia="Times New Roman" w:hAnsi="Times New Roman"/>
          <w:sz w:val="22"/>
          <w:szCs w:val="22"/>
          <w:color w:val="auto"/>
        </w:rPr>
        <w:t>Payment of the Aggregate Exercise Price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at the option of the Holder as set forth in the applicable Exercise Certificate, by any of the following methods:</w:t>
      </w:r>
    </w:p>
    <w:p>
      <w:pPr>
        <w:spacing w:after="0" w:line="17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(i)by wire transfer of immediately available funds to an account designated in writing by the Company, in the amount of such Aggregate Exercise Price;</w:t>
      </w:r>
    </w:p>
    <w:p>
      <w:pPr>
        <w:spacing w:after="0" w:line="171" w:lineRule="exact"/>
        <w:rPr>
          <w:sz w:val="20"/>
          <w:szCs w:val="20"/>
          <w:color w:val="auto"/>
        </w:rPr>
      </w:pPr>
    </w:p>
    <w:p>
      <w:pPr>
        <w:jc w:val="both"/>
        <w:ind w:firstLine="1304"/>
        <w:spacing w:after="0" w:line="257" w:lineRule="auto"/>
        <w:tabs>
          <w:tab w:leader="none" w:pos="215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instructing the Company to withhold a number of Warrant Shares then issuable upon exercise of this Warrant Certificate with an aggregate Fair Market Value as of the Exercise Date equal to such Aggregate Exercise Price; or</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foregoing.</w:t>
      </w:r>
    </w:p>
    <w:p>
      <w:pPr>
        <w:sectPr>
          <w:pgSz w:w="11900" w:h="16838" w:orient="portrait"/>
          <w:cols w:equalWidth="0" w:num="1">
            <w:col w:w="10040"/>
          </w:cols>
          <w:pgMar w:left="1400" w:top="1440" w:right="459" w:bottom="1440" w:gutter="0" w:footer="0" w:header="0"/>
        </w:sectPr>
      </w:pPr>
    </w:p>
    <w:bookmarkStart w:id="120" w:name="page121"/>
    <w:bookmarkEnd w:id="120"/>
    <w:p>
      <w:pPr>
        <w:spacing w:after="0" w:line="3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In the event of any withholding of Warrant Shares pursuant to </w:t>
      </w:r>
      <w:r>
        <w:rPr>
          <w:rFonts w:ascii="Times New Roman" w:cs="Times New Roman" w:eastAsia="Times New Roman" w:hAnsi="Times New Roman"/>
          <w:sz w:val="22"/>
          <w:szCs w:val="22"/>
          <w:b w:val="1"/>
          <w:bCs w:val="1"/>
          <w:color w:val="auto"/>
        </w:rPr>
        <w:t>Section 3(b)(ii)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(solely to the extent of such withholding, a “</w:t>
      </w:r>
      <w:r>
        <w:rPr>
          <w:rFonts w:ascii="Times New Roman" w:cs="Times New Roman" w:eastAsia="Times New Roman" w:hAnsi="Times New Roman"/>
          <w:sz w:val="22"/>
          <w:szCs w:val="22"/>
          <w:b w:val="1"/>
          <w:bCs w:val="1"/>
          <w:i w:val="1"/>
          <w:iCs w:val="1"/>
          <w:color w:val="auto"/>
        </w:rPr>
        <w:t>Cashless Exercise</w:t>
      </w:r>
      <w:r>
        <w:rPr>
          <w:rFonts w:ascii="Times New Roman" w:cs="Times New Roman" w:eastAsia="Times New Roman" w:hAnsi="Times New Roman"/>
          <w:sz w:val="22"/>
          <w:szCs w:val="22"/>
          <w:color w:val="auto"/>
        </w:rPr>
        <w:t>”) where the number of shares whose value is equal to the Aggregate Exercise Price is not a whole number, the number of shares withheld by the Company shall be rounded up to the nearest whole share and the Company shall make a cash payment to the Holder (by delivery of a certified or official bank check or by wire transfer of immediately available funds) based on the incremental fraction of a share being so withheld by the Company in an amount equal to the product of (x) such incremental fraction of a share being so withheld multiplied by (y) the Fair Market Value per Warrant Share as of the Exercise Date.</w:t>
      </w:r>
    </w:p>
    <w:p>
      <w:pPr>
        <w:spacing w:after="0" w:line="179" w:lineRule="exact"/>
        <w:rPr>
          <w:sz w:val="20"/>
          <w:szCs w:val="20"/>
          <w:color w:val="auto"/>
        </w:rPr>
      </w:pPr>
    </w:p>
    <w:p>
      <w:pPr>
        <w:ind w:right="20" w:firstLine="656"/>
        <w:spacing w:after="0" w:line="256" w:lineRule="auto"/>
        <w:tabs>
          <w:tab w:leader="none" w:pos="1509"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Automatic Cashless Exercise. </w:t>
      </w:r>
      <w:r>
        <w:rPr>
          <w:rFonts w:ascii="Times New Roman" w:cs="Times New Roman" w:eastAsia="Times New Roman" w:hAnsi="Times New Roman"/>
          <w:sz w:val="22"/>
          <w:szCs w:val="22"/>
          <w:color w:val="auto"/>
        </w:rPr>
        <w:t>To the extent this Warrant Certificate has not been exercised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by the Holder prior to the earlier of (i) the occurrence of the Expiration Date, and</w:t>
      </w:r>
    </w:p>
    <w:p>
      <w:pPr>
        <w:spacing w:after="0" w:line="1" w:lineRule="exact"/>
        <w:rPr>
          <w:rFonts w:ascii="Times New Roman" w:cs="Times New Roman" w:eastAsia="Times New Roman" w:hAnsi="Times New Roman"/>
          <w:sz w:val="22"/>
          <w:szCs w:val="22"/>
          <w:color w:val="auto"/>
        </w:rPr>
      </w:pPr>
    </w:p>
    <w:p>
      <w:pPr>
        <w:jc w:val="both"/>
        <w:ind w:right="20" w:firstLine="8"/>
        <w:spacing w:after="0" w:line="246" w:lineRule="auto"/>
        <w:tabs>
          <w:tab w:leader="none" w:pos="33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on which a Sale of the Company is consummated pursuant to which the sole consideration payable to the Company or its shareholders in respect of such sale transaction consists of cash, Marketable Securities or a combination thereof, any portion of this Warrant Certificate that remains unexercised on such date shall be deemed to have been exercised automatically pursuant to a Cashless Exercise, in whole (and not in part), on the Business Day immediately preceding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automatic Cashless Exercise contemplated by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3(c) </w:t>
      </w:r>
      <w:r>
        <w:rPr>
          <w:rFonts w:ascii="Times New Roman" w:cs="Times New Roman" w:eastAsia="Times New Roman" w:hAnsi="Times New Roman"/>
          <w:sz w:val="22"/>
          <w:szCs w:val="22"/>
          <w:color w:val="auto"/>
        </w:rPr>
        <w:t>shall not occur in the event that, as of the Business Day immediately preceding</w:t>
      </w:r>
    </w:p>
    <w:p>
      <w:pPr>
        <w:spacing w:after="0" w:line="5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any such date described above, the per share Fair Market Value of a Warrant Share is less than the Exercise Price per Warrant Share, in which case, this Warrant Certificate shall automatically expire and be of no further force and effect as of the Expiration Date or immediately prior to the consummation of the Sale of the Company, as applicable.</w:t>
      </w:r>
    </w:p>
    <w:p>
      <w:pPr>
        <w:spacing w:after="0" w:line="179"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color w:val="auto"/>
        </w:rPr>
        <w:t xml:space="preserve">To the extent permitted by applicable Law, for purposes of Rule 144, (i) the Warrant Shares issuable upon any exercise of this Warrant Certificate in any Cashless Exercise transaction shall be deemed to have been acquired on the Issue Date, and (ii) the holding period for any Warrant Shares issuable upon the exercise of this Warrant Certificate in any Cashless Exercise transaction shall be deemed to have commenced on the Issue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makes no representation or warranty regarding the commencement of the holding period of any Warrant Share.</w:t>
      </w:r>
    </w:p>
    <w:p>
      <w:pPr>
        <w:spacing w:after="0" w:line="177" w:lineRule="exact"/>
        <w:rPr>
          <w:sz w:val="20"/>
          <w:szCs w:val="20"/>
          <w:color w:val="auto"/>
        </w:rPr>
      </w:pPr>
    </w:p>
    <w:p>
      <w:pPr>
        <w:jc w:val="both"/>
        <w:ind w:firstLine="656"/>
        <w:spacing w:after="0" w:line="249" w:lineRule="auto"/>
        <w:tabs>
          <w:tab w:leader="none" w:pos="150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Delivery of Stock Certificates</w:t>
      </w:r>
      <w:r>
        <w:rPr>
          <w:rFonts w:ascii="Times New Roman" w:cs="Times New Roman" w:eastAsia="Times New Roman" w:hAnsi="Times New Roman"/>
          <w:sz w:val="22"/>
          <w:szCs w:val="22"/>
          <w:color w:val="auto"/>
        </w:rPr>
        <w:t>. With respect to any exercise of this Warrant Certificate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Holder, upon receipt by the Company of an Exercise Certificate and delivery of the Aggregate Exercise Price, the Company shall, within five (5) Business Days, deliver in accordance with the terms hereof to or upon the order of the Holder that number of Warrant Shares for the portion of this Warrant Certificate so exercised on such date, together with cash in lieu of any fraction of a share to the extent the Company elects to do so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3(e</w:t>
      </w:r>
      <w:r>
        <w:rPr>
          <w:rFonts w:ascii="Times New Roman" w:cs="Times New Roman" w:eastAsia="Times New Roman" w:hAnsi="Times New Roman"/>
          <w:sz w:val="22"/>
          <w:szCs w:val="22"/>
          <w:color w:val="auto"/>
        </w:rPr>
        <w:t>) below. If such Warrant Shares are issued in certificated form, the Company shall deliver a certificate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certificates, to the extent possible, representing the number of Warrant Shares as the Holder shall request in the Exercise Certificate. If such Warrant Shares are issued in uncertificated form, the Company shall deliver upon request a confirmation evidencing the registration of such shares. Unless otherwise provided herein, upon any exercise in accordance with the terms of this Warrant Certificate, this Warrant Certificate shall be deemed to have been</w:t>
      </w:r>
    </w:p>
    <w:p>
      <w:pPr>
        <w:sectPr>
          <w:pgSz w:w="11900" w:h="16838" w:orient="portrait"/>
          <w:cols w:equalWidth="0" w:num="1">
            <w:col w:w="10060"/>
          </w:cols>
          <w:pgMar w:left="1400" w:top="1440" w:right="439" w:bottom="1440" w:gutter="0" w:footer="0" w:header="0"/>
        </w:sectPr>
      </w:pPr>
    </w:p>
    <w:bookmarkStart w:id="121" w:name="page122"/>
    <w:bookmarkEnd w:id="121"/>
    <w:p>
      <w:pPr>
        <w:spacing w:after="0" w:line="37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color w:val="auto"/>
        </w:rPr>
        <w:t xml:space="preserve">exercised and such certificate or certificates of Warrant Shares shall be deemed to have been issued, and the Holder shall be deemed to have become a holder of record of such Warrant Shares for all purposes, as of the Exercise Date. Unless otherwise permitted by federal or state securities laws, rules or regulations, any share certificates issued pursuant to the exercise of this Warrant Certificate will bear a legend in substantially the form set out in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11(a)(i) </w:t>
      </w:r>
      <w:r>
        <w:rPr>
          <w:rFonts w:ascii="Times New Roman" w:cs="Times New Roman" w:eastAsia="Times New Roman" w:hAnsi="Times New Roman"/>
          <w:sz w:val="22"/>
          <w:szCs w:val="22"/>
          <w:color w:val="auto"/>
        </w:rPr>
        <w:t>below.</w:t>
      </w:r>
    </w:p>
    <w:p>
      <w:pPr>
        <w:spacing w:after="0" w:line="175" w:lineRule="exact"/>
        <w:rPr>
          <w:sz w:val="20"/>
          <w:szCs w:val="20"/>
          <w:color w:val="auto"/>
        </w:rPr>
      </w:pPr>
    </w:p>
    <w:p>
      <w:pPr>
        <w:jc w:val="both"/>
        <w:ind w:right="20" w:firstLine="656"/>
        <w:spacing w:after="0" w:line="254" w:lineRule="auto"/>
        <w:tabs>
          <w:tab w:leader="none" w:pos="150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Fractional Shares or Scrip</w:t>
      </w:r>
      <w:r>
        <w:rPr>
          <w:rFonts w:ascii="Times New Roman" w:cs="Times New Roman" w:eastAsia="Times New Roman" w:hAnsi="Times New Roman"/>
          <w:sz w:val="22"/>
          <w:szCs w:val="22"/>
          <w:color w:val="auto"/>
        </w:rPr>
        <w:t>. No fractional or scrip representing fractional shares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upon the exercise of this Warrant Certificate. As to any fraction of a share which the Holder would otherwise be entitled to purchase upon such exercise, the Company shall at its election, either pay a cash adjustment in respect of such final fraction in an amount equal to such fraction multiplied by the Fair Market Value of one Warrant Share on the Exercise Date or round up to the next whole share.</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Surrender of this Warrant Certificate; Delivery of New Warrant Certificate.</w:t>
      </w:r>
    </w:p>
    <w:p>
      <w:pPr>
        <w:spacing w:after="0" w:line="237" w:lineRule="exact"/>
        <w:rPr>
          <w:sz w:val="20"/>
          <w:szCs w:val="20"/>
          <w:color w:val="auto"/>
        </w:rPr>
      </w:pPr>
    </w:p>
    <w:p>
      <w:pPr>
        <w:jc w:val="both"/>
        <w:ind w:right="20" w:firstLine="1296"/>
        <w:spacing w:after="0" w:line="251" w:lineRule="auto"/>
        <w:rPr>
          <w:sz w:val="20"/>
          <w:szCs w:val="20"/>
          <w:color w:val="auto"/>
        </w:rPr>
      </w:pPr>
      <w:r>
        <w:rPr>
          <w:rFonts w:ascii="Times New Roman" w:cs="Times New Roman" w:eastAsia="Times New Roman" w:hAnsi="Times New Roman"/>
          <w:sz w:val="22"/>
          <w:szCs w:val="22"/>
          <w:color w:val="auto"/>
        </w:rPr>
        <w:t>(i)The Holder shall not be required to physically surrender this Warrant Certificate to the Company until this Warrant Certificate has been exercised in full by the Holder, in which case, the Holder shall, at the written request of the Company, surrender this Warrant Certificate to the Company for cancellation within three (3) Business Days after the date the final Exercise Certificate is delivered to the Company. Partial exercises of this Warrant Certificate resulting in purchases of a portion of the total number of Warrant Shares available hereunder shall have the effect of lowering the outstanding number of Warrant Shares issuable hereunder by an</w:t>
      </w:r>
    </w:p>
    <w:p>
      <w:pPr>
        <w:spacing w:after="0" w:line="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amount equal to the applicable number of Warrant Shares that have been issued hereunder as a result of previous exercises or withheld in connection with any Cashless Exercises. The Holder and the Company shall maintain records showing the number of Warrant Shares issued and purchased, the date of such issuances and purchases and the number of Warrant Shares withheld in connection with any Cashless Exercises. The Holder and any assignee, by acceptance of this Warrant Certificate, acknowledge and agree that, by reason of the provisions of this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3(f)</w:t>
      </w:r>
      <w:r>
        <w:rPr>
          <w:rFonts w:ascii="Times New Roman" w:cs="Times New Roman" w:eastAsia="Times New Roman" w:hAnsi="Times New Roman"/>
          <w:sz w:val="21"/>
          <w:szCs w:val="21"/>
          <w:color w:val="auto"/>
        </w:rPr>
        <w:t>, following the purchase of a portion of the Warrant Shares hereunder, the number of Warrant Shares available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purchase hereunder at any given time may be fewer than the amount stated on the face hereof.</w:t>
      </w:r>
    </w:p>
    <w:p>
      <w:pPr>
        <w:spacing w:after="0" w:line="173" w:lineRule="exact"/>
        <w:rPr>
          <w:sz w:val="20"/>
          <w:szCs w:val="20"/>
          <w:color w:val="auto"/>
        </w:rPr>
      </w:pPr>
    </w:p>
    <w:p>
      <w:pPr>
        <w:jc w:val="both"/>
        <w:ind w:right="20" w:firstLine="1304"/>
        <w:spacing w:after="0" w:line="250" w:lineRule="auto"/>
        <w:tabs>
          <w:tab w:leader="none" w:pos="215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to the extent that there are unexpired and unexercised Warrant Shares remaining under the Warrant Certificate, the Holder may request that the Company (and the Company shall), at the time of issuance of any Warrant Shares in accordance with </w:t>
      </w:r>
      <w:r>
        <w:rPr>
          <w:rFonts w:ascii="Times New Roman" w:cs="Times New Roman" w:eastAsia="Times New Roman" w:hAnsi="Times New Roman"/>
          <w:sz w:val="22"/>
          <w:szCs w:val="22"/>
          <w:b w:val="1"/>
          <w:bCs w:val="1"/>
          <w:color w:val="auto"/>
        </w:rPr>
        <w:t>Section 3(d)</w:t>
      </w:r>
      <w:r>
        <w:rPr>
          <w:rFonts w:ascii="Times New Roman" w:cs="Times New Roman" w:eastAsia="Times New Roman" w:hAnsi="Times New Roman"/>
          <w:sz w:val="22"/>
          <w:szCs w:val="22"/>
          <w:color w:val="auto"/>
        </w:rPr>
        <w:t xml:space="preserve"> and the surrender of this Warrant Certificate, deliver to the Holder a new Warrant Certificate evidencing the rights of the Holder to subscribe for the unexpired and unexercised Warrant Shares called for by this Warrant Certificate. Unless otherwise agreed upon by the Holder in its sole discretion, such new Warrant Certificate shall in all other respects be identical to this Warrant Certificate.</w:t>
      </w:r>
    </w:p>
    <w:p>
      <w:pPr>
        <w:spacing w:after="0" w:line="189" w:lineRule="exact"/>
        <w:rPr>
          <w:rFonts w:ascii="Times New Roman" w:cs="Times New Roman" w:eastAsia="Times New Roman" w:hAnsi="Times New Roman"/>
          <w:sz w:val="22"/>
          <w:szCs w:val="22"/>
          <w:color w:val="auto"/>
        </w:rPr>
      </w:pPr>
    </w:p>
    <w:p>
      <w:pPr>
        <w:jc w:val="both"/>
        <w:ind w:right="20" w:firstLine="656"/>
        <w:spacing w:after="0" w:line="259" w:lineRule="auto"/>
        <w:tabs>
          <w:tab w:leader="none" w:pos="150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Valid Issuance of Warrant Certificate and Warrant Shares; Payment of Taxes</w:t>
      </w:r>
      <w:r>
        <w:rPr>
          <w:rFonts w:ascii="Times New Roman" w:cs="Times New Roman" w:eastAsia="Times New Roman" w:hAnsi="Times New Roman"/>
          <w:sz w:val="22"/>
          <w:szCs w:val="22"/>
          <w:color w:val="auto"/>
        </w:rPr>
        <w:t>.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exercise of this Warrant Certificate, the Company hereby represents, warrants, covenants and agrees as follows:</w:t>
      </w:r>
    </w:p>
    <w:p>
      <w:pPr>
        <w:sectPr>
          <w:pgSz w:w="11900" w:h="16838" w:orient="portrait"/>
          <w:cols w:equalWidth="0" w:num="1">
            <w:col w:w="10060"/>
          </w:cols>
          <w:pgMar w:left="1400" w:top="1440" w:right="439" w:bottom="1440" w:gutter="0" w:footer="0" w:header="0"/>
        </w:sectPr>
      </w:pPr>
    </w:p>
    <w:bookmarkStart w:id="122" w:name="page123"/>
    <w:bookmarkEnd w:id="122"/>
    <w:p>
      <w:pPr>
        <w:spacing w:after="0" w:line="374"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(i)This Warrant Certificate is, and any Warrant Certificate issued in substitution for or replacement of this Warrant Certificate shall be, upon issuance, duly authorized.</w:t>
      </w:r>
    </w:p>
    <w:p>
      <w:pPr>
        <w:spacing w:after="0" w:line="144" w:lineRule="exact"/>
        <w:rPr>
          <w:sz w:val="20"/>
          <w:szCs w:val="20"/>
          <w:color w:val="auto"/>
        </w:rPr>
      </w:pPr>
    </w:p>
    <w:p>
      <w:pPr>
        <w:jc w:val="both"/>
        <w:ind w:firstLine="1304"/>
        <w:spacing w:after="0" w:line="250" w:lineRule="auto"/>
        <w:tabs>
          <w:tab w:leader="none" w:pos="215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Warrant Shares issuable upon the exercise of this Warrant Certificate (or any substitute or replacement Warrant Certificate) shall be, upon issuance, and the Company shall take all such actions as may be necessary or appropriate in order that such Warrant Shares are, validly issued, fully paid and non-assessable, issued without violation of any preemptive or similar rights of any shareholder of the Company and free and clear of all liens and charges (other than liens or charges created by the Holder, or created with regard to income taxes or other taxes payable by the Holder incurred in connection with the exercise of the Warrant or taxes in respect of any transfer made by the Holder occurring contemporaneously therewith).</w:t>
      </w:r>
    </w:p>
    <w:p>
      <w:pPr>
        <w:spacing w:after="0" w:line="176" w:lineRule="exact"/>
        <w:rPr>
          <w:rFonts w:ascii="Times New Roman" w:cs="Times New Roman" w:eastAsia="Times New Roman" w:hAnsi="Times New Roman"/>
          <w:sz w:val="22"/>
          <w:szCs w:val="22"/>
          <w:color w:val="auto"/>
        </w:rPr>
      </w:pPr>
    </w:p>
    <w:p>
      <w:pPr>
        <w:jc w:val="both"/>
        <w:ind w:firstLine="1304"/>
        <w:spacing w:after="0" w:line="258" w:lineRule="auto"/>
        <w:tabs>
          <w:tab w:leader="none" w:pos="216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take all such actions as may be necessary to (x) comply with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3(i) </w:t>
      </w:r>
      <w:r>
        <w:rPr>
          <w:rFonts w:ascii="Times New Roman" w:cs="Times New Roman" w:eastAsia="Times New Roman" w:hAnsi="Times New Roman"/>
          <w:sz w:val="22"/>
          <w:szCs w:val="22"/>
          <w:color w:val="auto"/>
        </w:rPr>
        <w:t>below and (y) ensure that all such Warrant Shares are issued without violation by the Company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or any requirements of any foreign or domestic securities exchange upon which Warrant Shares may be listed at the time of such exercise.</w:t>
      </w:r>
    </w:p>
    <w:p>
      <w:pPr>
        <w:spacing w:after="0" w:line="171" w:lineRule="exact"/>
        <w:rPr>
          <w:rFonts w:ascii="Times New Roman" w:cs="Times New Roman" w:eastAsia="Times New Roman" w:hAnsi="Times New Roman"/>
          <w:sz w:val="22"/>
          <w:szCs w:val="22"/>
          <w:color w:val="auto"/>
        </w:rPr>
      </w:pPr>
    </w:p>
    <w:p>
      <w:pPr>
        <w:jc w:val="both"/>
        <w:ind w:firstLine="1304"/>
        <w:spacing w:after="0" w:line="253" w:lineRule="auto"/>
        <w:tabs>
          <w:tab w:leader="none" w:pos="214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exclusively bear and pay all expenses in connection with, and all governmental charges, taxes, fees, levies, withholdings and all other such payments, that may be imposed on or with respect to, the issuance of this Warrant Certificate, and the issuance or delivery of Warrant Shares pursuant to the terms of this Warrant Certificate and the Holder shall not be affected by such payments, and the Company shall not be eligible to any indemnification for such payment from the Holder.</w:t>
      </w:r>
    </w:p>
    <w:p>
      <w:pPr>
        <w:spacing w:after="0" w:line="30" w:lineRule="exact"/>
        <w:rPr>
          <w:rFonts w:ascii="Times New Roman" w:cs="Times New Roman" w:eastAsia="Times New Roman" w:hAnsi="Times New Roman"/>
          <w:sz w:val="22"/>
          <w:szCs w:val="22"/>
          <w:color w:val="auto"/>
        </w:rPr>
      </w:pPr>
    </w:p>
    <w:p>
      <w:pPr>
        <w:ind w:firstLine="1304"/>
        <w:spacing w:after="0" w:line="271" w:lineRule="auto"/>
        <w:tabs>
          <w:tab w:leader="none" w:pos="215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corporation duly organized and validly existing under the Laws of the State of Delaware and has the capacity and corporate power and authority to enter into this Warrant Certificate.</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214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taken all action required to be taken to authorize the execution, delivery and performance of this Warrant Certificate.</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Warrant Certificate has been duly executed by the Company.</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216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under this Warrant Certificate are legal, valid and binding obligations, enforceable against the Company in accordance with the terms hereof, except to the extent that enforceability may be limited by bankruptcy, insolvency, reorganization, moratorium or similar laws affecting creditors’ rights generally and by general equitable principles.</w:t>
      </w:r>
    </w:p>
    <w:p>
      <w:pPr>
        <w:spacing w:after="0" w:line="172" w:lineRule="exact"/>
        <w:rPr>
          <w:rFonts w:ascii="Times New Roman" w:cs="Times New Roman" w:eastAsia="Times New Roman" w:hAnsi="Times New Roman"/>
          <w:sz w:val="22"/>
          <w:szCs w:val="22"/>
          <w:color w:val="auto"/>
        </w:rPr>
      </w:pPr>
    </w:p>
    <w:p>
      <w:pPr>
        <w:ind w:left="2160" w:hanging="856"/>
        <w:spacing w:after="0"/>
        <w:tabs>
          <w:tab w:leader="none" w:pos="216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Issue Date, the Company has complied with all obligations set forth in </w:t>
      </w:r>
      <w:r>
        <w:rPr>
          <w:rFonts w:ascii="Times New Roman" w:cs="Times New Roman" w:eastAsia="Times New Roman" w:hAnsi="Times New Roman"/>
          <w:sz w:val="22"/>
          <w:szCs w:val="22"/>
          <w:b w:val="1"/>
          <w:bCs w:val="1"/>
          <w:color w:val="auto"/>
        </w:rPr>
        <w:t>Section</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3(i)</w:t>
      </w:r>
      <w:r>
        <w:rPr>
          <w:rFonts w:ascii="Times New Roman" w:cs="Times New Roman" w:eastAsia="Times New Roman" w:hAnsi="Times New Roman"/>
          <w:sz w:val="22"/>
          <w:szCs w:val="22"/>
          <w:color w:val="auto"/>
        </w:rPr>
        <w:t>, below.</w:t>
      </w:r>
    </w:p>
    <w:p>
      <w:pPr>
        <w:spacing w:after="0" w:line="191" w:lineRule="exact"/>
        <w:rPr>
          <w:rFonts w:ascii="Times New Roman" w:cs="Times New Roman" w:eastAsia="Times New Roman" w:hAnsi="Times New Roman"/>
          <w:sz w:val="22"/>
          <w:szCs w:val="22"/>
          <w:color w:val="auto"/>
        </w:rPr>
      </w:pPr>
    </w:p>
    <w:p>
      <w:pPr>
        <w:jc w:val="both"/>
        <w:ind w:firstLine="656"/>
        <w:spacing w:after="0" w:line="265" w:lineRule="auto"/>
        <w:tabs>
          <w:tab w:leader="none" w:pos="150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Conditional Exercise</w:t>
      </w:r>
      <w:r>
        <w:rPr>
          <w:rFonts w:ascii="Times New Roman" w:cs="Times New Roman" w:eastAsia="Times New Roman" w:hAnsi="Times New Roman"/>
          <w:sz w:val="22"/>
          <w:szCs w:val="22"/>
          <w:color w:val="auto"/>
        </w:rPr>
        <w:t>. Notwithstanding any other provision hereof, if an exercise of all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of this Warrant Certificate is to be made in connection with a Sale of the Company, such exercise may, at the election of the Holder, be conditioned upon the</w:t>
      </w:r>
    </w:p>
    <w:p>
      <w:pPr>
        <w:sectPr>
          <w:pgSz w:w="11900" w:h="16838" w:orient="portrait"/>
          <w:cols w:equalWidth="0" w:num="1">
            <w:col w:w="10040"/>
          </w:cols>
          <w:pgMar w:left="1400" w:top="1440" w:right="459" w:bottom="1440" w:gutter="0" w:footer="0" w:header="0"/>
        </w:sectPr>
      </w:pPr>
    </w:p>
    <w:bookmarkStart w:id="123" w:name="page124"/>
    <w:bookmarkEnd w:id="123"/>
    <w:p>
      <w:pPr>
        <w:spacing w:after="0" w:line="37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consummation of such transaction, in which case such exercise shall not be deemed to be effective until immediately prior to the consummation of such transaction.</w:t>
      </w:r>
    </w:p>
    <w:p>
      <w:pPr>
        <w:spacing w:after="0" w:line="140" w:lineRule="exact"/>
        <w:rPr>
          <w:sz w:val="20"/>
          <w:szCs w:val="20"/>
          <w:color w:val="auto"/>
        </w:rPr>
      </w:pPr>
    </w:p>
    <w:p>
      <w:pPr>
        <w:jc w:val="both"/>
        <w:ind w:right="20" w:firstLine="656"/>
        <w:spacing w:after="0" w:line="249" w:lineRule="auto"/>
        <w:tabs>
          <w:tab w:leader="none" w:pos="150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Reservation of Shares</w:t>
      </w:r>
      <w:r>
        <w:rPr>
          <w:rFonts w:ascii="Times New Roman" w:cs="Times New Roman" w:eastAsia="Times New Roman" w:hAnsi="Times New Roman"/>
          <w:sz w:val="22"/>
          <w:szCs w:val="22"/>
          <w:color w:val="auto"/>
        </w:rPr>
        <w:t>. The Company shall at all times during the Exercise Period reserve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keep available out of its authorized but unissued Common Shares or (if applicable) other securities constituting Warrant Shares, solely for the purpose of issuance upon the exercise of this Warrant Certificate, the maximum number of Warrant Shares issuable upon the exercise of this Warrant Certificate. The Company shall not increase the par value of any Warrant Shares receivable upon the exercise of this Warrant Certificate above the Exercise Price then in effect, and shall take all such actions within its power as may be necessary or appropriate in order that the Company may validly and legally issue fully paid and nonassessable Warrant Shares upon the exercise of this Warrant Certificate.</w:t>
      </w:r>
    </w:p>
    <w:p>
      <w:pPr>
        <w:spacing w:after="0" w:line="18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b w:val="1"/>
          <w:bCs w:val="1"/>
          <w:color w:val="auto"/>
        </w:rPr>
        <w:t>Rule 144 Compliance</w:t>
      </w:r>
      <w:r>
        <w:rPr>
          <w:rFonts w:ascii="Times New Roman" w:cs="Times New Roman" w:eastAsia="Times New Roman" w:hAnsi="Times New Roman"/>
          <w:sz w:val="22"/>
          <w:szCs w:val="22"/>
          <w:color w:val="auto"/>
        </w:rPr>
        <w:t>. With a view to making available to the Holder the benefits of Rule 144 and any other rule or regulation of the SEC that may at any time permit a holder to sell securities of the Company to the public without registration or pursuant to a Registration Statement, the Company shall, during the Exercise Period while any portion of this Warrant Certificate remains unexercised:</w:t>
      </w:r>
    </w:p>
    <w:p>
      <w:pPr>
        <w:spacing w:after="0" w:line="172"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(i)use commercially reasonable efforts to make and keep adequate public information available, as required by clause (c) of Rule 144;</w:t>
      </w:r>
    </w:p>
    <w:p>
      <w:pPr>
        <w:spacing w:after="0" w:line="171" w:lineRule="exact"/>
        <w:rPr>
          <w:sz w:val="20"/>
          <w:szCs w:val="20"/>
          <w:color w:val="auto"/>
        </w:rPr>
      </w:pPr>
    </w:p>
    <w:p>
      <w:pPr>
        <w:jc w:val="both"/>
        <w:ind w:right="20" w:firstLine="1304"/>
        <w:spacing w:after="0" w:line="275" w:lineRule="auto"/>
        <w:tabs>
          <w:tab w:leader="none" w:pos="2154"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commercially reasonable efforts to file with the SEC in a timely manner all reports and other documents required of the Company under the Securities Act and the Exchange Act (excluding, for avoidance of doubt, any prospectus or registration statement which the Company is under no obligation to file); and</w:t>
      </w:r>
    </w:p>
    <w:p>
      <w:pPr>
        <w:spacing w:after="0" w:line="6" w:lineRule="exact"/>
        <w:rPr>
          <w:rFonts w:ascii="Times New Roman" w:cs="Times New Roman" w:eastAsia="Times New Roman" w:hAnsi="Times New Roman"/>
          <w:sz w:val="21"/>
          <w:szCs w:val="21"/>
          <w:color w:val="auto"/>
        </w:rPr>
      </w:pPr>
    </w:p>
    <w:p>
      <w:pPr>
        <w:jc w:val="both"/>
        <w:ind w:right="20" w:firstLine="1304"/>
        <w:spacing w:after="0" w:line="251" w:lineRule="auto"/>
        <w:tabs>
          <w:tab w:leader="none" w:pos="216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or otherwise make available to the Holder so long as the Holder owns Warrant Shares, promptly upon request, a written statement by the Company as to its compliance with the reporting requirements of Rule 144 and the Exchange Act, a copy of the most recent annual or quarterly report of the Company, and such other reports and documents so filed or furnished by the Company with the SEC under the Exchange Act or Securities Act as the Holder may reasonably request in connection with the sale of Common Shares without registration.</w:t>
      </w:r>
    </w:p>
    <w:p>
      <w:pPr>
        <w:spacing w:after="0" w:line="177" w:lineRule="exact"/>
        <w:rPr>
          <w:rFonts w:ascii="Times New Roman" w:cs="Times New Roman" w:eastAsia="Times New Roman" w:hAnsi="Times New Roman"/>
          <w:sz w:val="22"/>
          <w:szCs w:val="22"/>
          <w:color w:val="auto"/>
        </w:rPr>
      </w:pPr>
    </w:p>
    <w:p>
      <w:pPr>
        <w:jc w:val="both"/>
        <w:ind w:firstLine="656"/>
        <w:spacing w:after="0" w:line="249" w:lineRule="auto"/>
        <w:tabs>
          <w:tab w:leader="none" w:pos="150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Ownership Cap</w:t>
      </w:r>
      <w:r>
        <w:rPr>
          <w:rFonts w:ascii="Times New Roman" w:cs="Times New Roman" w:eastAsia="Times New Roman" w:hAnsi="Times New Roman"/>
          <w:sz w:val="22"/>
          <w:szCs w:val="22"/>
          <w:color w:val="auto"/>
        </w:rPr>
        <w:t>. The Company shall not knowingly effect the exercise of this Warrant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Certificate, and the Holder shall not have the right to exercise this Warrant Certificate to the extent that, after giving effect to such exercise, the Holder (together with its Affiliates) would beneficially own in excess of 9.99% of the Common Shares of the Company immediately after giving effect to such exercise. For purposes of the foregoing sentence, the aggregate number of Common Shares owned by the Holder and its Affiliates shall include the number of Warrant Shares issuable upon exercise of this Warrant Certificate with respect to which the determination of such aggregate number is being made, but shall exclude Common Shares (if any) that would be issuable upon (i) exercise of the remaining, unexercised portion of this Warrant Certificate beneficially owned by the Holder and its Affiliates and (ii) exercise or conversion of the unexercised or unconverted portion of any other Capital Securities of the Company beneficially</w:t>
      </w:r>
    </w:p>
    <w:p>
      <w:pPr>
        <w:sectPr>
          <w:pgSz w:w="11900" w:h="16838" w:orient="portrait"/>
          <w:cols w:equalWidth="0" w:num="1">
            <w:col w:w="10060"/>
          </w:cols>
          <w:pgMar w:left="1400" w:top="1440" w:right="439" w:bottom="1440" w:gutter="0" w:footer="0" w:header="0"/>
        </w:sectPr>
      </w:pPr>
    </w:p>
    <w:bookmarkStart w:id="124" w:name="page125"/>
    <w:bookmarkEnd w:id="124"/>
    <w:p>
      <w:pPr>
        <w:spacing w:after="0" w:line="3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owned by the Holder and its Affiliates (including, without limitation, any Convertible Securities) subject to a limitation on conversion or exercise analogous to the limitations contained herein. Except as set forth in the preceding sentence, for purposes of this </w:t>
      </w:r>
      <w:r>
        <w:rPr>
          <w:rFonts w:ascii="Times New Roman" w:cs="Times New Roman" w:eastAsia="Times New Roman" w:hAnsi="Times New Roman"/>
          <w:sz w:val="22"/>
          <w:szCs w:val="22"/>
          <w:b w:val="1"/>
          <w:bCs w:val="1"/>
          <w:color w:val="auto"/>
        </w:rPr>
        <w:t>Section 3(k)</w:t>
      </w:r>
      <w:r>
        <w:rPr>
          <w:rFonts w:ascii="Times New Roman" w:cs="Times New Roman" w:eastAsia="Times New Roman" w:hAnsi="Times New Roman"/>
          <w:sz w:val="22"/>
          <w:szCs w:val="22"/>
          <w:color w:val="auto"/>
        </w:rPr>
        <w:t>, beneficial ownership shall be calculated in accordance with Section 13(d) of the Exchange Act. For purposes of this Warrant Certificate, in determining the number of outstanding Common Shares, the Holder of this Warrant Certificate may rely on the number of such outstanding Capital Securities as reflected in the most recent of (i) the Company’s Form 10-K, Form 10-Q or other public filing with the SEC, as the case may be, if available, (ii) a more recent public announcement by the Company, or (iii) any other notice by the Company or its transfer agent setting forth the number of outstanding Common Shares. In addition, upon the written request of the Holder (but not more than once during any calendar quarter), the Company shall, within three (3) Business Days, confirm to the Holder the number of its outstanding Common Shares. Furthermore, upon the written request of the Company (but not more than once during any calendar quarter), the Holder shall promptly confirm to the Company its then current beneficial ownership with respect to the Company’s Common Shares.</w:t>
      </w:r>
    </w:p>
    <w:p>
      <w:pPr>
        <w:spacing w:after="0" w:line="193" w:lineRule="exact"/>
        <w:rPr>
          <w:sz w:val="20"/>
          <w:szCs w:val="20"/>
          <w:color w:val="auto"/>
        </w:rPr>
      </w:pPr>
    </w:p>
    <w:p>
      <w:pPr>
        <w:jc w:val="both"/>
        <w:ind w:right="20" w:firstLine="656"/>
        <w:spacing w:after="0" w:line="256" w:lineRule="auto"/>
        <w:tabs>
          <w:tab w:leader="none" w:pos="150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provided herein with respect to cash payments in lieu of the issuance of fractional shares, and without regard to any exchange of consideration in connection with an automatic Cashless Exercise pursuant to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xml:space="preserve"> above or similar event, upon exercise of this Warrant Certificate the Holder shall not otherwise be entitled to receive cash or Warrant Shares that are registered under the Securities Act.</w:t>
      </w:r>
    </w:p>
    <w:p>
      <w:pPr>
        <w:spacing w:after="0" w:line="17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Section 4. Adjustment to Number of Warrant Shares, Exercise Price, etc</w:t>
      </w:r>
      <w:r>
        <w:rPr>
          <w:rFonts w:ascii="Times New Roman" w:cs="Times New Roman" w:eastAsia="Times New Roman" w:hAnsi="Times New Roman"/>
          <w:sz w:val="22"/>
          <w:szCs w:val="22"/>
          <w:color w:val="auto"/>
        </w:rPr>
        <w:t>. The number of Warrant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issuable upon exercise of this Warrant Certificate shall be subject to adjustment from time to time as provided in this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right="20" w:firstLine="656"/>
        <w:spacing w:after="0" w:line="258" w:lineRule="auto"/>
        <w:tabs>
          <w:tab w:leader="none" w:pos="150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 to Number of Warrant Shares Upon Reorganizations, Reclassifications, etc</w:t>
      </w:r>
      <w:r>
        <w:rPr>
          <w:rFonts w:ascii="Times New Roman" w:cs="Times New Roman" w:eastAsia="Times New Roman" w:hAnsi="Times New Roman"/>
          <w:sz w:val="22"/>
          <w:szCs w:val="22"/>
          <w:color w:val="auto"/>
        </w:rPr>
        <w: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event of any changes in the outstanding Common Shares of the Company by reason of redemptions, recapitalizations, reclassifications, combinations or exchanges of shares, splits or reverse splits, separations, reorganizations, liquidations,</w:t>
      </w:r>
    </w:p>
    <w:p>
      <w:pPr>
        <w:spacing w:after="0" w:line="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substitutions, replacements or the like (any of the foregoing or combination thereof being a “</w:t>
      </w:r>
      <w:r>
        <w:rPr>
          <w:rFonts w:ascii="Times New Roman" w:cs="Times New Roman" w:eastAsia="Times New Roman" w:hAnsi="Times New Roman"/>
          <w:sz w:val="21"/>
          <w:szCs w:val="21"/>
          <w:b w:val="1"/>
          <w:bCs w:val="1"/>
          <w:i w:val="1"/>
          <w:iCs w:val="1"/>
          <w:color w:val="auto"/>
        </w:rPr>
        <w:t>Share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Reorganization</w:t>
      </w:r>
      <w:r>
        <w:rPr>
          <w:rFonts w:ascii="Times New Roman" w:cs="Times New Roman" w:eastAsia="Times New Roman" w:hAnsi="Times New Roman"/>
          <w:sz w:val="21"/>
          <w:szCs w:val="21"/>
          <w:color w:val="auto"/>
        </w:rPr>
        <w:t>”), the number and class of Warrant Shares available upon exercise of this Warrant Certificate in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aggregate and the Exercise Price shall be correspondingly adjusted to give the Holder of this Warrant Certificate, on exercise for the same Aggregate Exercise Price, the total number, class, and kind of shares as the Holder would have owned had this Warrant Certificate been exercised prior to any such event and had the Holder continued to hold such Warrant Shares until after the event requiring adjustment. The form of this Warrant Certificate need not be changed because of any adjustment in the number of Warrant Shares subject to this Warrant Certificate.</w:t>
      </w:r>
    </w:p>
    <w:p>
      <w:pPr>
        <w:spacing w:after="0" w:line="262" w:lineRule="exact"/>
        <w:rPr>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 to Exercise Price Upon a Share Distribution</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clause (iii)</w:t>
      </w:r>
    </w:p>
    <w:p>
      <w:pPr>
        <w:spacing w:after="0" w:line="7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below, if the Company consummates or effects any Share Distribution for a price per Common Share less than the Exercise Price then in effect, then, effective upon such Share Distribution, the Exercise Price shall be reduced to a price determined by multiplying the Exercise Price then in</w:t>
      </w:r>
    </w:p>
    <w:p>
      <w:pPr>
        <w:sectPr>
          <w:pgSz w:w="11900" w:h="16838" w:orient="portrait"/>
          <w:cols w:equalWidth="0" w:num="1">
            <w:col w:w="10060"/>
          </w:cols>
          <w:pgMar w:left="1400" w:top="1440" w:right="439" w:bottom="1440" w:gutter="0" w:footer="0" w:header="0"/>
        </w:sectPr>
      </w:pPr>
    </w:p>
    <w:bookmarkStart w:id="125" w:name="page126"/>
    <w:bookmarkEnd w:id="125"/>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effect by a fraction, the numerator of which shall be the sum of (A) the number of Common Shares Deemed Outstanding immediately prior to such Share Distribution multiplied by the Exercise Price then in effect, plus (B) the consideration, if any, received by the Company upon such Share Distribution, and the denominator of which shall be the product of (1) the total number of Common Shares Deemed Outstanding immediately after such Share Distribution multiplied by (2) the Exercise Price in effect immediately prior to such Share Distribution. For purposes of this </w:t>
      </w:r>
      <w:r>
        <w:rPr>
          <w:rFonts w:ascii="Times New Roman" w:cs="Times New Roman" w:eastAsia="Times New Roman" w:hAnsi="Times New Roman"/>
          <w:sz w:val="22"/>
          <w:szCs w:val="22"/>
          <w:b w:val="1"/>
          <w:bCs w:val="1"/>
          <w:color w:val="auto"/>
        </w:rPr>
        <w:t>Section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4(b)</w:t>
      </w:r>
      <w:r>
        <w:rPr>
          <w:rFonts w:ascii="Times New Roman" w:cs="Times New Roman" w:eastAsia="Times New Roman" w:hAnsi="Times New Roman"/>
          <w:sz w:val="22"/>
          <w:szCs w:val="22"/>
          <w:color w:val="auto"/>
        </w:rPr>
        <w:t>:</w:t>
      </w:r>
    </w:p>
    <w:p>
      <w:pPr>
        <w:spacing w:after="0" w:line="278" w:lineRule="exact"/>
        <w:rPr>
          <w:sz w:val="20"/>
          <w:szCs w:val="20"/>
          <w:color w:val="auto"/>
        </w:rPr>
      </w:pPr>
    </w:p>
    <w:p>
      <w:pPr>
        <w:jc w:val="both"/>
        <w:ind w:right="20" w:firstLine="1296"/>
        <w:spacing w:after="0" w:line="247" w:lineRule="auto"/>
        <w:rPr>
          <w:sz w:val="20"/>
          <w:szCs w:val="20"/>
          <w:color w:val="auto"/>
        </w:rPr>
      </w:pPr>
      <w:r>
        <w:rPr>
          <w:rFonts w:ascii="Times New Roman" w:cs="Times New Roman" w:eastAsia="Times New Roman" w:hAnsi="Times New Roman"/>
          <w:sz w:val="22"/>
          <w:szCs w:val="22"/>
          <w:color w:val="auto"/>
        </w:rPr>
        <w:t>(i)In the event Options or Convertible Securities are included in any such Share Distribution, the price per Common Share deemed to have been issued or sold as a result of the sale or issuance of such Options or Convertible Securities, shall be equal to the price per Common Share for which Common Shares are issuable upon the exercise of such Options or upon conversion or exchange of such Convertible Securities, as the case may be (determined by dividing</w:t>
      </w:r>
    </w:p>
    <w:p>
      <w:pPr>
        <w:spacing w:after="0" w:line="5" w:lineRule="exact"/>
        <w:rPr>
          <w:sz w:val="20"/>
          <w:szCs w:val="20"/>
          <w:color w:val="auto"/>
        </w:rPr>
      </w:pPr>
    </w:p>
    <w:p>
      <w:pPr>
        <w:jc w:val="both"/>
        <w:ind w:right="20" w:firstLine="8"/>
        <w:spacing w:after="0" w:line="262" w:lineRule="auto"/>
        <w:tabs>
          <w:tab w:leader="none" w:pos="33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if any, received or receivable by the Company as consideration for the issuance, sale, distribution or grant of all such Options or Convertible Securities, plus the minimum aggregate amount of additional consideration payable to the Company, if any, upon the exercise of all such Options or the conversion or exchange of all such Convertible Securities (as the case may be), by (y) the total maximum number of Common Shares issuable upon the exercise of all such Options or upon the conversion or exchange of all such Convertible Securities (without, in each case, giving effect to any anti-dilution provisions included in such Options or Convertible Securities that are not applicable at the time of the applicable price per Common Share calculations)).</w:t>
      </w:r>
    </w:p>
    <w:p>
      <w:pPr>
        <w:spacing w:after="0" w:line="205" w:lineRule="exact"/>
        <w:rPr>
          <w:rFonts w:ascii="Times New Roman" w:cs="Times New Roman" w:eastAsia="Times New Roman" w:hAnsi="Times New Roman"/>
          <w:sz w:val="21"/>
          <w:szCs w:val="21"/>
          <w:color w:val="auto"/>
        </w:rPr>
      </w:pPr>
    </w:p>
    <w:p>
      <w:pPr>
        <w:ind w:left="2160" w:hanging="856"/>
        <w:spacing w:after="0"/>
        <w:tabs>
          <w:tab w:leader="none" w:pos="216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b w:val="1"/>
          <w:bCs w:val="1"/>
          <w:color w:val="auto"/>
        </w:rPr>
        <w:t>Section 4(b)</w:t>
      </w:r>
      <w:r>
        <w:rPr>
          <w:rFonts w:ascii="Times New Roman" w:cs="Times New Roman" w:eastAsia="Times New Roman" w:hAnsi="Times New Roman"/>
          <w:sz w:val="22"/>
          <w:szCs w:val="22"/>
          <w:color w:val="auto"/>
        </w:rPr>
        <w:t xml:space="preserve"> shall not in any event operate to increase the Exercise</w:t>
      </w:r>
    </w:p>
    <w:p>
      <w:pPr>
        <w:spacing w:after="0" w:line="8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w:t>
      </w:r>
    </w:p>
    <w:p>
      <w:pPr>
        <w:spacing w:after="0" w:line="22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Section 4(b)</w:t>
      </w:r>
      <w:r>
        <w:rPr>
          <w:rFonts w:ascii="Times New Roman" w:cs="Times New Roman" w:eastAsia="Times New Roman" w:hAnsi="Times New Roman"/>
          <w:sz w:val="22"/>
          <w:szCs w:val="22"/>
          <w:color w:val="auto"/>
        </w:rPr>
        <w:t xml:space="preserve"> shall not apply to any of the following:</w:t>
      </w:r>
    </w:p>
    <w:p>
      <w:pPr>
        <w:spacing w:after="0" w:line="223" w:lineRule="exact"/>
        <w:rPr>
          <w:rFonts w:ascii="Times New Roman" w:cs="Times New Roman" w:eastAsia="Times New Roman" w:hAnsi="Times New Roman"/>
          <w:sz w:val="22"/>
          <w:szCs w:val="22"/>
          <w:color w:val="auto"/>
        </w:rPr>
      </w:pPr>
    </w:p>
    <w:p>
      <w:pPr>
        <w:jc w:val="both"/>
        <w:ind w:left="2600" w:right="20" w:hanging="648"/>
        <w:spacing w:after="0" w:line="263" w:lineRule="auto"/>
        <w:tabs>
          <w:tab w:leader="none" w:pos="2589"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issuance, sale or other distribution of Common Shares, Options or Convertible Securities pursuant to (i) any Share Reorganization, which shall instead be governed by </w:t>
      </w:r>
      <w:r>
        <w:rPr>
          <w:rFonts w:ascii="Times New Roman" w:cs="Times New Roman" w:eastAsia="Times New Roman" w:hAnsi="Times New Roman"/>
          <w:sz w:val="22"/>
          <w:szCs w:val="22"/>
          <w:b w:val="1"/>
          <w:bCs w:val="1"/>
          <w:color w:val="auto"/>
        </w:rPr>
        <w:t>Section 4(a)</w:t>
      </w:r>
      <w:r>
        <w:rPr>
          <w:rFonts w:ascii="Times New Roman" w:cs="Times New Roman" w:eastAsia="Times New Roman" w:hAnsi="Times New Roman"/>
          <w:sz w:val="22"/>
          <w:szCs w:val="22"/>
          <w:color w:val="auto"/>
        </w:rPr>
        <w:t xml:space="preserve"> above, or (ii) any</w:t>
      </w:r>
    </w:p>
    <w:p>
      <w:pPr>
        <w:spacing w:after="0" w:line="18" w:lineRule="exact"/>
        <w:rPr>
          <w:rFonts w:ascii="Times New Roman" w:cs="Times New Roman" w:eastAsia="Times New Roman" w:hAnsi="Times New Roman"/>
          <w:sz w:val="22"/>
          <w:szCs w:val="22"/>
          <w:color w:val="auto"/>
        </w:rPr>
      </w:pPr>
    </w:p>
    <w:p>
      <w:pPr>
        <w:ind w:left="2600" w:right="76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 or distribution to holders of Common Shares, which shall instead by governed by </w:t>
      </w:r>
      <w:r>
        <w:rPr>
          <w:rFonts w:ascii="Times New Roman" w:cs="Times New Roman" w:eastAsia="Times New Roman" w:hAnsi="Times New Roman"/>
          <w:sz w:val="22"/>
          <w:szCs w:val="22"/>
          <w:b w:val="1"/>
          <w:bCs w:val="1"/>
          <w:color w:val="auto"/>
        </w:rPr>
        <w:t>Section 4(c)</w:t>
      </w:r>
      <w:r>
        <w:rPr>
          <w:rFonts w:ascii="Times New Roman" w:cs="Times New Roman" w:eastAsia="Times New Roman" w:hAnsi="Times New Roman"/>
          <w:sz w:val="22"/>
          <w:szCs w:val="22"/>
          <w:color w:val="auto"/>
        </w:rPr>
        <w:t xml:space="preserve"> below.</w:t>
      </w:r>
    </w:p>
    <w:p>
      <w:pPr>
        <w:spacing w:after="0" w:line="157" w:lineRule="exact"/>
        <w:rPr>
          <w:rFonts w:ascii="Times New Roman" w:cs="Times New Roman" w:eastAsia="Times New Roman" w:hAnsi="Times New Roman"/>
          <w:sz w:val="22"/>
          <w:szCs w:val="22"/>
          <w:color w:val="auto"/>
        </w:rPr>
      </w:pPr>
    </w:p>
    <w:p>
      <w:pPr>
        <w:jc w:val="both"/>
        <w:ind w:left="2600" w:right="20" w:hanging="648"/>
        <w:spacing w:after="0" w:line="263" w:lineRule="auto"/>
        <w:tabs>
          <w:tab w:leader="none" w:pos="2591"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Common Shares upon exercise or conversion of any Options or Convertible Securities included in the Common Shares Deemed Outstanding as of the Issue Date.</w:t>
      </w:r>
    </w:p>
    <w:p>
      <w:pPr>
        <w:spacing w:after="0" w:line="167" w:lineRule="exact"/>
        <w:rPr>
          <w:rFonts w:ascii="Times New Roman" w:cs="Times New Roman" w:eastAsia="Times New Roman" w:hAnsi="Times New Roman"/>
          <w:sz w:val="22"/>
          <w:szCs w:val="22"/>
          <w:color w:val="auto"/>
        </w:rPr>
      </w:pPr>
    </w:p>
    <w:p>
      <w:pPr>
        <w:jc w:val="both"/>
        <w:ind w:left="2600" w:right="20" w:hanging="648"/>
        <w:spacing w:after="0" w:line="257" w:lineRule="auto"/>
        <w:tabs>
          <w:tab w:leader="none" w:pos="2591"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or issuance of Common Shares, Options or Convertible Securities to board members, officers, employees, consultants or other service providers of the Company pursuant to any employee</w:t>
      </w:r>
    </w:p>
    <w:p>
      <w:pPr>
        <w:sectPr>
          <w:pgSz w:w="11900" w:h="16838" w:orient="portrait"/>
          <w:cols w:equalWidth="0" w:num="1">
            <w:col w:w="10060"/>
          </w:cols>
          <w:pgMar w:left="1400" w:top="1440" w:right="439" w:bottom="1440" w:gutter="0" w:footer="0" w:header="0"/>
        </w:sectPr>
      </w:pPr>
    </w:p>
    <w:bookmarkStart w:id="126" w:name="page127"/>
    <w:bookmarkEnd w:id="126"/>
    <w:p>
      <w:pPr>
        <w:spacing w:after="0" w:line="374" w:lineRule="exact"/>
        <w:rPr>
          <w:sz w:val="20"/>
          <w:szCs w:val="20"/>
          <w:color w:val="auto"/>
        </w:rPr>
      </w:pPr>
    </w:p>
    <w:p>
      <w:pPr>
        <w:jc w:val="both"/>
        <w:ind w:left="2600" w:right="20"/>
        <w:spacing w:after="0" w:line="251" w:lineRule="auto"/>
        <w:rPr>
          <w:sz w:val="20"/>
          <w:szCs w:val="20"/>
          <w:color w:val="auto"/>
        </w:rPr>
      </w:pPr>
      <w:r>
        <w:rPr>
          <w:rFonts w:ascii="Times New Roman" w:cs="Times New Roman" w:eastAsia="Times New Roman" w:hAnsi="Times New Roman"/>
          <w:sz w:val="22"/>
          <w:szCs w:val="22"/>
          <w:color w:val="auto"/>
        </w:rPr>
        <w:t xml:space="preserve">incentive plan, employee share purchase plan or similar equity- based benefit plans (including any inducement award granted in accordance with the Nasdaq Listing Rules) approved by the Company’s Board or duly authorized committee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total number of securities issued under this sub-clause for a price per share less than the Exercise Price shall not constitute more than five percent (5.0%) of the total number of Common Shares Deemed Outstanding at any time.</w:t>
      </w:r>
    </w:p>
    <w:p>
      <w:pPr>
        <w:spacing w:after="0" w:line="191" w:lineRule="exact"/>
        <w:rPr>
          <w:sz w:val="20"/>
          <w:szCs w:val="20"/>
          <w:color w:val="auto"/>
        </w:rPr>
      </w:pPr>
    </w:p>
    <w:p>
      <w:pPr>
        <w:jc w:val="both"/>
        <w:ind w:firstLine="656"/>
        <w:spacing w:after="0" w:line="252" w:lineRule="auto"/>
        <w:tabs>
          <w:tab w:leader="none" w:pos="150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 to Number of Warrant Shares Upon Dividends, Distributions, etc</w:t>
      </w:r>
      <w:r>
        <w:rPr>
          <w:rFonts w:ascii="Times New Roman" w:cs="Times New Roman" w:eastAsia="Times New Roman" w:hAnsi="Times New Roman"/>
          <w:sz w:val="22"/>
          <w:szCs w:val="22"/>
          <w:color w:val="auto"/>
        </w:rPr>
        <w:t>. 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declares or pays a dividend or distribution on its outstanding Common Shares payable in cash, Capital Securities or other property, the Holder shall be entitled to receive, at the time such dividend or distribution is paid, without additional cost to the Holder, the total number and kind of cash, Capital Securities or other property which the Holder would have received had the Holder owned the Warrant Shares of record as of the date such dividend or distribution was paid.</w:t>
      </w:r>
    </w:p>
    <w:p>
      <w:pPr>
        <w:spacing w:after="0" w:line="17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Certificate as to Adjustment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right="2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(i)As promptly as reasonably practicable following any change or adjustment of the type described above in this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but in any event not later than ten (10) Business Days thereafter, the Company shall furnish to the Holder a certificate of an Authorized Officer setting forth in reasonable detail such adjustment and the facts upon which it is based and certifying the calculation thereof.</w:t>
      </w:r>
    </w:p>
    <w:p>
      <w:pPr>
        <w:spacing w:after="0" w:line="193" w:lineRule="exact"/>
        <w:rPr>
          <w:sz w:val="20"/>
          <w:szCs w:val="20"/>
          <w:color w:val="auto"/>
        </w:rPr>
      </w:pPr>
    </w:p>
    <w:p>
      <w:pPr>
        <w:jc w:val="both"/>
        <w:ind w:right="20" w:firstLine="1304"/>
        <w:spacing w:after="0" w:line="252" w:lineRule="auto"/>
        <w:tabs>
          <w:tab w:leader="none" w:pos="215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following the receipt by the Company of a written request by the Holder, but in any event not later than ten (10) Business Days thereafter, the Company shall furnish to the Holder a certificate of an Authorized Officer certifying the number of Warrant Shares or the amount, if any, of other shares, securities or assets then issuable upon exercise of the Warrant Certificate.</w:t>
      </w:r>
    </w:p>
    <w:p>
      <w:pPr>
        <w:spacing w:after="0" w:line="175"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In the event that, at any time during the Exercise Period the Company shall take a record of the holders of its outstanding Common Shares (or other Capital Securities at the time issuable upon exercise of this Warrant Certificate) for the purpose of:</w:t>
      </w:r>
    </w:p>
    <w:p>
      <w:pPr>
        <w:spacing w:after="0" w:line="165"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(i)entitling or enabling such holders to receive any dividend or other distribution, to receive any right to subscribe for or purchase any shares of any class or any other securities, or to receive any other security;</w:t>
      </w:r>
    </w:p>
    <w:p>
      <w:pPr>
        <w:spacing w:after="0" w:line="23" w:lineRule="exact"/>
        <w:rPr>
          <w:sz w:val="20"/>
          <w:szCs w:val="20"/>
          <w:color w:val="auto"/>
        </w:rPr>
      </w:pPr>
    </w:p>
    <w:p>
      <w:pPr>
        <w:jc w:val="both"/>
        <w:ind w:right="20" w:firstLine="1304"/>
        <w:spacing w:after="0" w:line="257" w:lineRule="auto"/>
        <w:tabs>
          <w:tab w:leader="none" w:pos="215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any capital reorganization of the Company, any reclassification of any outstanding securities, any consolidation or merger of the Company with or into another Person, or (y) a Sale of the Company; or</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21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voluntary or involuntary dissolution, liquidation or winding-up bankruptcy or similar event involving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 and in each such case, the Company shall send or cause to be sent to the Holder at least ten</w:t>
      </w:r>
    </w:p>
    <w:p>
      <w:pPr>
        <w:sectPr>
          <w:pgSz w:w="11900" w:h="16838" w:orient="portrait"/>
          <w:cols w:equalWidth="0" w:num="1">
            <w:col w:w="10060"/>
          </w:cols>
          <w:pgMar w:left="1400" w:top="1440" w:right="439" w:bottom="1440" w:gutter="0" w:footer="0" w:header="0"/>
        </w:sectPr>
      </w:pPr>
    </w:p>
    <w:bookmarkStart w:id="127" w:name="page128"/>
    <w:bookmarkEnd w:id="127"/>
    <w:p>
      <w:pPr>
        <w:spacing w:after="0" w:line="158" w:lineRule="exact"/>
        <w:rPr>
          <w:sz w:val="20"/>
          <w:szCs w:val="20"/>
          <w:color w:val="auto"/>
        </w:rPr>
      </w:pPr>
    </w:p>
    <w:p>
      <w:pPr>
        <w:jc w:val="both"/>
        <w:ind w:right="20" w:firstLine="8"/>
        <w:spacing w:after="0" w:line="260" w:lineRule="auto"/>
        <w:tabs>
          <w:tab w:leader="none" w:pos="41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prior to the applicable record date or the applicable expected effective date, as the case may be, for the event, a written notice specifying, as the case may be, (A) the record date for such dividend, distribution or other right or action, and a description of such dividend, distribution or other right or action, or (B) the effective date on which such reorganization, reclassification, consolidation, merger, Sale of the Company, dissolution, liquidation, winding-up or bankruptcy is proposed to take place, and the date, if any is to be fixed, as of which the books of the Company shall close or a record shall be taken with respect to which the holders of record of its Common Shares (or such other Capital Securities at the time issuable upon exercise of the Warrant Certificate) shall be entitled to exchange their Common Shares (or such other Capital Securities), for securities or other property deliverable upon such reorganization, reclassification, consolidation, merger, Sale of the Company, dissolution, liquidation, winding-up or bankruptcy, and the amount per share and character of such exchange applicable to the Warrant Certificate and the Warrant Shares. The above notwithstanding, the Company shall not be required to provide the Holder with notice containing such information if the Company reasonably believes that it constitutes material non-public information, unless the Holder (i) confirms to the Company in writing that it consents to receive such information, and (ii) executes a customary market standstill or equivalent agreement pursuant to which the Holder will agree not to trade in the Company’s Common Shares or other Capital Securities while in possession of such material non-public information or until such information is no longer material or non-public.</w:t>
      </w:r>
    </w:p>
    <w:p>
      <w:pPr>
        <w:spacing w:after="0" w:line="17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b w:val="1"/>
          <w:bCs w:val="1"/>
          <w:color w:val="auto"/>
        </w:rPr>
        <w:t>Section 5. Warrant Register</w:t>
      </w:r>
      <w:r>
        <w:rPr>
          <w:rFonts w:ascii="Times New Roman" w:cs="Times New Roman" w:eastAsia="Times New Roman" w:hAnsi="Times New Roman"/>
          <w:sz w:val="22"/>
          <w:szCs w:val="22"/>
          <w:color w:val="auto"/>
        </w:rPr>
        <w:t>. The Company shall keep and properly maintain at its principal executive offices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 (the “</w:t>
      </w:r>
      <w:r>
        <w:rPr>
          <w:rFonts w:ascii="Times New Roman" w:cs="Times New Roman" w:eastAsia="Times New Roman" w:hAnsi="Times New Roman"/>
          <w:sz w:val="22"/>
          <w:szCs w:val="22"/>
          <w:b w:val="1"/>
          <w:bCs w:val="1"/>
          <w:i w:val="1"/>
          <w:iCs w:val="1"/>
          <w:color w:val="auto"/>
        </w:rPr>
        <w:t>Warrant Register</w:t>
      </w:r>
      <w:r>
        <w:rPr>
          <w:rFonts w:ascii="Times New Roman" w:cs="Times New Roman" w:eastAsia="Times New Roman" w:hAnsi="Times New Roman"/>
          <w:sz w:val="22"/>
          <w:szCs w:val="22"/>
          <w:color w:val="auto"/>
        </w:rPr>
        <w:t>”) for the registration of this Warrant Certificate and any transfers thereof. The Company may deem and treat the Person in whose 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Section 6. Registration Rights</w:t>
      </w:r>
      <w:r>
        <w:rPr>
          <w:rFonts w:ascii="Times New Roman" w:cs="Times New Roman" w:eastAsia="Times New Roman" w:hAnsi="Times New Roman"/>
          <w:sz w:val="22"/>
          <w:szCs w:val="22"/>
          <w:color w:val="auto"/>
        </w:rPr>
        <w:t>. The Holder is entitled to the benefit of certain registration rights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Shares as provided in the Registration Rights Agreement, dated as of April 30, 2024, by and between the Company and the Initial Holder (the “</w:t>
      </w:r>
      <w:r>
        <w:rPr>
          <w:rFonts w:ascii="Times New Roman" w:cs="Times New Roman" w:eastAsia="Times New Roman" w:hAnsi="Times New Roman"/>
          <w:sz w:val="22"/>
          <w:szCs w:val="22"/>
          <w:b w:val="1"/>
          <w:bCs w:val="1"/>
          <w:i w:val="1"/>
          <w:iCs w:val="1"/>
          <w:color w:val="auto"/>
        </w:rPr>
        <w:t>Registration Rights Agreement</w:t>
      </w:r>
      <w:r>
        <w:rPr>
          <w:rFonts w:ascii="Times New Roman" w:cs="Times New Roman" w:eastAsia="Times New Roman" w:hAnsi="Times New Roman"/>
          <w:sz w:val="22"/>
          <w:szCs w:val="22"/>
          <w:color w:val="auto"/>
        </w:rPr>
        <w:t>”), and any subsequent Holder hereof shall be entitled to such rights to the extent provided in the Registration Rights Agreement. If the Company fails to cause any Registration Statement covering applicable “Registrable Securities” (as that term is defined in the Registration Rights Agreement) to be declared effective prior to the applicable dates set forth therein, or if any of the events specified in Section 2(b) of the Registration Rights Agreement occurs, and the Suspension Period (as that term is defined in the Registration Rights Agreement) (whether alone, or in combination with any other Suspension Period) continues for more than 30 consecutive days, or for more than a total of 60 days, in each case in any 360-day period, then the Expiration Date</w:t>
      </w:r>
    </w:p>
    <w:p>
      <w:pPr>
        <w:spacing w:after="0" w:line="4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of this Warrant Certificate shall be extended one day for each day beyond the applicable dates for effectiveness of the Registration Statement that such Registration Statement has not been declared effective by the SEC or the 30-day or 60-day limits, as the case may be, that the Suspension Period continues.</w:t>
      </w:r>
    </w:p>
    <w:p>
      <w:pPr>
        <w:sectPr>
          <w:pgSz w:w="11900" w:h="16838" w:orient="portrait"/>
          <w:cols w:equalWidth="0" w:num="1">
            <w:col w:w="10060"/>
          </w:cols>
          <w:pgMar w:left="1400" w:top="1440" w:right="439" w:bottom="1440" w:gutter="0" w:footer="0" w:header="0"/>
        </w:sectPr>
      </w:pPr>
    </w:p>
    <w:bookmarkStart w:id="128" w:name="page129"/>
    <w:bookmarkEnd w:id="128"/>
    <w:p>
      <w:pPr>
        <w:spacing w:after="0" w:line="37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b w:val="1"/>
          <w:bCs w:val="1"/>
          <w:color w:val="auto"/>
        </w:rPr>
        <w:t>Section 7. Transfer of Warrant Certificate</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Section 11 </w:t>
      </w:r>
      <w:r>
        <w:rPr>
          <w:rFonts w:ascii="Times New Roman" w:cs="Times New Roman" w:eastAsia="Times New Roman" w:hAnsi="Times New Roman"/>
          <w:sz w:val="22"/>
          <w:szCs w:val="22"/>
          <w:color w:val="auto"/>
        </w:rPr>
        <w:t>hereof, this Warrant Certificate and all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are transferable, in whole or in part, by the Holder without charge to the Holder, upon surrender of this Warrant Certificate to the Company at its then principal executive offices with a properly completed and duly executed Assignment in the form attached hereto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Upon such compliance, surrender and delivery, the Company shall execute and deliver a new Warrant Certificate or Warrant Certificates in the name of the assignee or assignees and in the denominations specified in such instrument of assignment, and shall issue to the assignor a new Warrant Certificate evidencing the portion of this Warrant Certificate, if any, not so assigned, and this Warrant Certificate shall promptly be cancelled.</w:t>
      </w:r>
    </w:p>
    <w:p>
      <w:pPr>
        <w:spacing w:after="0" w:line="178"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b w:val="1"/>
          <w:bCs w:val="1"/>
          <w:color w:val="auto"/>
        </w:rPr>
        <w:t>Section 8. The Holder Not Deemed a Shareholder; Limitations on Liability</w:t>
      </w:r>
      <w:r>
        <w:rPr>
          <w:rFonts w:ascii="Times New Roman" w:cs="Times New Roman" w:eastAsia="Times New Roman" w:hAnsi="Times New Roman"/>
          <w:sz w:val="22"/>
          <w:szCs w:val="22"/>
          <w:color w:val="auto"/>
        </w:rPr>
        <w:t>. Except as otherwise specifically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provided herein (including in </w:t>
      </w:r>
      <w:r>
        <w:rPr>
          <w:rFonts w:ascii="Times New Roman" w:cs="Times New Roman" w:eastAsia="Times New Roman" w:hAnsi="Times New Roman"/>
          <w:sz w:val="22"/>
          <w:szCs w:val="22"/>
          <w:b w:val="1"/>
          <w:bCs w:val="1"/>
          <w:color w:val="auto"/>
        </w:rPr>
        <w:t>4(c)</w:t>
      </w:r>
      <w:r>
        <w:rPr>
          <w:rFonts w:ascii="Times New Roman" w:cs="Times New Roman" w:eastAsia="Times New Roman" w:hAnsi="Times New Roman"/>
          <w:sz w:val="22"/>
          <w:szCs w:val="22"/>
          <w:color w:val="auto"/>
        </w:rPr>
        <w:t xml:space="preserve"> above and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color w:val="auto"/>
        </w:rPr>
        <w:t xml:space="preserve"> below), (i) prior to the Exercise Date, the Holder shall not be entitled to receive dividends, nor shall anything contained in this Warrant Certificate be construed to confer upon the Holder, as such, any of the rights of a shareholder of the Company or any right to receive dividends or subscription rights, and</w:t>
      </w:r>
    </w:p>
    <w:p>
      <w:pPr>
        <w:spacing w:after="0" w:line="1" w:lineRule="exact"/>
        <w:rPr>
          <w:sz w:val="20"/>
          <w:szCs w:val="20"/>
          <w:color w:val="auto"/>
        </w:rPr>
      </w:pPr>
    </w:p>
    <w:p>
      <w:pPr>
        <w:jc w:val="both"/>
        <w:ind w:right="20" w:firstLine="8"/>
        <w:spacing w:after="0" w:line="259" w:lineRule="auto"/>
        <w:tabs>
          <w:tab w:leader="none" w:pos="32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registration of the Holder in the share register of the Company with respect to the Warrant Shares to which the Holder is then entitled to receive upon the due exercise of this Warrant Certificate, the Holder shall not be entitled to vote, nor shall anything contained in this Warrant Certificate be construed to confer upon the Holder, as such, any right to vote, give or withhold consent to any corporate action (whether any reorganization, issue of shares, reclassification of shares, consolidation, merger, conveyance or otherwise) or receive notice of meetings. In addition, nothing contained in this Warrant Certificate shall be construed as imposing any liabilities on the Holder to purchase any securities (upon exercise of this Warrant Certificate or otherwise) or as a shareholder of the Company, whether such liabilities are asserted by the Company or by creditors of the Company. Notwithstanding this </w:t>
      </w:r>
      <w:r>
        <w:rPr>
          <w:rFonts w:ascii="Times New Roman" w:cs="Times New Roman" w:eastAsia="Times New Roman" w:hAnsi="Times New Roman"/>
          <w:sz w:val="21"/>
          <w:szCs w:val="21"/>
          <w:b w:val="1"/>
          <w:bCs w:val="1"/>
          <w:color w:val="auto"/>
        </w:rPr>
        <w:t>Section 8</w:t>
      </w:r>
      <w:r>
        <w:rPr>
          <w:rFonts w:ascii="Times New Roman" w:cs="Times New Roman" w:eastAsia="Times New Roman" w:hAnsi="Times New Roman"/>
          <w:sz w:val="21"/>
          <w:szCs w:val="21"/>
          <w:color w:val="auto"/>
        </w:rPr>
        <w:t>, the Company shall provide the Holder with copies of the same notices and other information given to all shareholders of the Company generally, contemporaneously with the giving thereof to such shareholders, unless such notice or information had been made publicly available on the SEC’s EDGAR system website.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 Replacement on Loss; Division and Combination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49" w:lineRule="auto"/>
        <w:tabs>
          <w:tab w:leader="none" w:pos="150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Replacement of Warrant Certificate on Loss</w:t>
      </w:r>
      <w:r>
        <w:rPr>
          <w:rFonts w:ascii="Times New Roman" w:cs="Times New Roman" w:eastAsia="Times New Roman" w:hAnsi="Times New Roman"/>
          <w:sz w:val="22"/>
          <w:szCs w:val="22"/>
          <w:color w:val="auto"/>
        </w:rPr>
        <w:t>. Subject to any further requirements in relation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cancellation of this Warrant Certificate pursuant to applicable Laws, upon receipt of evidence reasonably satisfactory to the Company of the loss, theft, destruction or mutilation of this Warrant Certificate and upon delivery of an indemnity reasonably satisfactory to it (it being understood that a written indemnification agreement or affidavit of loss of the Holder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Shares as this Warrant Certificate so lost, stolen, mutilated or destroyed;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mutilation, no indemnity shall be required if this Warrant Certificate in identifiable form is surrendered to the Company for cancellation.</w:t>
      </w:r>
    </w:p>
    <w:p>
      <w:pPr>
        <w:sectPr>
          <w:pgSz w:w="11900" w:h="16838" w:orient="portrait"/>
          <w:cols w:equalWidth="0" w:num="1">
            <w:col w:w="10060"/>
          </w:cols>
          <w:pgMar w:left="1400" w:top="1440" w:right="439" w:bottom="1440" w:gutter="0" w:footer="0" w:header="0"/>
        </w:sectPr>
      </w:pPr>
    </w:p>
    <w:bookmarkStart w:id="129" w:name="page130"/>
    <w:bookmarkEnd w:id="129"/>
    <w:p>
      <w:pPr>
        <w:spacing w:after="0" w:line="235" w:lineRule="exact"/>
        <w:rPr>
          <w:sz w:val="20"/>
          <w:szCs w:val="20"/>
          <w:color w:val="auto"/>
        </w:rPr>
      </w:pPr>
    </w:p>
    <w:p>
      <w:pPr>
        <w:jc w:val="both"/>
        <w:ind w:firstLine="656"/>
        <w:spacing w:after="0" w:line="248" w:lineRule="auto"/>
        <w:tabs>
          <w:tab w:leader="none" w:pos="150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Division and Combination of Warrant Certificate</w:t>
      </w:r>
      <w:r>
        <w:rPr>
          <w:rFonts w:ascii="Times New Roman" w:cs="Times New Roman" w:eastAsia="Times New Roman" w:hAnsi="Times New Roman"/>
          <w:sz w:val="22"/>
          <w:szCs w:val="22"/>
          <w:color w:val="auto"/>
        </w:rPr>
        <w:t>. Subject to compliance with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this Warrant Certificate as to any transfer or other assignment which may be involved in such division or combination, this Warrant Certificate may be divided or, following any such division of this Warrant Certificate, subsequently combined with other Warrant Certificates, upon the surrender of this Warrant Certificate or Warrant Certificates to the Company at its then principal executive offices, together with a written notice specifying the names and denominations in which new Warrant Certificates are to be issued, signed by each applicable Holder or its agents or attorneys. Subject to compliance with the applicable provisions of this 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 Warrant Certificates shall be of like tenor to the surrendered Warrant Certificate or Warrant Certificates and shall be exercisable in the aggregate for an equivalent number of Warrant Shares as this Warrant Certificate or Warrant Certificates so surrendered in accordance with such notice.</w:t>
      </w:r>
    </w:p>
    <w:p>
      <w:pPr>
        <w:spacing w:after="0" w:line="17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b w:val="1"/>
          <w:bCs w:val="1"/>
          <w:color w:val="auto"/>
        </w:rPr>
        <w:t>Disputes; No Impairment, etc</w:t>
      </w:r>
      <w:r>
        <w:rPr>
          <w:rFonts w:ascii="Times New Roman" w:cs="Times New Roman" w:eastAsia="Times New Roman" w:hAnsi="Times New Roman"/>
          <w:sz w:val="21"/>
          <w:szCs w:val="21"/>
          <w:color w:val="auto"/>
        </w:rPr>
        <w:t>. The parties hereto agree as follows:</w:t>
      </w:r>
    </w:p>
    <w:p>
      <w:pPr>
        <w:spacing w:after="0" w:line="220" w:lineRule="exact"/>
        <w:rPr>
          <w:sz w:val="20"/>
          <w:szCs w:val="20"/>
          <w:color w:val="auto"/>
        </w:rPr>
      </w:pPr>
    </w:p>
    <w:p>
      <w:pPr>
        <w:jc w:val="both"/>
        <w:ind w:firstLine="656"/>
        <w:spacing w:after="0" w:line="249" w:lineRule="auto"/>
        <w:tabs>
          <w:tab w:leader="none" w:pos="150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Disputes</w:t>
      </w:r>
      <w:r>
        <w:rPr>
          <w:rFonts w:ascii="Times New Roman" w:cs="Times New Roman" w:eastAsia="Times New Roman" w:hAnsi="Times New Roman"/>
          <w:sz w:val="22"/>
          <w:szCs w:val="22"/>
          <w:color w:val="auto"/>
        </w:rPr>
        <w:t>. In the event of any dispute which arises between the Holder and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(including the Board) with respect to the calculation or determination of Fair Market Value, VWAP, the adjusted Exercise Price, the number of Warrant Shares, other Capital Securities, cash or other property issuable upon exercise of this Warrant Certificate, the amount or type of consideration due to the Holder in connection with any event, transaction or other matter described in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above or any other matter involving this Warrant Certificate or the Warrant Shares that is not resolved by the parties after good faith discussions and efforts to reach resolution, upon the request of the Holder the disputed issue(s) shall be submitted to a firm of independent investment bankers or public accountants of recognized national standing, which (i) shall be chosen by the Company and be reasonably satisfactory to the Holder and (ii) shall be completely independent of the Company (an “</w:t>
      </w:r>
      <w:r>
        <w:rPr>
          <w:rFonts w:ascii="Times New Roman" w:cs="Times New Roman" w:eastAsia="Times New Roman" w:hAnsi="Times New Roman"/>
          <w:sz w:val="22"/>
          <w:szCs w:val="22"/>
          <w:b w:val="1"/>
          <w:bCs w:val="1"/>
          <w:i w:val="1"/>
          <w:iCs w:val="1"/>
          <w:color w:val="auto"/>
        </w:rPr>
        <w:t>Independent Advisor</w:t>
      </w:r>
      <w:r>
        <w:rPr>
          <w:rFonts w:ascii="Times New Roman" w:cs="Times New Roman" w:eastAsia="Times New Roman" w:hAnsi="Times New Roman"/>
          <w:sz w:val="22"/>
          <w:szCs w:val="22"/>
          <w:color w:val="auto"/>
        </w:rPr>
        <w:t>”), for determination, and such determination by the Independent Advisor shall be binding upon the Company and the Holder with respect to this Warrant, any Warrant Shares issued in connection herewith or the matter in dispute, as the case may be, absent manifest error. Costs and expenses of the Independent Advisor shall be paid by the Company.</w:t>
      </w:r>
    </w:p>
    <w:p>
      <w:pPr>
        <w:spacing w:after="0" w:line="178" w:lineRule="exact"/>
        <w:rPr>
          <w:rFonts w:ascii="Times New Roman" w:cs="Times New Roman" w:eastAsia="Times New Roman" w:hAnsi="Times New Roman"/>
          <w:sz w:val="22"/>
          <w:szCs w:val="22"/>
          <w:color w:val="auto"/>
        </w:rPr>
      </w:pPr>
    </w:p>
    <w:p>
      <w:pPr>
        <w:jc w:val="both"/>
        <w:ind w:right="20" w:firstLine="656"/>
        <w:spacing w:after="0" w:line="248" w:lineRule="auto"/>
        <w:tabs>
          <w:tab w:leader="none" w:pos="150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Equitable Equivalent</w:t>
      </w:r>
      <w:r>
        <w:rPr>
          <w:rFonts w:ascii="Times New Roman" w:cs="Times New Roman" w:eastAsia="Times New Roman" w:hAnsi="Times New Roman"/>
          <w:sz w:val="22"/>
          <w:szCs w:val="22"/>
          <w:color w:val="auto"/>
        </w:rPr>
        <w:t>. In case any event shall occur as to which the provisions of</w:t>
      </w:r>
      <w:r>
        <w:rPr>
          <w:rFonts w:ascii="Times New Roman" w:cs="Times New Roman" w:eastAsia="Times New Roman" w:hAnsi="Times New Roman"/>
          <w:sz w:val="22"/>
          <w:szCs w:val="22"/>
          <w:b w:val="1"/>
          <w:bCs w:val="1"/>
          <w:color w:val="auto"/>
        </w:rPr>
        <w:t xml:space="preserve"> Section 10(a) </w:t>
      </w:r>
      <w:r>
        <w:rPr>
          <w:rFonts w:ascii="Times New Roman" w:cs="Times New Roman" w:eastAsia="Times New Roman" w:hAnsi="Times New Roman"/>
          <w:sz w:val="22"/>
          <w:szCs w:val="22"/>
          <w:color w:val="auto"/>
        </w:rPr>
        <w:t xml:space="preserve">above are not strictly applicable but the failure to make any adjustment would not, in the reasonable, good faith opinion of the Holder, fairly protect the rights and benefits of the Holder represented by this Warrant Certificate in accordance with the essential intent and principles of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 xml:space="preserve">, then, in any such case, at the request of the Holder, the Company shall submit the matter and issues raised by the Holder to an Independent Advisor, which shall give its opinion upon the adjustment, if any, on a basis consistent with the essential intent and principles established in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 to the extent necessary to preserve, without dilution, the rights and benefits represented by this Warrant Certificate. Upon receipt of such opinion, the Company will promptly mail a copy thereof to the Holder and shall make the adjustments</w:t>
      </w:r>
    </w:p>
    <w:p>
      <w:pPr>
        <w:sectPr>
          <w:pgSz w:w="11900" w:h="16838" w:orient="portrait"/>
          <w:cols w:equalWidth="0" w:num="1">
            <w:col w:w="10060"/>
          </w:cols>
          <w:pgMar w:left="1400" w:top="1440" w:right="439" w:bottom="1440" w:gutter="0" w:footer="0" w:header="0"/>
        </w:sectPr>
      </w:pPr>
    </w:p>
    <w:bookmarkStart w:id="130" w:name="page131"/>
    <w:bookmarkEnd w:id="130"/>
    <w:p>
      <w:pPr>
        <w:spacing w:after="0" w:line="38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described therein, if any. Costs and expenses of the Independent Advisor shall be shared 50/50 by the Company and the Holder.</w:t>
      </w:r>
    </w:p>
    <w:p>
      <w:pPr>
        <w:spacing w:after="0" w:line="5" w:lineRule="exact"/>
        <w:rPr>
          <w:sz w:val="20"/>
          <w:szCs w:val="20"/>
          <w:color w:val="auto"/>
        </w:rPr>
      </w:pPr>
    </w:p>
    <w:p>
      <w:pPr>
        <w:jc w:val="both"/>
        <w:ind w:right="20" w:firstLine="656"/>
        <w:spacing w:after="0" w:line="258" w:lineRule="auto"/>
        <w:tabs>
          <w:tab w:leader="none" w:pos="150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Avoidance. </w:t>
      </w:r>
      <w:r>
        <w:rPr>
          <w:rFonts w:ascii="Times New Roman" w:cs="Times New Roman" w:eastAsia="Times New Roman" w:hAnsi="Times New Roman"/>
          <w:sz w:val="22"/>
          <w:szCs w:val="22"/>
          <w:color w:val="auto"/>
        </w:rPr>
        <w:t>The Company shall not, by way of amendment of any of its Charter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Organic Documents or through any consolidation, merger, reorganization, transfer of assets, dissolution, issue or sale of securities or any other voluntary action, avoid or seek to avoid the observance or performance of any of the terms of this Warrant Certificate, and will at all times in good faith assist in the carrying out of all such terms.</w:t>
      </w:r>
    </w:p>
    <w:p>
      <w:pPr>
        <w:spacing w:after="0" w:line="16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b w:val="1"/>
          <w:bCs w:val="1"/>
          <w:color w:val="auto"/>
        </w:rPr>
        <w:t>Compliance with the Securities Act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Agreement to Comply with the Securities Act, etc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b w:val="1"/>
          <w:bCs w:val="1"/>
          <w:color w:val="auto"/>
        </w:rPr>
        <w:t>Legend</w:t>
      </w:r>
      <w:r>
        <w:rPr>
          <w:rFonts w:ascii="Times New Roman" w:cs="Times New Roman" w:eastAsia="Times New Roman" w:hAnsi="Times New Roman"/>
          <w:sz w:val="22"/>
          <w:szCs w:val="22"/>
          <w:color w:val="auto"/>
        </w:rPr>
        <w:t xml:space="preserve">. The Holder, by acceptance of this Warrant Certificate, agrees to comply in all respects with the provisions of this </w:t>
      </w: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color w:val="auto"/>
        </w:rPr>
        <w:t xml:space="preserve"> and the restrictive legend requirements set forth on the face of this Warrant Certificate and further agrees that it shall not offer, sell or otherwise dispose of this Warrant Certificate or any Warrant Shares to be issued upon exercise hereof except under circumstances that will not result in a violation of the Securities Act. Subject to </w:t>
      </w:r>
      <w:r>
        <w:rPr>
          <w:rFonts w:ascii="Times New Roman" w:cs="Times New Roman" w:eastAsia="Times New Roman" w:hAnsi="Times New Roman"/>
          <w:sz w:val="22"/>
          <w:szCs w:val="22"/>
          <w:b w:val="1"/>
          <w:bCs w:val="1"/>
          <w:color w:val="auto"/>
        </w:rPr>
        <w:t>clause (ii)</w:t>
      </w:r>
      <w:r>
        <w:rPr>
          <w:rFonts w:ascii="Times New Roman" w:cs="Times New Roman" w:eastAsia="Times New Roman" w:hAnsi="Times New Roman"/>
          <w:sz w:val="22"/>
          <w:szCs w:val="22"/>
          <w:color w:val="auto"/>
        </w:rPr>
        <w:t xml:space="preserve"> below, this Warrant Certificate and all Warrant Shares issued upon exercise of this Warrant Certificate (unless registered under the Securities Act) shall be stamped or imprinted with a legend in substantially the following form:</w:t>
      </w:r>
    </w:p>
    <w:p>
      <w:pPr>
        <w:spacing w:after="0" w:line="198" w:lineRule="exact"/>
        <w:rPr>
          <w:sz w:val="20"/>
          <w:szCs w:val="20"/>
          <w:color w:val="auto"/>
        </w:rPr>
      </w:pPr>
    </w:p>
    <w:p>
      <w:pPr>
        <w:jc w:val="both"/>
        <w:ind w:left="1300" w:right="1300"/>
        <w:spacing w:after="0" w:line="247" w:lineRule="auto"/>
        <w:rPr>
          <w:sz w:val="20"/>
          <w:szCs w:val="20"/>
          <w:color w:val="auto"/>
        </w:rPr>
      </w:pPr>
      <w:r>
        <w:rPr>
          <w:rFonts w:ascii="Times New Roman" w:cs="Times New Roman" w:eastAsia="Times New Roman" w:hAnsi="Times New Roman"/>
          <w:sz w:val="22"/>
          <w:szCs w:val="22"/>
          <w:color w:val="auto"/>
        </w:rPr>
        <w:t>“THIS WARRANT CERTIFICATE AND THE SECURITIES ISSUABLE UPON EXERCISE OF THIS WARRANT CERTIFICATE HAVE NOT BEEN REGISTERED UNDER THE SECURITIES ACT OF 1933, AS AMENDED (THE “SECURITIES ACT”), OR QUALIFIED UNDER ANY STATE OR FOREIGN SECURITIES LAWS AND MAY NOT BE OFFERED FOR SALE, SOLD, PLEDGED, HYPOTHECATED OR OTHERWISE TRANSFERRED OR ASSIGNED UNLESS (I) A REGISTRATION STATEMENT COVERING THE OFFER AND SALE OF SUCH SECURITIES IS EFFECTIVE UNDER THE SECURITIES ACT AND IS QUALIFIED UNDER APPLICABLE STATE AND FOREIGN LAW OR (II) THE TRANSACTION IS EXEMPT FROM THE REGISTRATION AND PROSPECTUS DELIVERY REQUIREMENTS UNDER THE SECURITIES ACT AND THE QUALIFICATION REQUIREMENTS UNDER APPLICABLE STATE AND FOREIGN LAW AND, IN EACH CASE, IF THE COMPANY REQUESTS, AN OPINION SATISFACTORY TO THE COMPANY TO SUCH EFFECT HAS BEEN RENDERED BY COUNSEL.”</w:t>
      </w:r>
    </w:p>
    <w:p>
      <w:pPr>
        <w:spacing w:after="0" w:line="181" w:lineRule="exact"/>
        <w:rPr>
          <w:sz w:val="20"/>
          <w:szCs w:val="20"/>
          <w:color w:val="auto"/>
        </w:rPr>
      </w:pPr>
    </w:p>
    <w:p>
      <w:pPr>
        <w:jc w:val="both"/>
        <w:ind w:firstLine="1304"/>
        <w:spacing w:after="0" w:line="265" w:lineRule="auto"/>
        <w:tabs>
          <w:tab w:leader="none" w:pos="215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Removal of Restrictive Legends</w:t>
      </w:r>
      <w:r>
        <w:rPr>
          <w:rFonts w:ascii="Times New Roman" w:cs="Times New Roman" w:eastAsia="Times New Roman" w:hAnsi="Times New Roman"/>
          <w:sz w:val="22"/>
          <w:szCs w:val="22"/>
          <w:color w:val="auto"/>
        </w:rPr>
        <w:t>. Neither this Warrant Certificate nor any Warrant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issuable or deliverable under or in connection with this Warrant Certificate shall contain any legend restricting the transfer thereof (including the legend set forth above in</w:t>
      </w:r>
    </w:p>
    <w:p>
      <w:pPr>
        <w:sectPr>
          <w:pgSz w:w="11900" w:h="16838" w:orient="portrait"/>
          <w:cols w:equalWidth="0" w:num="1">
            <w:col w:w="10060"/>
          </w:cols>
          <w:pgMar w:left="1400" w:top="1440" w:right="439" w:bottom="1440" w:gutter="0" w:footer="0" w:header="0"/>
        </w:sectPr>
      </w:pPr>
    </w:p>
    <w:bookmarkStart w:id="131" w:name="page132"/>
    <w:bookmarkEnd w:id="131"/>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in any of the following circumstances: (A) following any sale of this Warrant Certificate or any Warrant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issued or delivered to the Holder under or in connection here with pursuant to Rule 144, (B) if this Warrant Certificate or the Warrant Shares are, and with respect to clause (i)(2) of Rule 144 will continue to be, eligible for sale under clause (b)(1) of Rule 144, or (C) if such</w:t>
      </w:r>
    </w:p>
    <w:p>
      <w:pPr>
        <w:spacing w:after="0" w:line="4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legend is not required under applicable requirements of the Securities Act (including judicial interpretations and pronouncements issued by the staff of the SEC) (collectively, the “</w:t>
      </w:r>
      <w:r>
        <w:rPr>
          <w:rFonts w:ascii="Times New Roman" w:cs="Times New Roman" w:eastAsia="Times New Roman" w:hAnsi="Times New Roman"/>
          <w:sz w:val="22"/>
          <w:szCs w:val="22"/>
          <w:b w:val="1"/>
          <w:bCs w:val="1"/>
          <w:i w:val="1"/>
          <w:iCs w:val="1"/>
          <w:color w:val="auto"/>
        </w:rPr>
        <w:t>Unrestricted Conditions</w:t>
      </w:r>
      <w:r>
        <w:rPr>
          <w:rFonts w:ascii="Times New Roman" w:cs="Times New Roman" w:eastAsia="Times New Roman" w:hAnsi="Times New Roman"/>
          <w:sz w:val="22"/>
          <w:szCs w:val="22"/>
          <w:color w:val="auto"/>
        </w:rPr>
        <w:t>”). If any of the Unrestricted Conditions are met at the time of issuance of the Warrant Shares, to the reasonable satisfaction of the Company’s counsel, the Warrant Shares shall be issued free of all legends.</w:t>
      </w:r>
    </w:p>
    <w:p>
      <w:pPr>
        <w:spacing w:after="0" w:line="175" w:lineRule="exact"/>
        <w:rPr>
          <w:sz w:val="20"/>
          <w:szCs w:val="20"/>
          <w:color w:val="auto"/>
        </w:rPr>
      </w:pPr>
    </w:p>
    <w:p>
      <w:pPr>
        <w:ind w:right="20" w:firstLine="1304"/>
        <w:spacing w:after="0" w:line="257" w:lineRule="auto"/>
        <w:tabs>
          <w:tab w:leader="none" w:pos="216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Replacement Warrant Certificate</w:t>
      </w:r>
      <w:r>
        <w:rPr>
          <w:rFonts w:ascii="Times New Roman" w:cs="Times New Roman" w:eastAsia="Times New Roman" w:hAnsi="Times New Roman"/>
          <w:sz w:val="22"/>
          <w:szCs w:val="22"/>
          <w:color w:val="auto"/>
        </w:rPr>
        <w:t>. The Company agrees that at such time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Unrestricted Conditions have been satisfied it shall promptly (but in any event within ten</w:t>
      </w:r>
    </w:p>
    <w:p>
      <w:pPr>
        <w:spacing w:after="0" w:line="1" w:lineRule="exact"/>
        <w:rPr>
          <w:rFonts w:ascii="Times New Roman" w:cs="Times New Roman" w:eastAsia="Times New Roman" w:hAnsi="Times New Roman"/>
          <w:sz w:val="22"/>
          <w:szCs w:val="22"/>
          <w:color w:val="auto"/>
        </w:rPr>
      </w:pPr>
    </w:p>
    <w:p>
      <w:pPr>
        <w:ind w:right="920" w:firstLine="8"/>
        <w:spacing w:after="0" w:line="259" w:lineRule="auto"/>
        <w:tabs>
          <w:tab w:leader="none" w:pos="41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following written request from the Holder issue a replacement Warrant Certificate or replacement Warrant Shares, as the case may be, free of all restrictive legends.</w:t>
      </w:r>
    </w:p>
    <w:p>
      <w:pPr>
        <w:spacing w:after="0" w:line="166" w:lineRule="exact"/>
        <w:rPr>
          <w:rFonts w:ascii="Times New Roman" w:cs="Times New Roman" w:eastAsia="Times New Roman" w:hAnsi="Times New Roman"/>
          <w:sz w:val="22"/>
          <w:szCs w:val="22"/>
          <w:color w:val="auto"/>
        </w:rPr>
      </w:pPr>
    </w:p>
    <w:p>
      <w:pPr>
        <w:jc w:val="both"/>
        <w:ind w:right="20" w:firstLine="1304"/>
        <w:spacing w:after="0" w:line="250" w:lineRule="auto"/>
        <w:tabs>
          <w:tab w:leader="none" w:pos="2148"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Sale of Unlegended Shares</w:t>
      </w:r>
      <w:r>
        <w:rPr>
          <w:rFonts w:ascii="Times New Roman" w:cs="Times New Roman" w:eastAsia="Times New Roman" w:hAnsi="Times New Roman"/>
          <w:sz w:val="22"/>
          <w:szCs w:val="22"/>
          <w:color w:val="auto"/>
        </w:rPr>
        <w:t>. The Holder agrees that the removal of the restrictive legend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from this Warrant Certificate and any certificates representing securities as set forth in </w:t>
      </w:r>
      <w:r>
        <w:rPr>
          <w:rFonts w:ascii="Times New Roman" w:cs="Times New Roman" w:eastAsia="Times New Roman" w:hAnsi="Times New Roman"/>
          <w:sz w:val="22"/>
          <w:szCs w:val="22"/>
          <w:b w:val="1"/>
          <w:bCs w:val="1"/>
          <w:color w:val="auto"/>
        </w:rPr>
        <w:t>Section 11(a)(ii)</w:t>
      </w:r>
      <w:r>
        <w:rPr>
          <w:rFonts w:ascii="Times New Roman" w:cs="Times New Roman" w:eastAsia="Times New Roman" w:hAnsi="Times New Roman"/>
          <w:sz w:val="22"/>
          <w:szCs w:val="22"/>
          <w:color w:val="auto"/>
        </w:rPr>
        <w:t xml:space="preserve"> above is predicated upon the Company’s reliance that the Holder will sell this Warrant Certificate or any such securities pursuant to either an effective Registration Statement or otherwise pursuant to the requirements of the Securities Act, including any applicable prospectus delivery requirements, or an exemption therefrom, and that if such securities are sold pursuant to a Registration Statement, they will be sold in compliance with the plan of distribution set forth therein.</w:t>
      </w:r>
    </w:p>
    <w:p>
      <w:pPr>
        <w:spacing w:after="0" w:line="180" w:lineRule="exact"/>
        <w:rPr>
          <w:sz w:val="20"/>
          <w:szCs w:val="20"/>
          <w:color w:val="auto"/>
        </w:rPr>
      </w:pPr>
    </w:p>
    <w:p>
      <w:pPr>
        <w:ind w:right="20" w:firstLine="656"/>
        <w:spacing w:after="0" w:line="287" w:lineRule="auto"/>
        <w:tabs>
          <w:tab w:leader="none" w:pos="150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Representations of the Holder</w:t>
      </w:r>
      <w:r>
        <w:rPr>
          <w:rFonts w:ascii="Times New Roman" w:cs="Times New Roman" w:eastAsia="Times New Roman" w:hAnsi="Times New Roman"/>
          <w:sz w:val="22"/>
          <w:szCs w:val="22"/>
          <w:color w:val="auto"/>
        </w:rPr>
        <w:t>. In connection with the issuance of this Warrant Certificate,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represents, as of the Issue Date, to the Company by acceptance of this Warrant Certificate as follows:</w:t>
      </w:r>
    </w:p>
    <w:p>
      <w:pPr>
        <w:spacing w:after="0" w:line="141"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22"/>
          <w:szCs w:val="22"/>
          <w:color w:val="auto"/>
        </w:rPr>
        <w:t>(i)The Holder is an “accredited investor” as defined in Rule 501 of Regulation D promulgated under the Securities Act. The Holder is acquiring this Warrant Certificate and the Warrant Shares to be issued upon exercise hereof for investment for its own account and not with a view towards, or for resale in connection with, the public sale or distribution of this Warrant Certificate or the Warrant Shares, except pursuant to sales registered or exempted under the Securities Act.</w:t>
      </w:r>
    </w:p>
    <w:p>
      <w:pPr>
        <w:spacing w:after="0" w:line="194" w:lineRule="exact"/>
        <w:rPr>
          <w:sz w:val="20"/>
          <w:szCs w:val="20"/>
          <w:color w:val="auto"/>
        </w:rPr>
      </w:pPr>
    </w:p>
    <w:p>
      <w:pPr>
        <w:jc w:val="both"/>
        <w:ind w:right="20" w:firstLine="1304"/>
        <w:spacing w:after="0" w:line="251" w:lineRule="auto"/>
        <w:tabs>
          <w:tab w:leader="none" w:pos="215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understands and acknowledges that this Warrant Certificate and the Warrant Shares to be issued upon exercise hereof are “restricted securities” under the Securities Act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as presently in effect, and understands the resale limitations imposed thereby and by the Securities Act.</w:t>
      </w:r>
    </w:p>
    <w:p>
      <w:pPr>
        <w:sectPr>
          <w:pgSz w:w="11900" w:h="16838" w:orient="portrait"/>
          <w:cols w:equalWidth="0" w:num="1">
            <w:col w:w="10060"/>
          </w:cols>
          <w:pgMar w:left="1400" w:top="1440" w:right="439" w:bottom="1440" w:gutter="0" w:footer="0" w:header="0"/>
        </w:sectPr>
      </w:pPr>
    </w:p>
    <w:bookmarkStart w:id="132" w:name="page133"/>
    <w:bookmarkEnd w:id="132"/>
    <w:p>
      <w:pPr>
        <w:spacing w:after="0" w:line="387" w:lineRule="exact"/>
        <w:rPr>
          <w:sz w:val="20"/>
          <w:szCs w:val="20"/>
          <w:color w:val="auto"/>
        </w:rPr>
      </w:pPr>
    </w:p>
    <w:p>
      <w:pPr>
        <w:jc w:val="both"/>
        <w:ind w:right="20" w:firstLine="1304"/>
        <w:spacing w:after="0" w:line="248" w:lineRule="auto"/>
        <w:tabs>
          <w:tab w:leader="none" w:pos="21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acknowledges that it can bear the economic and financial risk of its investment for an indefinite period and has such knowledge and experience in financial or business matters that it is capable of evaluating the merits and risks of the investment in this Warrant Certificate and the Warrant Shares. The Holder has had an opportunity to ask questions and receive answers from the Company regarding the terms and conditions of the offering of this Warrant Certificate and the business, properties, prospects and financial condition of the Company.</w:t>
      </w:r>
    </w:p>
    <w:p>
      <w:pPr>
        <w:spacing w:after="0" w:line="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Section 12. Pre-Emptive Rights</w:t>
      </w:r>
      <w:r>
        <w:rPr>
          <w:rFonts w:ascii="Times New Roman" w:cs="Times New Roman" w:eastAsia="Times New Roman" w:hAnsi="Times New Roman"/>
          <w:sz w:val="22"/>
          <w:szCs w:val="22"/>
          <w:color w:val="auto"/>
        </w:rPr>
        <w:t>. In addition to any adjustments pursuant to</w:t>
      </w:r>
      <w:r>
        <w:rPr>
          <w:rFonts w:ascii="Times New Roman" w:cs="Times New Roman" w:eastAsia="Times New Roman" w:hAnsi="Times New Roman"/>
          <w:sz w:val="22"/>
          <w:szCs w:val="22"/>
          <w:b w:val="1"/>
          <w:bCs w:val="1"/>
          <w:color w:val="auto"/>
        </w:rPr>
        <w:t xml:space="preserve"> Section 4 </w:t>
      </w:r>
      <w:r>
        <w:rPr>
          <w:rFonts w:ascii="Times New Roman" w:cs="Times New Roman" w:eastAsia="Times New Roman" w:hAnsi="Times New Roman"/>
          <w:sz w:val="22"/>
          <w:szCs w:val="22"/>
          <w:color w:val="auto"/>
        </w:rPr>
        <w:t>above, if at any time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grants, issues, offers or sells (i) any Common Shares or (ii) any Options, Convertible Securities or rights to purchase shares, warrants, securities or other property, in each case pro rata to the record holders of Common Shares (the “</w:t>
      </w:r>
      <w:r>
        <w:rPr>
          <w:rFonts w:ascii="Times New Roman" w:cs="Times New Roman" w:eastAsia="Times New Roman" w:hAnsi="Times New Roman"/>
          <w:sz w:val="22"/>
          <w:szCs w:val="22"/>
          <w:b w:val="1"/>
          <w:bCs w:val="1"/>
          <w:i w:val="1"/>
          <w:iCs w:val="1"/>
          <w:color w:val="auto"/>
        </w:rPr>
        <w:t>Pre-emptive Rights</w:t>
      </w:r>
      <w:r>
        <w:rPr>
          <w:rFonts w:ascii="Times New Roman" w:cs="Times New Roman" w:eastAsia="Times New Roman" w:hAnsi="Times New Roman"/>
          <w:sz w:val="22"/>
          <w:szCs w:val="22"/>
          <w:color w:val="auto"/>
        </w:rPr>
        <w:t>”), then the Holder shall be entitled to (but shall not be obligated to) acquire, upon the same terms applicable to such Pre-emptive Rights, the aggregate Pre-emptive Rights which the Holder would have acquired if the Holder had held the number of Warrant Shares acquirable upon complete exercise of this Warrant Certificate immediately before the date on which a record is taken for the grant, issuance, offer or sale of such Pre-emptive Rights, or, if no such record is taken, the date as of which the record holders of Common Shares are to be determined for the grant, issue, offer or sale of such Pre-emptive Rights.</w:t>
      </w:r>
    </w:p>
    <w:p>
      <w:pPr>
        <w:spacing w:after="0" w:line="199"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2"/>
          <w:szCs w:val="22"/>
          <w:b w:val="1"/>
          <w:bCs w:val="1"/>
          <w:color w:val="auto"/>
        </w:rPr>
        <w:t>Section 13. Notices</w:t>
      </w:r>
      <w:r>
        <w:rPr>
          <w:rFonts w:ascii="Times New Roman" w:cs="Times New Roman" w:eastAsia="Times New Roman" w:hAnsi="Times New Roman"/>
          <w:sz w:val="22"/>
          <w:szCs w:val="22"/>
          <w:color w:val="auto"/>
        </w:rPr>
        <w:t>. All notices, requests, consents, claims, demands, waivers and other communications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be in writing and shall be deemed to have been given: (i) when delivered by hand (with written confirmation of receipt); (ii) when received by the addressee if sent by a nationally recognized overnight courier (receipt requested); (iii) on the date sent by e- mail of a PDF document (with confirmation of transmission) if sent during normal business hours of the recipient, and on the next Business Day if sent after normal business hours of the recipient, in each case provided that sender did not receive an automated failed delivery notification; or (iv)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2"/>
          <w:szCs w:val="22"/>
          <w:color w:val="auto"/>
        </w:rPr>
        <w:t>If to the Company:</w:t>
      </w:r>
      <w:r>
        <w:rPr>
          <w:sz w:val="20"/>
          <w:szCs w:val="20"/>
          <w:color w:val="auto"/>
        </w:rPr>
        <w:tab/>
      </w:r>
      <w:r>
        <w:rPr>
          <w:rFonts w:ascii="Times New Roman" w:cs="Times New Roman" w:eastAsia="Times New Roman" w:hAnsi="Times New Roman"/>
          <w:sz w:val="21"/>
          <w:szCs w:val="21"/>
          <w:color w:val="auto"/>
        </w:rPr>
        <w:t>TriSalus Life Sciences, Inc.</w:t>
      </w:r>
    </w:p>
    <w:p>
      <w:pPr>
        <w:ind w:left="1960"/>
        <w:spacing w:after="0" w:line="221" w:lineRule="auto"/>
        <w:rPr>
          <w:sz w:val="20"/>
          <w:szCs w:val="20"/>
          <w:color w:val="auto"/>
        </w:rPr>
      </w:pPr>
      <w:r>
        <w:rPr>
          <w:rFonts w:ascii="Times New Roman" w:cs="Times New Roman" w:eastAsia="Times New Roman" w:hAnsi="Times New Roman"/>
          <w:sz w:val="22"/>
          <w:szCs w:val="22"/>
          <w:color w:val="auto"/>
        </w:rPr>
        <w:t>6272 West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Avenue Westminster, CO 80031</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Sean Murphy</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sean.murphy@trisaluslifesci.com</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 (which shall not qualify as notice to any party hereto): Cooley LLP</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10265 Science Center Drive San Diego, CA</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92121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Matt Browne; Carlos Ramirez</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mbrowne@cooley.com; cramirez@cooley.com</w:t>
      </w:r>
    </w:p>
    <w:p>
      <w:pPr>
        <w:sectPr>
          <w:pgSz w:w="11900" w:h="16838" w:orient="portrait"/>
          <w:cols w:equalWidth="0" w:num="1">
            <w:col w:w="10060"/>
          </w:cols>
          <w:pgMar w:left="1400" w:top="1440" w:right="439" w:bottom="1440" w:gutter="0" w:footer="0" w:header="0"/>
        </w:sectPr>
      </w:pPr>
    </w:p>
    <w:bookmarkStart w:id="133" w:name="page134"/>
    <w:bookmarkEnd w:id="133"/>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Holder:</w:t>
      </w:r>
    </w:p>
    <w:p>
      <w:pPr>
        <w:spacing w:after="0" w:line="247" w:lineRule="exact"/>
        <w:rPr>
          <w:sz w:val="20"/>
          <w:szCs w:val="20"/>
          <w:color w:val="auto"/>
        </w:rPr>
      </w:pPr>
    </w:p>
    <w:p>
      <w:pPr>
        <w:ind w:left="1960" w:right="2720"/>
        <w:spacing w:after="0" w:line="254" w:lineRule="auto"/>
        <w:rPr>
          <w:sz w:val="20"/>
          <w:szCs w:val="20"/>
          <w:color w:val="auto"/>
        </w:rPr>
      </w:pPr>
      <w:r>
        <w:rPr>
          <w:rFonts w:ascii="Times New Roman" w:cs="Times New Roman" w:eastAsia="Times New Roman" w:hAnsi="Times New Roman"/>
          <w:sz w:val="22"/>
          <w:szCs w:val="22"/>
          <w:color w:val="auto"/>
        </w:rPr>
        <w:t>OrbiMed Royalty &amp; Credit Opportunities IV, LP c/o OrbiMed Advisors LLC</w:t>
      </w:r>
    </w:p>
    <w:p>
      <w:pPr>
        <w:ind w:left="1960"/>
        <w:spacing w:after="0" w:line="202" w:lineRule="auto"/>
        <w:rPr>
          <w:sz w:val="20"/>
          <w:szCs w:val="20"/>
          <w:color w:val="auto"/>
        </w:rPr>
      </w:pPr>
      <w:r>
        <w:rPr>
          <w:rFonts w:ascii="Times New Roman" w:cs="Times New Roman" w:eastAsia="Times New Roman" w:hAnsi="Times New Roman"/>
          <w:sz w:val="22"/>
          <w:szCs w:val="22"/>
          <w:color w:val="auto"/>
        </w:rPr>
        <w:t>601 Lexington Avenue, 54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New York, NY 10022</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Matthew Rizzo; OrbiMed Credit Report</w:t>
      </w:r>
    </w:p>
    <w:p>
      <w:pPr>
        <w:spacing w:after="0" w:line="4" w:lineRule="exact"/>
        <w:rPr>
          <w:sz w:val="20"/>
          <w:szCs w:val="20"/>
          <w:color w:val="auto"/>
        </w:rPr>
      </w:pPr>
    </w:p>
    <w:p>
      <w:pPr>
        <w:ind w:left="1560" w:right="2520" w:firstLine="392"/>
        <w:spacing w:after="0" w:line="352" w:lineRule="auto"/>
        <w:rPr>
          <w:sz w:val="20"/>
          <w:szCs w:val="20"/>
          <w:color w:val="auto"/>
        </w:rPr>
      </w:pPr>
      <w:r>
        <w:rPr>
          <w:rFonts w:ascii="Times New Roman" w:cs="Times New Roman" w:eastAsia="Times New Roman" w:hAnsi="Times New Roman"/>
          <w:sz w:val="21"/>
          <w:szCs w:val="21"/>
          <w:color w:val="auto"/>
        </w:rPr>
        <w:t>Email: RizzoM@OrbiMed.com; ROSCreditops@orbimed.com with a copy to (which shall not qualify as notice to any party hereto):</w:t>
      </w:r>
    </w:p>
    <w:p>
      <w:pPr>
        <w:spacing w:after="0" w:line="1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Covington &amp; Burling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The New York Times Building 620 Eighth Avenue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NY 10018</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Peter Schwartz; Jennifer Uren Email:</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pschwartz@cov.com; juren@cov.com</w:t>
      </w:r>
    </w:p>
    <w:p>
      <w:pPr>
        <w:spacing w:after="0" w:line="23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b w:val="1"/>
          <w:bCs w:val="1"/>
          <w:color w:val="auto"/>
        </w:rPr>
        <w:t>Section 14. Cumulative Remedies</w:t>
      </w:r>
      <w:r>
        <w:rPr>
          <w:rFonts w:ascii="Times New Roman" w:cs="Times New Roman" w:eastAsia="Times New Roman" w:hAnsi="Times New Roman"/>
          <w:sz w:val="21"/>
          <w:szCs w:val="21"/>
          <w:color w:val="auto"/>
        </w:rPr>
        <w:t>. Except to the extent expressly provided in</w:t>
      </w:r>
      <w:r>
        <w:rPr>
          <w:rFonts w:ascii="Times New Roman" w:cs="Times New Roman" w:eastAsia="Times New Roman" w:hAnsi="Times New Roman"/>
          <w:sz w:val="21"/>
          <w:szCs w:val="21"/>
          <w:b w:val="1"/>
          <w:bCs w:val="1"/>
          <w:color w:val="auto"/>
        </w:rPr>
        <w:t xml:space="preserve"> Section 10 </w:t>
      </w:r>
      <w:r>
        <w:rPr>
          <w:rFonts w:ascii="Times New Roman" w:cs="Times New Roman" w:eastAsia="Times New Roman" w:hAnsi="Times New Roman"/>
          <w:sz w:val="21"/>
          <w:szCs w:val="21"/>
          <w:color w:val="auto"/>
        </w:rPr>
        <w:t>to the contrary, the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remedies provided in this Warrant Certificate are cumulative and are not exclusive of, and are in addition to and not in substitution for, any other rights or remedies available under applicable Laws, in equity or otherwise.</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15. Entire Agreement. </w:t>
      </w:r>
      <w:r>
        <w:rPr>
          <w:rFonts w:ascii="Times New Roman" w:cs="Times New Roman" w:eastAsia="Times New Roman" w:hAnsi="Times New Roman"/>
          <w:sz w:val="22"/>
          <w:szCs w:val="22"/>
          <w:color w:val="auto"/>
        </w:rPr>
        <w:t>This Warrant Certificate constitutes the sole and entire agreement of the parties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Warrant Certificate with respect to the subject matter contained herein and supersedes all prior and contemporaneous understandings and agreements, both written and oral, with respect to such subject matter.</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16. Successors and Assigns. </w:t>
      </w:r>
      <w:r>
        <w:rPr>
          <w:rFonts w:ascii="Times New Roman" w:cs="Times New Roman" w:eastAsia="Times New Roman" w:hAnsi="Times New Roman"/>
          <w:sz w:val="22"/>
          <w:szCs w:val="22"/>
          <w:color w:val="auto"/>
        </w:rPr>
        <w:t>This Warrant Certificate and the rights evidenced hereby (including under</w:t>
      </w:r>
      <w:r>
        <w:rPr>
          <w:rFonts w:ascii="Times New Roman" w:cs="Times New Roman" w:eastAsia="Times New Roman" w:hAnsi="Times New Roman"/>
          <w:sz w:val="22"/>
          <w:szCs w:val="22"/>
          <w:b w:val="1"/>
          <w:bCs w:val="1"/>
          <w:color w:val="auto"/>
        </w:rPr>
        <w:t xml:space="preserve"> Section 6</w:t>
      </w:r>
      <w:r>
        <w:rPr>
          <w:rFonts w:ascii="Times New Roman" w:cs="Times New Roman" w:eastAsia="Times New Roman" w:hAnsi="Times New Roman"/>
          <w:sz w:val="22"/>
          <w:szCs w:val="22"/>
          <w:color w:val="auto"/>
        </w:rPr>
        <w:t>) shall be binding upon and shall inure to the benefit of the parties hereto and the successors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the successors and permitted assigns of the Holder. Such successor or permitted assign of the Holder shall be deemed to be the “Holder” for all purposes hereunder.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Section 17. No Third-Party Beneficiaries</w:t>
      </w:r>
      <w:r>
        <w:rPr>
          <w:rFonts w:ascii="Times New Roman" w:cs="Times New Roman" w:eastAsia="Times New Roman" w:hAnsi="Times New Roman"/>
          <w:sz w:val="22"/>
          <w:szCs w:val="22"/>
          <w:color w:val="auto"/>
        </w:rPr>
        <w:t>. This Warrant Certificate is for the sole benefit of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and their respective successors and, in the case of the Holder, permitted assigns, and nothing herein, express or implied, is intended to or shall confer upon any other Person any legal or equitable right, benefit or remedy of any nature whatsoever, under or by reason of this Warrant Certificate.</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b w:val="1"/>
          <w:bCs w:val="1"/>
          <w:color w:val="auto"/>
        </w:rPr>
        <w:t>Section 18. Headings</w:t>
      </w:r>
      <w:r>
        <w:rPr>
          <w:rFonts w:ascii="Times New Roman" w:cs="Times New Roman" w:eastAsia="Times New Roman" w:hAnsi="Times New Roman"/>
          <w:sz w:val="22"/>
          <w:szCs w:val="22"/>
          <w:color w:val="auto"/>
        </w:rPr>
        <w:t>. The headings in this Warrant Certificate are for reference only and shall not affect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interpretation of this Warrant Certificate.</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19. Amendment and Modification; Waiver. </w:t>
      </w:r>
      <w:r>
        <w:rPr>
          <w:rFonts w:ascii="Times New Roman" w:cs="Times New Roman" w:eastAsia="Times New Roman" w:hAnsi="Times New Roman"/>
          <w:sz w:val="22"/>
          <w:szCs w:val="22"/>
          <w:color w:val="auto"/>
        </w:rPr>
        <w:t>Except as otherwise provided herein, this Warrant Certificate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only be amended, modified or supplemented by an agreement in writing signed by each party hereto. No waiver by the Company or the Holder of any of the provisions</w:t>
      </w:r>
    </w:p>
    <w:p>
      <w:pPr>
        <w:sectPr>
          <w:pgSz w:w="11900" w:h="16838" w:orient="portrait"/>
          <w:cols w:equalWidth="0" w:num="1">
            <w:col w:w="10040"/>
          </w:cols>
          <w:pgMar w:left="1400" w:top="1440" w:right="459" w:bottom="1440" w:gutter="0" w:footer="0" w:header="0"/>
        </w:sectPr>
      </w:pPr>
    </w:p>
    <w:bookmarkStart w:id="134" w:name="page135"/>
    <w:bookmarkEnd w:id="134"/>
    <w:p>
      <w:pPr>
        <w:spacing w:after="0" w:line="3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Section 20. Severability</w:t>
      </w:r>
      <w:r>
        <w:rPr>
          <w:rFonts w:ascii="Times New Roman" w:cs="Times New Roman" w:eastAsia="Times New Roman" w:hAnsi="Times New Roman"/>
          <w:sz w:val="22"/>
          <w:szCs w:val="22"/>
          <w:color w:val="auto"/>
        </w:rPr>
        <w:t>. If any term or provision of this Warrant Certificate is invalid, illegal or unenforceable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jurisdiction, such invalidity, illegality or unenforceability shall not affect any other term or provision of this Warrant Certificate or invalidate or render unenforceable such term or provision in any other jurisdiction.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21. Governing Law. </w:t>
      </w:r>
      <w:r>
        <w:rPr>
          <w:rFonts w:ascii="Times New Roman" w:cs="Times New Roman" w:eastAsia="Times New Roman" w:hAnsi="Times New Roman"/>
          <w:sz w:val="22"/>
          <w:szCs w:val="22"/>
          <w:color w:val="auto"/>
        </w:rPr>
        <w:t>This Warrant Certificate shall be governed by and construed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internal Laws of the State of New York without effect to any choice or conflict of Laws provision or rule (whether of the State of New York or any other jurisdiction) that would cause the application of Laws of any jurisdiction other than those of the State of New York.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Section 22. Submission to Jurisdiction; Waiver of Jury Trial. </w:t>
      </w:r>
      <w:r>
        <w:rPr>
          <w:rFonts w:ascii="Times New Roman" w:cs="Times New Roman" w:eastAsia="Times New Roman" w:hAnsi="Times New Roman"/>
          <w:sz w:val="22"/>
          <w:szCs w:val="22"/>
          <w:color w:val="auto"/>
        </w:rPr>
        <w:t>Except as provided in</w:t>
      </w:r>
      <w:r>
        <w:rPr>
          <w:rFonts w:ascii="Times New Roman" w:cs="Times New Roman" w:eastAsia="Times New Roman" w:hAnsi="Times New Roman"/>
          <w:sz w:val="22"/>
          <w:szCs w:val="22"/>
          <w:b w:val="1"/>
          <w:bCs w:val="1"/>
          <w:color w:val="auto"/>
        </w:rPr>
        <w:t xml:space="preserve"> Section 10</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656"/>
        <w:spacing w:after="0" w:line="248" w:lineRule="auto"/>
        <w:tabs>
          <w:tab w:leader="none" w:pos="1509"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legal suit, action or proceeding arising out of or based on this Warrant Certificate or the transactions contemplated hereby may be instituted in the federal courts of the United States or the courts of the State of New York, in each case located in the city and county of New York. Each party irrevocably submits to the exclusive jurisdiction of such courts in any such suit, action or proceeding. Service of process, summons, notice or other document by certified or registered mail to such party’s address set forth in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 xml:space="preserve"> shall be effective service of process for any suit, action or other proceeding, and the parties irrevocably and unconditionally waive any objection to the laying of venue of any suit, action or other proceeding in such courts and irrevocably waive and agree not to plead or claim in any such court that any such suit, action or proceeding has been brought in an inconvenient forum.</w:t>
      </w:r>
    </w:p>
    <w:p>
      <w:pPr>
        <w:spacing w:after="0" w:line="185" w:lineRule="exact"/>
        <w:rPr>
          <w:rFonts w:ascii="Times New Roman" w:cs="Times New Roman" w:eastAsia="Times New Roman" w:hAnsi="Times New Roman"/>
          <w:sz w:val="22"/>
          <w:szCs w:val="22"/>
          <w:color w:val="auto"/>
        </w:rPr>
      </w:pPr>
    </w:p>
    <w:p>
      <w:pPr>
        <w:jc w:val="both"/>
        <w:ind w:firstLine="656"/>
        <w:spacing w:after="0" w:line="248" w:lineRule="auto"/>
        <w:tabs>
          <w:tab w:leader="none" w:pos="1507"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ACKNOWLEDGES AND AGREES THAT ANY CONTROVERSY WHICH MAY ARISE UNDER THIS WARRANT CERTIFICATE IS LIKELY TO INVOLVE COMPLICATED AND DIFFICULT ISSUES, AND THEREFORE EACH SUCH PARTY HEREBY IRREVOCABLY AND UNCONDITIONALLY WAIVES ANY RIGHT SUCH PARTY MAY HAVE TO A TRIAL BY JURY WITH RESPECT TO ANY LITIGATION DIRECTLY OR INDIRECTLY ARISING OUT OF OR RELATING TO THIS WARRANT CERTIFICATE. EACH PARTY CERTIFIES AND ACKNOWLEDGES THAT (i) NO REPRESENTATIVE, AGENT OR ATTORNEY OF THE OTHER PARTY HAS REPRESENTED, EXPRESSLY OR OTHERWISE, THAT SUCH OTHER PARTY WOULD NOT, IN THE EVENT OF LITIGATION, SEEK TO ENFORCE THE FOREGOING WAIVER,</w:t>
      </w:r>
    </w:p>
    <w:p>
      <w:pPr>
        <w:spacing w:after="0" w:line="6" w:lineRule="exact"/>
        <w:rPr>
          <w:rFonts w:ascii="Times New Roman" w:cs="Times New Roman" w:eastAsia="Times New Roman" w:hAnsi="Times New Roman"/>
          <w:sz w:val="22"/>
          <w:szCs w:val="22"/>
          <w:color w:val="auto"/>
        </w:rPr>
      </w:pPr>
    </w:p>
    <w:p>
      <w:pPr>
        <w:ind w:firstLine="8"/>
        <w:spacing w:after="0" w:line="248" w:lineRule="auto"/>
        <w:tabs>
          <w:tab w:leader="none" w:pos="32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UNDERSTANDS AND HAS CONSIDERED THE IMPLICATIONS OF THIS WAIVER, (iii) SUCH PARTY MAKES THIS WAIVER VOLUNTARILY, AND (iv)</w:t>
      </w:r>
    </w:p>
    <w:p>
      <w:pPr>
        <w:sectPr>
          <w:pgSz w:w="11900" w:h="16838" w:orient="portrait"/>
          <w:cols w:equalWidth="0" w:num="1">
            <w:col w:w="10040"/>
          </w:cols>
          <w:pgMar w:left="1400" w:top="1440" w:right="459" w:bottom="1440" w:gutter="0" w:footer="0" w:header="0"/>
        </w:sectPr>
      </w:pPr>
    </w:p>
    <w:bookmarkStart w:id="135" w:name="page136"/>
    <w:bookmarkEnd w:id="135"/>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SUCH PARTY HAS BEEN INDUCED TO ENTER INTO THIS WARRANT CERTIFICATE AND EACH ANCILLARY AGREEMENT BY, AMONG OTHER THINGS, THE MUTUAL WAIVERS AND CERTIFICATIONS IN THIS SECTION.</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Section 23. Counterparts</w:t>
      </w:r>
      <w:r>
        <w:rPr>
          <w:rFonts w:ascii="Times New Roman" w:cs="Times New Roman" w:eastAsia="Times New Roman" w:hAnsi="Times New Roman"/>
          <w:sz w:val="22"/>
          <w:szCs w:val="22"/>
          <w:color w:val="auto"/>
        </w:rPr>
        <w:t>. This Warrant Certificate may be executed in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w:t>
      </w:r>
    </w:p>
    <w:p>
      <w:pPr>
        <w:spacing w:after="0" w:line="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24. No Strict Construction. </w:t>
      </w:r>
      <w:r>
        <w:rPr>
          <w:rFonts w:ascii="Times New Roman" w:cs="Times New Roman" w:eastAsia="Times New Roman" w:hAnsi="Times New Roman"/>
          <w:sz w:val="22"/>
          <w:szCs w:val="22"/>
          <w:color w:val="auto"/>
        </w:rPr>
        <w:t>This Warrant Certificate shall be construed without regard to any presumption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rule requiring construction or interpretation against the party drafting an instrument or causing any instrument to be drafted.</w:t>
      </w:r>
    </w:p>
    <w:p>
      <w:pPr>
        <w:spacing w:after="0" w:line="18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Company has duly executed this Warrant Certificate on the Issue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TRISALUS LIFE SCIENCES, INC.</w:t>
      </w:r>
    </w:p>
    <w:p>
      <w:pPr>
        <w:spacing w:after="0" w:line="200" w:lineRule="exact"/>
        <w:rPr>
          <w:sz w:val="20"/>
          <w:szCs w:val="20"/>
          <w:color w:val="auto"/>
        </w:rPr>
      </w:pPr>
    </w:p>
    <w:p>
      <w:pPr>
        <w:spacing w:after="0" w:line="294" w:lineRule="exact"/>
        <w:rPr>
          <w:sz w:val="20"/>
          <w:szCs w:val="20"/>
          <w:color w:val="auto"/>
        </w:rPr>
      </w:pPr>
    </w:p>
    <w:p>
      <w:pPr>
        <w:ind w:left="3900"/>
        <w:spacing w:after="0"/>
        <w:tabs>
          <w:tab w:leader="none" w:pos="5800" w:val="left"/>
        </w:tabs>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/Sean Murphy/</w:t>
      </w:r>
      <w:r>
        <w:rPr>
          <w:sz w:val="20"/>
          <w:szCs w:val="20"/>
          <w:color w:val="auto"/>
        </w:rPr>
        <w:tab/>
      </w:r>
      <w:r>
        <w:rPr>
          <w:rFonts w:ascii="Times New Roman" w:cs="Times New Roman" w:eastAsia="Times New Roman" w:hAnsi="Times New Roman"/>
          <w:sz w:val="21"/>
          <w:szCs w:val="21"/>
          <w:color w:val="auto"/>
        </w:rPr>
        <w:t>Name: Sean Murphy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35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ORBIMED ROYALTY &amp;</w:t>
      </w:r>
    </w:p>
    <w:p>
      <w:pPr>
        <w:spacing w:after="0" w:line="3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CREDIT</w:t>
      </w:r>
    </w:p>
    <w:p>
      <w:pPr>
        <w:spacing w:after="0" w:line="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OPPORTUNITIES IV, LP</w:t>
      </w:r>
    </w:p>
    <w:p>
      <w:pPr>
        <w:spacing w:after="0" w:line="19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OrbiMed</w:t>
      </w:r>
    </w:p>
    <w:p>
      <w:pPr>
        <w:spacing w:after="0" w:line="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ROF IV</w:t>
      </w:r>
    </w:p>
    <w:p>
      <w:pPr>
        <w:spacing w:after="0" w:line="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LLC, its</w:t>
      </w:r>
    </w:p>
    <w:p>
      <w:pPr>
        <w:spacing w:after="0" w:line="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General</w:t>
      </w:r>
    </w:p>
    <w:p>
      <w:pPr>
        <w:spacing w:after="0" w:line="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Partner</w:t>
      </w:r>
    </w:p>
    <w:p>
      <w:pPr>
        <w:spacing w:after="0" w:line="1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u w:val="single" w:color="auto"/>
          <w:color w:val="auto"/>
        </w:rPr>
        <w:t>/Matthew Rizzo/</w:t>
      </w:r>
    </w:p>
    <w:p>
      <w:pPr>
        <w:spacing w:after="0" w:line="5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 Matthew Rizzo</w:t>
      </w:r>
    </w:p>
    <w:p>
      <w:pPr>
        <w:spacing w:after="0" w:line="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b w:val="1"/>
          <w:bCs w:val="1"/>
          <w:color w:val="auto"/>
        </w:rPr>
        <w:t>FORM OF EXERCISE CERTIFICATE</w:t>
      </w:r>
    </w:p>
    <w:p>
      <w:pPr>
        <w:sectPr>
          <w:pgSz w:w="11900" w:h="16838" w:orient="portrait"/>
          <w:cols w:equalWidth="0" w:num="1">
            <w:col w:w="10040"/>
          </w:cols>
          <w:pgMar w:left="1400" w:top="1440" w:right="459" w:bottom="1440" w:gutter="0" w:footer="0" w:header="0"/>
        </w:sectPr>
      </w:pPr>
    </w:p>
    <w:bookmarkStart w:id="136" w:name="page137"/>
    <w:bookmarkEnd w:id="136"/>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Exhibit A to Warrant Certificate</w:t>
      </w:r>
    </w:p>
    <w:p>
      <w:pPr>
        <w:spacing w:after="0" w:line="15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(To be signed only upon exercise of Warrant Certificate)</w:t>
      </w:r>
    </w:p>
    <w:p>
      <w:pPr>
        <w:spacing w:after="0" w:line="36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TriSalus Life Sciences, Inc.</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[Address] Attention:[●]</w:t>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undersigned, as holder of a right to purchase Warrant Shares (as defined in the Warrant Certificate) of TriSalus Life Sciences,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pursuant to that certain Warrant Certificate of the Company, dated as of April 30, 2024 (the “</w:t>
      </w:r>
      <w:r>
        <w:rPr>
          <w:rFonts w:ascii="Times New Roman" w:cs="Times New Roman" w:eastAsia="Times New Roman" w:hAnsi="Times New Roman"/>
          <w:sz w:val="22"/>
          <w:szCs w:val="22"/>
          <w:b w:val="1"/>
          <w:bCs w:val="1"/>
          <w:i w:val="1"/>
          <w:iCs w:val="1"/>
          <w:color w:val="auto"/>
        </w:rPr>
        <w:t>Warrant Certificate</w:t>
      </w:r>
      <w:r>
        <w:rPr>
          <w:rFonts w:ascii="Times New Roman" w:cs="Times New Roman" w:eastAsia="Times New Roman" w:hAnsi="Times New Roman"/>
          <w:sz w:val="22"/>
          <w:szCs w:val="22"/>
          <w:color w:val="auto"/>
        </w:rPr>
        <w:t>”), a copy of which is attached to this Exercise Certificate, hereby irrevocably elects to exercise the purchase right represented by such Warrant Certificate for, and to purchase thereunder, [ ( )] Warrant Shares of the Company and herewith makes payment with this Exercise Certificate of the Aggregate Exercise Price therefor by the following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1397000</wp:posOffset>
            </wp:positionH>
            <wp:positionV relativeFrom="paragraph">
              <wp:posOffset>-201295</wp:posOffset>
            </wp:positionV>
            <wp:extent cx="2768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276860" cy="8890"/>
                    </a:xfrm>
                    <a:prstGeom prst="rect">
                      <a:avLst/>
                    </a:prstGeom>
                    <a:noFill/>
                  </pic:spPr>
                </pic:pic>
              </a:graphicData>
            </a:graphic>
          </wp:anchor>
        </w:drawing>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undersigned hereby elects to make payment of the Aggregate Exercise Price of [ Dollars ($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5142865</wp:posOffset>
            </wp:positionH>
            <wp:positionV relativeFrom="paragraph">
              <wp:posOffset>-13970</wp:posOffset>
            </wp:positionV>
            <wp:extent cx="342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-13970</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 w:lineRule="exact"/>
        <w:rPr>
          <w:sz w:val="20"/>
          <w:szCs w:val="20"/>
          <w:color w:val="auto"/>
        </w:rPr>
      </w:pPr>
    </w:p>
    <w:p>
      <w:pPr>
        <w:ind w:left="300" w:hanging="292"/>
        <w:spacing w:after="0"/>
        <w:tabs>
          <w:tab w:leader="none" w:pos="3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Common Shares using the method described in </w:t>
      </w:r>
      <w:r>
        <w:rPr>
          <w:rFonts w:ascii="Times New Roman" w:cs="Times New Roman" w:eastAsia="Times New Roman" w:hAnsi="Times New Roman"/>
          <w:sz w:val="22"/>
          <w:szCs w:val="22"/>
          <w:b w:val="1"/>
          <w:bCs w:val="1"/>
          <w:color w:val="auto"/>
        </w:rPr>
        <w:t>Section 3(b)(i)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-29210</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undersigned hereby elects to make payment of the Aggregate Exercise Price of [ Dollars ($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5142865</wp:posOffset>
            </wp:positionH>
            <wp:positionV relativeFrom="paragraph">
              <wp:posOffset>-13970</wp:posOffset>
            </wp:positionV>
            <wp:extent cx="342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-13970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9" w:lineRule="exact"/>
        <w:rPr>
          <w:sz w:val="20"/>
          <w:szCs w:val="20"/>
          <w:color w:val="auto"/>
        </w:rPr>
      </w:pPr>
    </w:p>
    <w:p>
      <w:pPr>
        <w:ind w:left="300" w:hanging="292"/>
        <w:spacing w:after="0"/>
        <w:tabs>
          <w:tab w:leader="none" w:pos="3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Common Shares using the method described in </w:t>
      </w:r>
      <w:r>
        <w:rPr>
          <w:rFonts w:ascii="Times New Roman" w:cs="Times New Roman" w:eastAsia="Times New Roman" w:hAnsi="Times New Roman"/>
          <w:sz w:val="22"/>
          <w:szCs w:val="22"/>
          <w:b w:val="1"/>
          <w:bCs w:val="1"/>
          <w:color w:val="auto"/>
        </w:rPr>
        <w:t>Section 3(b)(ii)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-21590</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undersigned hereby elects to make payment of the Aggregate Exercise Price of [ Dollars ($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5142865</wp:posOffset>
            </wp:positionH>
            <wp:positionV relativeFrom="paragraph">
              <wp:posOffset>-13970</wp:posOffset>
            </wp:positionV>
            <wp:extent cx="342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-13970</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 w:lineRule="exact"/>
        <w:rPr>
          <w:sz w:val="20"/>
          <w:szCs w:val="20"/>
          <w:color w:val="auto"/>
        </w:rPr>
      </w:pPr>
    </w:p>
    <w:p>
      <w:pPr>
        <w:ind w:left="300" w:hanging="292"/>
        <w:spacing w:after="0"/>
        <w:tabs>
          <w:tab w:leader="none" w:pos="3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Common Shares using the method described in </w:t>
      </w:r>
      <w:r>
        <w:rPr>
          <w:rFonts w:ascii="Times New Roman" w:cs="Times New Roman" w:eastAsia="Times New Roman" w:hAnsi="Times New Roman"/>
          <w:sz w:val="22"/>
          <w:szCs w:val="22"/>
          <w:b w:val="1"/>
          <w:bCs w:val="1"/>
          <w:color w:val="auto"/>
        </w:rPr>
        <w:t>Section 3(b)(iii)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28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Unless otherwise defined herein, capitalized terms have the meanings provided in the Warrant Certificate.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-13970</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[HOLDER]</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2633980</wp:posOffset>
            </wp:positionH>
            <wp:positionV relativeFrom="paragraph">
              <wp:posOffset>-13970</wp:posOffset>
            </wp:positionV>
            <wp:extent cx="137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Exhibit A-1</w:t>
      </w:r>
    </w:p>
    <w:p>
      <w:pPr>
        <w:sectPr>
          <w:pgSz w:w="11900" w:h="16838" w:orient="portrait"/>
          <w:cols w:equalWidth="0" w:num="1">
            <w:col w:w="10060"/>
          </w:cols>
          <w:pgMar w:left="1400" w:top="1440" w:right="439" w:bottom="1440" w:gutter="0" w:footer="0" w:header="0"/>
        </w:sectPr>
      </w:pPr>
    </w:p>
    <w:bookmarkStart w:id="137" w:name="page138"/>
    <w:bookmarkEnd w:id="137"/>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to Warrant Certificate</w:t>
      </w:r>
    </w:p>
    <w:p>
      <w:pPr>
        <w:spacing w:after="0" w:line="20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FORM OF ASSIGNMENT</w:t>
      </w:r>
    </w:p>
    <w:p>
      <w:pPr>
        <w:spacing w:after="0" w:line="25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[DATE OF ASSIGNMENT]</w:t>
      </w:r>
    </w:p>
    <w:p>
      <w:pPr>
        <w:spacing w:after="0" w:line="241"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2"/>
          <w:szCs w:val="22"/>
          <w:color w:val="auto"/>
        </w:rPr>
        <w:t>THE UNDERSIGNED, [NAME OF HOLDER], is the holder (in such capacity, the “</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of a warrant certificate issued by TriSalus Life Sciences, Inc., a Delaware corporation (the “</w:t>
      </w:r>
      <w:r>
        <w:rPr>
          <w:rFonts w:ascii="Times New Roman" w:cs="Times New Roman" w:eastAsia="Times New Roman" w:hAnsi="Times New Roman"/>
          <w:sz w:val="22"/>
          <w:szCs w:val="22"/>
          <w:b w:val="1"/>
          <w:bCs w:val="1"/>
          <w:i w:val="1"/>
          <w:iCs w:val="1"/>
          <w:color w:val="auto"/>
        </w:rPr>
        <w:t>Warrant Certificate</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respectively), entitling the Holder to purchase up to [ ] Warrant Shares (as defined in the Warrant Certificate). Unless otherwise defined, capitalized terms used herein have the meanings ascribed thereto in the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-374015</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2"/>
          <w:szCs w:val="22"/>
          <w:color w:val="auto"/>
        </w:rPr>
        <w:t>FOR VALUE RECEIVED, the Holder hereby sells, assigns and transfers to [NAME OF ASSIGNEE] (the “</w:t>
      </w:r>
      <w:r>
        <w:rPr>
          <w:rFonts w:ascii="Times New Roman" w:cs="Times New Roman" w:eastAsia="Times New Roman" w:hAnsi="Times New Roman"/>
          <w:sz w:val="22"/>
          <w:szCs w:val="22"/>
          <w:b w:val="1"/>
          <w:bCs w:val="1"/>
          <w:i w:val="1"/>
          <w:iCs w:val="1"/>
          <w:color w:val="auto"/>
        </w:rPr>
        <w:t>Assignee</w:t>
      </w:r>
      <w:r>
        <w:rPr>
          <w:rFonts w:ascii="Times New Roman" w:cs="Times New Roman" w:eastAsia="Times New Roman" w:hAnsi="Times New Roman"/>
          <w:sz w:val="22"/>
          <w:szCs w:val="22"/>
          <w:color w:val="auto"/>
        </w:rPr>
        <w:t>”) the right to acquire [all Warrant Shares entitled to be purchased upon exercise of the Warrant</w:t>
      </w:r>
    </w:p>
    <w:p>
      <w:pPr>
        <w:spacing w:after="0" w:line="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 xml:space="preserve">Certificate] [ of the Warrant Shares entitled to be purchased upon exercise of the Warrant Certificate]. In furtherance of the foregoing assignment, the Holder hereby irrevocably instructs the Company to (i) memorialize such assignment on the Warrant Register as required pursuant to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of the Warrant Certificate, and (ii) pursuant to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 xml:space="preserve"> of the Warrant Certificate, execute and deliver to the Assignee [and the Holder][a new Warrant Certificate][new Warrant Certificates] reflecting the foregoing assignment ([each] a “</w:t>
      </w:r>
      <w:r>
        <w:rPr>
          <w:rFonts w:ascii="Times New Roman" w:cs="Times New Roman" w:eastAsia="Times New Roman" w:hAnsi="Times New Roman"/>
          <w:sz w:val="22"/>
          <w:szCs w:val="22"/>
          <w:b w:val="1"/>
          <w:bCs w:val="1"/>
          <w:i w:val="1"/>
          <w:iCs w:val="1"/>
          <w:color w:val="auto"/>
        </w:rPr>
        <w:t>Substitute 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Certificate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-856615</wp:posOffset>
            </wp:positionV>
            <wp:extent cx="2400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69"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1"/>
          <w:szCs w:val="21"/>
          <w:color w:val="auto"/>
        </w:rPr>
        <w:t>The Assignee acknowledges and agrees that its Substitute Warrant Certificate and the Warrant Shares to be issued upon exercise thereof are being acquired for investment and that the Assignee will not offer, sell or otherwise dispose of its Substitute Warrant Certificate or any Warrant Shares to be issued upon exercise or conversion thereof except under circumstances which will not result in a violation of the Securities Act or any applicable state securities laws. The Assignee represents and warrants for the benefit of the Company that the Assignee is an “accredited investor” within the meaning of Rule 501 of Regulation D promulgated under the Securities Act.</w:t>
      </w:r>
    </w:p>
    <w:p>
      <w:pPr>
        <w:spacing w:after="0" w:line="178"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To the extent required pursuant to </w:t>
      </w:r>
      <w:r>
        <w:rPr>
          <w:rFonts w:ascii="Times New Roman" w:cs="Times New Roman" w:eastAsia="Times New Roman" w:hAnsi="Times New Roman"/>
          <w:sz w:val="22"/>
          <w:szCs w:val="22"/>
          <w:b w:val="1"/>
          <w:bCs w:val="1"/>
          <w:color w:val="auto"/>
        </w:rPr>
        <w:t>Section 11(a)</w:t>
      </w:r>
      <w:r>
        <w:rPr>
          <w:rFonts w:ascii="Times New Roman" w:cs="Times New Roman" w:eastAsia="Times New Roman" w:hAnsi="Times New Roman"/>
          <w:sz w:val="22"/>
          <w:szCs w:val="22"/>
          <w:color w:val="auto"/>
        </w:rPr>
        <w:t xml:space="preserve"> of the Warrant Certificate, the Assignee acknowledges and agrees that a restrictive legend shall be applied to the Assignee’s Substitute Warrant Certificate and the Warrant Shares issuable upon exercise of such certificate substantially consistent with the legend set forth in </w:t>
      </w:r>
      <w:r>
        <w:rPr>
          <w:rFonts w:ascii="Times New Roman" w:cs="Times New Roman" w:eastAsia="Times New Roman" w:hAnsi="Times New Roman"/>
          <w:sz w:val="22"/>
          <w:szCs w:val="22"/>
          <w:b w:val="1"/>
          <w:bCs w:val="1"/>
          <w:color w:val="auto"/>
        </w:rPr>
        <w:t>Section 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parties hereto agree as set forth above as of the date first written above.</w:t>
      </w:r>
    </w:p>
    <w:p>
      <w:pPr>
        <w:sectPr>
          <w:pgSz w:w="11900" w:h="16838" w:orient="portrait"/>
          <w:cols w:equalWidth="0" w:num="1">
            <w:col w:w="10060"/>
          </w:cols>
          <w:pgMar w:left="1400" w:top="1440" w:right="439" w:bottom="1440" w:gutter="0" w:footer="0" w:header="0"/>
        </w:sectPr>
      </w:pPr>
    </w:p>
    <w:bookmarkStart w:id="138" w:name="page139"/>
    <w:bookmarkEnd w:id="138"/>
    <w:p>
      <w:pPr>
        <w:spacing w:after="0" w:line="34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[HOLDER]</w:t>
      </w:r>
    </w:p>
    <w:p>
      <w:pPr>
        <w:spacing w:after="0" w:line="200" w:lineRule="exact"/>
        <w:rPr>
          <w:sz w:val="20"/>
          <w:szCs w:val="20"/>
          <w:color w:val="auto"/>
        </w:rPr>
      </w:pPr>
    </w:p>
    <w:p>
      <w:pPr>
        <w:spacing w:after="0" w:line="276" w:lineRule="exact"/>
        <w:rPr>
          <w:sz w:val="20"/>
          <w:szCs w:val="20"/>
          <w:color w:val="auto"/>
        </w:rPr>
      </w:pPr>
    </w:p>
    <w:p>
      <w:pPr>
        <w:ind w:left="4620"/>
        <w:spacing w:after="0"/>
        <w:tabs>
          <w:tab w:leader="none" w:pos="5120" w:val="left"/>
        </w:tabs>
        <w:rPr>
          <w:sz w:val="20"/>
          <w:szCs w:val="20"/>
          <w:color w:val="auto"/>
        </w:rPr>
      </w:pPr>
      <w:r>
        <w:rPr>
          <w:rFonts w:ascii="Times New Roman" w:cs="Times New Roman" w:eastAsia="Times New Roman" w:hAnsi="Times New Roman"/>
          <w:sz w:val="21"/>
          <w:szCs w:val="21"/>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-6985</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Title: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 [NAME OF ASSIGNEE]</w:t>
      </w:r>
    </w:p>
    <w:p>
      <w:pPr>
        <w:spacing w:after="0" w:line="1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-13970</wp:posOffset>
            </wp:positionV>
            <wp:extent cx="274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59"/>
          </w:cols>
          <w:pgMar w:left="1400" w:top="1440" w:right="1440" w:bottom="1440" w:gutter="0" w:footer="0" w:header="0"/>
        </w:sectPr>
      </w:pPr>
    </w:p>
    <w:bookmarkStart w:id="139" w:name="page140"/>
    <w:bookmarkEnd w:id="139"/>
    <w:p>
      <w:pPr>
        <w:jc w:val="center"/>
        <w:ind w:left="400"/>
        <w:spacing w:after="0" w:line="257" w:lineRule="auto"/>
        <w:rPr>
          <w:sz w:val="20"/>
          <w:szCs w:val="20"/>
          <w:color w:val="auto"/>
        </w:rPr>
      </w:pPr>
      <w:r>
        <w:rPr>
          <w:rFonts w:ascii="Times New Roman" w:cs="Times New Roman" w:eastAsia="Times New Roman" w:hAnsi="Times New Roman"/>
          <w:sz w:val="22"/>
          <w:szCs w:val="22"/>
          <w:color w:val="auto"/>
        </w:rPr>
        <w:t>CERTAIN IDENTIFIED INFORMATION HAS BEEN EXCLUDED FROM THIS EXHIBIT BECAUSE IT IS BOTH (I) NOT MATERIAL AND (II) IS THE TYPE THAT THE REGISTRANT TREATS AS PRIVATE OR CONFIDENTIAL. OMISSIONS ARE DESIGNATED [***].</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dated as of April 30, 2024</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by and among</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TRISALUS OPERATING LIFE SCIENCES, INC.,</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as the Borrower,</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TRISALUS LIFE SCIENCES, INC.,</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as the Parent,</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ORBIMED ROYALTY &amp; CREDIT OPPORTUNITIES IV, LP,</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as the Initial Lender,</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ORBIMED ROYALTY &amp; CREDIT OPPORTUNITIES IV, LP,</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00" w:type="dxa"/>
            <w:vAlign w:val="bottom"/>
            <w:gridSpan w:val="5"/>
          </w:tcPr>
          <w:p>
            <w:pPr>
              <w:jc w:val="center"/>
              <w:ind w:right="752"/>
              <w:spacing w:after="0"/>
              <w:rPr>
                <w:sz w:val="20"/>
                <w:szCs w:val="20"/>
                <w:color w:val="auto"/>
              </w:rPr>
            </w:pPr>
            <w:r>
              <w:rPr>
                <w:rFonts w:ascii="Times New Roman" w:cs="Times New Roman" w:eastAsia="Times New Roman" w:hAnsi="Times New Roman"/>
                <w:sz w:val="22"/>
                <w:szCs w:val="22"/>
                <w:color w:val="auto"/>
                <w:w w:val="98"/>
              </w:rPr>
              <w:t>as the Administrative Agent</w:t>
            </w:r>
          </w:p>
        </w:tc>
        <w:tc>
          <w:tcPr>
            <w:tcW w:w="0" w:type="dxa"/>
            <w:vAlign w:val="bottom"/>
          </w:tcPr>
          <w:p>
            <w:pPr>
              <w:spacing w:after="0"/>
              <w:rPr>
                <w:sz w:val="1"/>
                <w:szCs w:val="1"/>
                <w:color w:val="auto"/>
              </w:rPr>
            </w:pPr>
          </w:p>
        </w:tc>
      </w:tr>
      <w:tr>
        <w:trPr>
          <w:trHeight w:val="407"/>
        </w:trPr>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14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720" w:type="dxa"/>
            <w:vAlign w:val="bottom"/>
            <w:gridSpan w:val="4"/>
            <w:vMerge w:val="restart"/>
          </w:tcPr>
          <w:p>
            <w:pPr>
              <w:spacing w:after="0"/>
              <w:rPr>
                <w:sz w:val="20"/>
                <w:szCs w:val="20"/>
                <w:color w:val="auto"/>
              </w:rPr>
            </w:pPr>
            <w:r>
              <w:rPr>
                <w:rFonts w:ascii="Times New Roman" w:cs="Times New Roman" w:eastAsia="Times New Roman" w:hAnsi="Times New Roman"/>
                <w:sz w:val="22"/>
                <w:szCs w:val="22"/>
                <w:color w:val="auto"/>
              </w:rPr>
              <w:t>ARTICLE I DEFINITIONS AND ACCOUNTING TERMS</w:t>
            </w:r>
          </w:p>
        </w:tc>
        <w:tc>
          <w:tcPr>
            <w:tcW w:w="10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w:t>
            </w:r>
          </w:p>
        </w:tc>
        <w:tc>
          <w:tcPr>
            <w:tcW w:w="106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236"/>
        </w:trPr>
        <w:tc>
          <w:tcPr>
            <w:tcW w:w="5720" w:type="dxa"/>
            <w:vAlign w:val="bottom"/>
            <w:gridSpan w:val="4"/>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340"/>
              <w:spacing w:after="0" w:line="229" w:lineRule="exact"/>
              <w:rPr>
                <w:sz w:val="20"/>
                <w:szCs w:val="20"/>
                <w:color w:val="auto"/>
              </w:rPr>
            </w:pPr>
            <w:r>
              <w:rPr>
                <w:rFonts w:ascii="Times New Roman" w:cs="Times New Roman" w:eastAsia="Times New Roman" w:hAnsi="Times New Roman"/>
                <w:sz w:val="22"/>
                <w:szCs w:val="22"/>
                <w:color w:val="auto"/>
              </w:rPr>
              <w:t>SECTION 1.1 Defined Terms.</w:t>
            </w:r>
          </w:p>
        </w:tc>
        <w:tc>
          <w:tcPr>
            <w:tcW w:w="1820" w:type="dxa"/>
            <w:vAlign w:val="bottom"/>
            <w:gridSpan w:val="2"/>
          </w:tcPr>
          <w:p>
            <w:pPr>
              <w:jc w:val="right"/>
              <w:ind w:right="752"/>
              <w:spacing w:after="0" w:line="229" w:lineRule="exact"/>
              <w:rPr>
                <w:sz w:val="20"/>
                <w:szCs w:val="20"/>
                <w:color w:val="auto"/>
              </w:rPr>
            </w:pPr>
            <w:r>
              <w:rPr>
                <w:rFonts w:ascii="Times New Roman" w:cs="Times New Roman" w:eastAsia="Times New Roman" w:hAnsi="Times New Roman"/>
                <w:sz w:val="22"/>
                <w:szCs w:val="22"/>
                <w:color w:val="auto"/>
              </w:rPr>
              <w:t>1</w:t>
            </w: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1.2 Use of Defined Terms.</w:t>
            </w:r>
          </w:p>
        </w:tc>
        <w:tc>
          <w:tcPr>
            <w:tcW w:w="1820" w:type="dxa"/>
            <w:vAlign w:val="bottom"/>
            <w:gridSpan w:val="2"/>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1.3 Cross-References.</w:t>
            </w:r>
          </w:p>
        </w:tc>
        <w:tc>
          <w:tcPr>
            <w:tcW w:w="1820" w:type="dxa"/>
            <w:vAlign w:val="bottom"/>
            <w:gridSpan w:val="2"/>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4"/>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1.4 Accounting and Financial Determinations.</w:t>
            </w:r>
          </w:p>
        </w:tc>
        <w:tc>
          <w:tcPr>
            <w:tcW w:w="100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ARTICLE II COMMITMENT AND BORROWING PROCEDURES   24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2.1 Commitment</w:t>
            </w:r>
          </w:p>
        </w:tc>
        <w:tc>
          <w:tcPr>
            <w:tcW w:w="1820" w:type="dxa"/>
            <w:vAlign w:val="bottom"/>
            <w:gridSpan w:val="2"/>
          </w:tcPr>
          <w:p>
            <w:pPr>
              <w:jc w:val="right"/>
              <w:ind w:right="1012"/>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8"/>
              </w:rPr>
              <w:t>SECTION 2.2</w:t>
            </w:r>
          </w:p>
        </w:tc>
        <w:tc>
          <w:tcPr>
            <w:tcW w:w="23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Borrowing Procedure.</w:t>
            </w:r>
          </w:p>
        </w:tc>
        <w:tc>
          <w:tcPr>
            <w:tcW w:w="1820" w:type="dxa"/>
            <w:vAlign w:val="bottom"/>
            <w:gridSpan w:val="2"/>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2.3 Funding.</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1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8"/>
              </w:rPr>
              <w:t>SECTION 2.4</w:t>
            </w:r>
          </w:p>
        </w:tc>
        <w:tc>
          <w:tcPr>
            <w:tcW w:w="41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Reduction of the Commitment Amounts.</w:t>
            </w:r>
          </w:p>
        </w:tc>
        <w:tc>
          <w:tcPr>
            <w:tcW w:w="1000" w:type="dxa"/>
            <w:vAlign w:val="bottom"/>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ARTICLE III REPAYMENTS, PREPAYMENTS, INTEREST AND FEES.   25</w:t>
            </w:r>
          </w:p>
        </w:tc>
        <w:tc>
          <w:tcPr>
            <w:tcW w:w="0" w:type="dxa"/>
            <w:vAlign w:val="bottom"/>
          </w:tcPr>
          <w:p>
            <w:pPr>
              <w:spacing w:after="0"/>
              <w:rPr>
                <w:sz w:val="1"/>
                <w:szCs w:val="1"/>
                <w:color w:val="auto"/>
              </w:rPr>
            </w:pPr>
          </w:p>
        </w:tc>
      </w:tr>
      <w:tr>
        <w:trPr>
          <w:trHeight w:val="243"/>
        </w:trPr>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8"/>
              </w:rPr>
              <w:t>SECTION 3.1</w:t>
            </w:r>
          </w:p>
        </w:tc>
        <w:tc>
          <w:tcPr>
            <w:tcW w:w="41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Repayments and Prepayments; Application.</w:t>
            </w:r>
          </w:p>
        </w:tc>
        <w:tc>
          <w:tcPr>
            <w:tcW w:w="100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8"/>
              </w:rPr>
              <w:t>SECTION 3.2</w:t>
            </w: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Amortization; Repayments and Prepayments.</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4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i w:val="1"/>
          <w:iCs w:val="1"/>
          <w:color w:val="auto"/>
        </w:rPr>
        <w:t>Signature Page to Credit Agreement</w:t>
      </w:r>
    </w:p>
    <w:p>
      <w:pPr>
        <w:sectPr>
          <w:pgSz w:w="11900" w:h="16838" w:orient="portrait"/>
          <w:cols w:equalWidth="0" w:num="1">
            <w:col w:w="11180"/>
          </w:cols>
          <w:pgMar w:left="320" w:top="1421" w:right="39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53"/>
        </w:trPr>
        <w:tc>
          <w:tcPr>
            <w:tcW w:w="430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3.3 Application.</w:t>
            </w:r>
          </w:p>
        </w:tc>
        <w:tc>
          <w:tcPr>
            <w:tcW w:w="150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26</w:t>
            </w: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3.4 Interest Rate.</w:t>
            </w:r>
          </w:p>
        </w:tc>
        <w:tc>
          <w:tcPr>
            <w:tcW w:w="1500" w:type="dxa"/>
            <w:vAlign w:val="bottom"/>
          </w:tcPr>
          <w:p>
            <w:pPr>
              <w:jc w:val="right"/>
              <w:ind w:right="87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3.5 Default Rate.</w:t>
            </w:r>
          </w:p>
        </w:tc>
        <w:tc>
          <w:tcPr>
            <w:tcW w:w="1500" w:type="dxa"/>
            <w:vAlign w:val="bottom"/>
          </w:tcPr>
          <w:p>
            <w:pPr>
              <w:jc w:val="right"/>
              <w:ind w:right="87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3.6 Payment Dates.</w:t>
            </w:r>
          </w:p>
        </w:tc>
        <w:tc>
          <w:tcPr>
            <w:tcW w:w="150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3.7 Repayment Premium..</w:t>
            </w:r>
          </w:p>
        </w:tc>
        <w:tc>
          <w:tcPr>
            <w:tcW w:w="15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0"/>
        </w:trPr>
        <w:tc>
          <w:tcPr>
            <w:tcW w:w="2640" w:type="dxa"/>
            <w:vAlign w:val="bottom"/>
          </w:tcPr>
          <w:p>
            <w:pPr>
              <w:ind w:left="340"/>
              <w:spacing w:after="0" w:line="229" w:lineRule="exact"/>
              <w:rPr>
                <w:sz w:val="20"/>
                <w:szCs w:val="20"/>
                <w:color w:val="auto"/>
              </w:rPr>
            </w:pPr>
            <w:r>
              <w:rPr>
                <w:rFonts w:ascii="Times New Roman" w:cs="Times New Roman" w:eastAsia="Times New Roman" w:hAnsi="Times New Roman"/>
                <w:sz w:val="22"/>
                <w:szCs w:val="22"/>
                <w:color w:val="auto"/>
              </w:rPr>
              <w:t>SECTION 3.8 Exit Fee.</w:t>
            </w:r>
          </w:p>
        </w:tc>
        <w:tc>
          <w:tcPr>
            <w:tcW w:w="1660" w:type="dxa"/>
            <w:vAlign w:val="bottom"/>
          </w:tcPr>
          <w:p>
            <w:pPr>
              <w:spacing w:after="0"/>
              <w:rPr>
                <w:sz w:val="19"/>
                <w:szCs w:val="19"/>
                <w:color w:val="auto"/>
              </w:rPr>
            </w:pPr>
          </w:p>
        </w:tc>
        <w:tc>
          <w:tcPr>
            <w:tcW w:w="1500" w:type="dxa"/>
            <w:vAlign w:val="bottom"/>
          </w:tcPr>
          <w:p>
            <w:pPr>
              <w:jc w:val="right"/>
              <w:ind w:right="1032"/>
              <w:spacing w:after="0" w:line="229" w:lineRule="exact"/>
              <w:rPr>
                <w:sz w:val="20"/>
                <w:szCs w:val="20"/>
                <w:color w:val="auto"/>
              </w:rPr>
            </w:pPr>
            <w:r>
              <w:rPr>
                <w:rFonts w:ascii="Times New Roman" w:cs="Times New Roman" w:eastAsia="Times New Roman" w:hAnsi="Times New Roman"/>
                <w:sz w:val="22"/>
                <w:szCs w:val="22"/>
                <w:color w:val="auto"/>
              </w:rPr>
              <w:t>28</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3.9 Commitment Fee.</w:t>
            </w:r>
          </w:p>
        </w:tc>
        <w:tc>
          <w:tcPr>
            <w:tcW w:w="150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3.10 Undrawn Fee.</w:t>
            </w:r>
          </w:p>
        </w:tc>
        <w:tc>
          <w:tcPr>
            <w:tcW w:w="150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3.11 Administration Fee.</w:t>
            </w:r>
          </w:p>
        </w:tc>
        <w:tc>
          <w:tcPr>
            <w:tcW w:w="1500" w:type="dxa"/>
            <w:vAlign w:val="bottom"/>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5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ARTICLE IV SOFR RATE AND OTHER PROVISIONS</w:t>
            </w:r>
          </w:p>
        </w:tc>
        <w:tc>
          <w:tcPr>
            <w:tcW w:w="8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w w:val="90"/>
              </w:rPr>
              <w:t>29</w:t>
            </w: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4.1 Increased Costs, Etc.</w:t>
            </w:r>
          </w:p>
        </w:tc>
        <w:tc>
          <w:tcPr>
            <w:tcW w:w="15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4.2 Increased Capital Costs.</w:t>
            </w:r>
          </w:p>
        </w:tc>
        <w:tc>
          <w:tcPr>
            <w:tcW w:w="150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26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4.3 Taxes.</w:t>
            </w:r>
          </w:p>
        </w:tc>
        <w:tc>
          <w:tcPr>
            <w:tcW w:w="1660" w:type="dxa"/>
            <w:vAlign w:val="bottom"/>
          </w:tcPr>
          <w:p>
            <w:pPr>
              <w:jc w:val="right"/>
              <w:ind w:right="1312"/>
              <w:spacing w:after="0" w:line="243" w:lineRule="exact"/>
              <w:rPr>
                <w:sz w:val="20"/>
                <w:szCs w:val="20"/>
                <w:color w:val="auto"/>
              </w:rPr>
            </w:pPr>
            <w:r>
              <w:rPr>
                <w:rFonts w:ascii="Times New Roman" w:cs="Times New Roman" w:eastAsia="Times New Roman" w:hAnsi="Times New Roman"/>
                <w:sz w:val="22"/>
                <w:szCs w:val="22"/>
                <w:color w:val="auto"/>
                <w:w w:val="99"/>
              </w:rPr>
              <w:t>29</w:t>
            </w:r>
          </w:p>
        </w:tc>
        <w:tc>
          <w:tcPr>
            <w:tcW w:w="1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6680" w:type="dxa"/>
            <w:vAlign w:val="bottom"/>
            <w:gridSpan w:val="4"/>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4.4 Payments, Computations; Proceeds of Collateral, Etc.</w:t>
            </w:r>
          </w:p>
        </w:tc>
        <w:tc>
          <w:tcPr>
            <w:tcW w:w="52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26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4.5 Setoff</w:t>
            </w:r>
          </w:p>
        </w:tc>
        <w:tc>
          <w:tcPr>
            <w:tcW w:w="3160" w:type="dxa"/>
            <w:vAlign w:val="bottom"/>
            <w:gridSpan w:val="2"/>
          </w:tcPr>
          <w:p>
            <w:pPr>
              <w:jc w:val="right"/>
              <w:ind w:right="1272"/>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w w:val="98"/>
              </w:rPr>
              <w:t>SECTION 4.6 SOFR Rate Not Determinable.</w:t>
            </w:r>
          </w:p>
        </w:tc>
        <w:tc>
          <w:tcPr>
            <w:tcW w:w="2380" w:type="dxa"/>
            <w:vAlign w:val="bottom"/>
            <w:gridSpan w:val="2"/>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520" w:type="dxa"/>
            <w:vAlign w:val="bottom"/>
          </w:tcPr>
          <w:p>
            <w:pPr>
              <w:spacing w:after="0"/>
              <w:rPr>
                <w:sz w:val="21"/>
                <w:szCs w:val="21"/>
                <w:color w:val="auto"/>
              </w:rPr>
            </w:pPr>
          </w:p>
        </w:tc>
      </w:tr>
      <w:tr>
        <w:trPr>
          <w:trHeight w:val="229"/>
        </w:trPr>
        <w:tc>
          <w:tcPr>
            <w:tcW w:w="5800" w:type="dxa"/>
            <w:vAlign w:val="bottom"/>
            <w:gridSpan w:val="3"/>
          </w:tcPr>
          <w:p>
            <w:pPr>
              <w:spacing w:after="0" w:line="229" w:lineRule="exact"/>
              <w:rPr>
                <w:sz w:val="20"/>
                <w:szCs w:val="20"/>
                <w:color w:val="auto"/>
              </w:rPr>
            </w:pPr>
            <w:r>
              <w:rPr>
                <w:rFonts w:ascii="Times New Roman" w:cs="Times New Roman" w:eastAsia="Times New Roman" w:hAnsi="Times New Roman"/>
                <w:sz w:val="22"/>
                <w:szCs w:val="22"/>
                <w:color w:val="auto"/>
              </w:rPr>
              <w:t>ARTICLE V CONDITIONS TO MAKING THE LOANS</w:t>
            </w:r>
          </w:p>
        </w:tc>
        <w:tc>
          <w:tcPr>
            <w:tcW w:w="880" w:type="dxa"/>
            <w:vAlign w:val="bottom"/>
          </w:tcPr>
          <w:p>
            <w:pPr>
              <w:jc w:val="right"/>
              <w:ind w:right="532"/>
              <w:spacing w:after="0" w:line="229" w:lineRule="exact"/>
              <w:rPr>
                <w:sz w:val="20"/>
                <w:szCs w:val="20"/>
                <w:color w:val="auto"/>
              </w:rPr>
            </w:pPr>
            <w:r>
              <w:rPr>
                <w:rFonts w:ascii="Times New Roman" w:cs="Times New Roman" w:eastAsia="Times New Roman" w:hAnsi="Times New Roman"/>
                <w:sz w:val="22"/>
                <w:szCs w:val="22"/>
                <w:color w:val="auto"/>
                <w:w w:val="99"/>
              </w:rPr>
              <w:t>37</w:t>
            </w:r>
          </w:p>
        </w:tc>
        <w:tc>
          <w:tcPr>
            <w:tcW w:w="520" w:type="dxa"/>
            <w:vAlign w:val="bottom"/>
          </w:tcPr>
          <w:p>
            <w:pPr>
              <w:spacing w:after="0"/>
              <w:rPr>
                <w:sz w:val="19"/>
                <w:szCs w:val="19"/>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5.1 Credit Extensions.</w:t>
            </w:r>
          </w:p>
        </w:tc>
        <w:tc>
          <w:tcPr>
            <w:tcW w:w="15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5.2 Secretary’s Certificate, Etc.</w:t>
            </w:r>
          </w:p>
        </w:tc>
        <w:tc>
          <w:tcPr>
            <w:tcW w:w="15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5.3 Closing Date Certificates.</w:t>
            </w:r>
          </w:p>
        </w:tc>
        <w:tc>
          <w:tcPr>
            <w:tcW w:w="150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580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5.4 Payment of Outstanding Indebtedness, Etc.</w:t>
            </w:r>
          </w:p>
        </w:tc>
        <w:tc>
          <w:tcPr>
            <w:tcW w:w="8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5.5 Delivery of Note.</w:t>
            </w:r>
          </w:p>
        </w:tc>
        <w:tc>
          <w:tcPr>
            <w:tcW w:w="150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5.6 Financial Information, Etc.</w:t>
            </w:r>
          </w:p>
        </w:tc>
        <w:tc>
          <w:tcPr>
            <w:tcW w:w="150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5.7 Compliance Certificate.</w:t>
            </w:r>
          </w:p>
        </w:tc>
        <w:tc>
          <w:tcPr>
            <w:tcW w:w="150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5.8 Solvency, Etc.</w:t>
            </w:r>
          </w:p>
        </w:tc>
        <w:tc>
          <w:tcPr>
            <w:tcW w:w="150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26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5.9 Guarantee.</w:t>
            </w:r>
          </w:p>
        </w:tc>
        <w:tc>
          <w:tcPr>
            <w:tcW w:w="1660" w:type="dxa"/>
            <w:vAlign w:val="bottom"/>
          </w:tcPr>
          <w:p>
            <w:pPr>
              <w:spacing w:after="0"/>
              <w:rPr>
                <w:sz w:val="21"/>
                <w:szCs w:val="21"/>
                <w:color w:val="auto"/>
              </w:rPr>
            </w:pPr>
          </w:p>
        </w:tc>
        <w:tc>
          <w:tcPr>
            <w:tcW w:w="1500" w:type="dxa"/>
            <w:vAlign w:val="bottom"/>
          </w:tcPr>
          <w:p>
            <w:pPr>
              <w:jc w:val="right"/>
              <w:ind w:right="1132"/>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0"/>
        </w:trPr>
        <w:tc>
          <w:tcPr>
            <w:tcW w:w="4300" w:type="dxa"/>
            <w:vAlign w:val="bottom"/>
            <w:gridSpan w:val="2"/>
          </w:tcPr>
          <w:p>
            <w:pPr>
              <w:ind w:left="340"/>
              <w:spacing w:after="0" w:line="229" w:lineRule="exact"/>
              <w:rPr>
                <w:sz w:val="20"/>
                <w:szCs w:val="20"/>
                <w:color w:val="auto"/>
              </w:rPr>
            </w:pPr>
            <w:r>
              <w:rPr>
                <w:rFonts w:ascii="Times New Roman" w:cs="Times New Roman" w:eastAsia="Times New Roman" w:hAnsi="Times New Roman"/>
                <w:sz w:val="22"/>
                <w:szCs w:val="22"/>
                <w:color w:val="auto"/>
              </w:rPr>
              <w:t>SECTION 5.10 Security Agreements.</w:t>
            </w:r>
          </w:p>
        </w:tc>
        <w:tc>
          <w:tcPr>
            <w:tcW w:w="1500" w:type="dxa"/>
            <w:vAlign w:val="bottom"/>
          </w:tcPr>
          <w:p>
            <w:pPr>
              <w:jc w:val="right"/>
              <w:ind w:right="312"/>
              <w:spacing w:after="0" w:line="229" w:lineRule="exact"/>
              <w:rPr>
                <w:sz w:val="20"/>
                <w:szCs w:val="20"/>
                <w:color w:val="auto"/>
              </w:rPr>
            </w:pPr>
            <w:r>
              <w:rPr>
                <w:rFonts w:ascii="Times New Roman" w:cs="Times New Roman" w:eastAsia="Times New Roman" w:hAnsi="Times New Roman"/>
                <w:sz w:val="22"/>
                <w:szCs w:val="22"/>
                <w:color w:val="auto"/>
              </w:rPr>
              <w:t>39</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580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5.11 Intellectual Property Security Agreements.</w:t>
            </w:r>
          </w:p>
        </w:tc>
        <w:tc>
          <w:tcPr>
            <w:tcW w:w="8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520" w:type="dxa"/>
            <w:vAlign w:val="bottom"/>
          </w:tcPr>
          <w:p>
            <w:pPr>
              <w:spacing w:after="0"/>
              <w:rPr>
                <w:sz w:val="21"/>
                <w:szCs w:val="21"/>
                <w:color w:val="auto"/>
              </w:rPr>
            </w:pPr>
          </w:p>
        </w:tc>
      </w:tr>
      <w:tr>
        <w:trPr>
          <w:trHeight w:val="243"/>
        </w:trPr>
        <w:tc>
          <w:tcPr>
            <w:tcW w:w="580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5.12 Share Purchase Agreement; Warrants.</w:t>
            </w:r>
          </w:p>
        </w:tc>
        <w:tc>
          <w:tcPr>
            <w:tcW w:w="88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5.13 Opinions of Counsel</w:t>
            </w:r>
          </w:p>
        </w:tc>
        <w:tc>
          <w:tcPr>
            <w:tcW w:w="150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26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SECTION 5.14 Insurance.</w:t>
            </w:r>
          </w:p>
        </w:tc>
        <w:tc>
          <w:tcPr>
            <w:tcW w:w="1660" w:type="dxa"/>
            <w:vAlign w:val="bottom"/>
          </w:tcPr>
          <w:p>
            <w:pPr>
              <w:spacing w:after="0"/>
              <w:rPr>
                <w:sz w:val="21"/>
                <w:szCs w:val="21"/>
                <w:color w:val="auto"/>
              </w:rPr>
            </w:pPr>
          </w:p>
        </w:tc>
        <w:tc>
          <w:tcPr>
            <w:tcW w:w="150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5.15 Closing Fees, Expenses, Etc.</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5.16 Anti-Terrorism Laws.</w:t>
            </w:r>
          </w:p>
        </w:tc>
        <w:tc>
          <w:tcPr>
            <w:tcW w:w="15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5.17 Satisfactory Legal Form..</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5.18 Product Revenue Base.</w:t>
            </w:r>
          </w:p>
        </w:tc>
        <w:tc>
          <w:tcPr>
            <w:tcW w:w="150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5.19 Disclosure Schedules.</w:t>
            </w:r>
          </w:p>
        </w:tc>
        <w:tc>
          <w:tcPr>
            <w:tcW w:w="150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5.20 Material Adverse Change.</w:t>
            </w:r>
          </w:p>
        </w:tc>
        <w:tc>
          <w:tcPr>
            <w:tcW w:w="150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9"/>
        </w:trPr>
        <w:tc>
          <w:tcPr>
            <w:tcW w:w="2640" w:type="dxa"/>
            <w:vAlign w:val="bottom"/>
          </w:tcPr>
          <w:p>
            <w:pPr>
              <w:ind w:left="340"/>
              <w:spacing w:after="0" w:line="229" w:lineRule="exact"/>
              <w:rPr>
                <w:sz w:val="20"/>
                <w:szCs w:val="20"/>
                <w:color w:val="auto"/>
              </w:rPr>
            </w:pPr>
            <w:r>
              <w:rPr>
                <w:rFonts w:ascii="Times New Roman" w:cs="Times New Roman" w:eastAsia="Times New Roman" w:hAnsi="Times New Roman"/>
                <w:sz w:val="22"/>
                <w:szCs w:val="22"/>
                <w:color w:val="auto"/>
              </w:rPr>
              <w:t>SECTION 5.21 [***]</w:t>
            </w:r>
          </w:p>
        </w:tc>
        <w:tc>
          <w:tcPr>
            <w:tcW w:w="3160" w:type="dxa"/>
            <w:vAlign w:val="bottom"/>
            <w:gridSpan w:val="2"/>
          </w:tcPr>
          <w:p>
            <w:pPr>
              <w:jc w:val="right"/>
              <w:ind w:right="1272"/>
              <w:spacing w:after="0" w:line="229" w:lineRule="exact"/>
              <w:rPr>
                <w:sz w:val="20"/>
                <w:szCs w:val="20"/>
                <w:color w:val="auto"/>
              </w:rPr>
            </w:pPr>
            <w:r>
              <w:rPr>
                <w:rFonts w:ascii="Times New Roman" w:cs="Times New Roman" w:eastAsia="Times New Roman" w:hAnsi="Times New Roman"/>
                <w:sz w:val="22"/>
                <w:szCs w:val="22"/>
                <w:color w:val="auto"/>
              </w:rPr>
              <w:t>41</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5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ARTICLE VI REPRESENTATIONS AND WARRANTIES.</w:t>
            </w:r>
          </w:p>
        </w:tc>
        <w:tc>
          <w:tcPr>
            <w:tcW w:w="88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6.1 Organization, Etc.</w:t>
            </w:r>
          </w:p>
        </w:tc>
        <w:tc>
          <w:tcPr>
            <w:tcW w:w="150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580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6.2 Due Authorization, Non-Contravention, Etc.</w:t>
            </w: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520" w:type="dxa"/>
            <w:vAlign w:val="bottom"/>
          </w:tcPr>
          <w:p>
            <w:pPr>
              <w:spacing w:after="0"/>
              <w:rPr>
                <w:sz w:val="21"/>
                <w:szCs w:val="21"/>
                <w:color w:val="auto"/>
              </w:rPr>
            </w:pPr>
          </w:p>
        </w:tc>
      </w:tr>
      <w:tr>
        <w:trPr>
          <w:trHeight w:val="243"/>
        </w:trPr>
        <w:tc>
          <w:tcPr>
            <w:tcW w:w="580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6.3 Government Approval, Regulation, Etc.</w:t>
            </w:r>
          </w:p>
        </w:tc>
        <w:tc>
          <w:tcPr>
            <w:tcW w:w="88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6.4 Validity, Etc.</w:t>
            </w:r>
          </w:p>
        </w:tc>
        <w:tc>
          <w:tcPr>
            <w:tcW w:w="1500" w:type="dxa"/>
            <w:vAlign w:val="bottom"/>
          </w:tcPr>
          <w:p>
            <w:pPr>
              <w:jc w:val="right"/>
              <w:ind w:right="952"/>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6.5 Financial Information.</w:t>
            </w:r>
          </w:p>
        </w:tc>
        <w:tc>
          <w:tcPr>
            <w:tcW w:w="150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6.6 No Material Adverse Change.</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3"/>
        </w:trPr>
        <w:tc>
          <w:tcPr>
            <w:tcW w:w="6680" w:type="dxa"/>
            <w:vAlign w:val="bottom"/>
            <w:gridSpan w:val="4"/>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6.7 Litigation, Labor Matters and Environmental Matters.</w:t>
            </w:r>
          </w:p>
        </w:tc>
        <w:tc>
          <w:tcPr>
            <w:tcW w:w="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430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6.8 Subsidiaries.</w:t>
            </w:r>
          </w:p>
        </w:tc>
        <w:tc>
          <w:tcPr>
            <w:tcW w:w="1500" w:type="dxa"/>
            <w:vAlign w:val="bottom"/>
          </w:tcPr>
          <w:p>
            <w:pPr>
              <w:jc w:val="right"/>
              <w:ind w:right="952"/>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82"/>
        </w:trPr>
        <w:tc>
          <w:tcPr>
            <w:tcW w:w="430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6.9 Ownership of Properties.</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43</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i w:val="1"/>
          <w:iCs w:val="1"/>
          <w:color w:val="auto"/>
        </w:rPr>
        <w:t>Signature Page to Credit Agreement</w:t>
      </w:r>
    </w:p>
    <w:p>
      <w:pPr>
        <w:sectPr>
          <w:pgSz w:w="11900" w:h="16838" w:orient="portrait"/>
          <w:cols w:equalWidth="0" w:num="1">
            <w:col w:w="10139"/>
          </w:cols>
          <w:pgMar w:left="320" w:top="1398" w:right="1440"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53"/>
        </w:trPr>
        <w:tc>
          <w:tcPr>
            <w:tcW w:w="42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6.10 Taxes.</w:t>
            </w:r>
          </w:p>
        </w:tc>
        <w:tc>
          <w:tcPr>
            <w:tcW w:w="16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43</w:t>
            </w:r>
          </w:p>
        </w:tc>
        <w:tc>
          <w:tcPr>
            <w:tcW w:w="720" w:type="dxa"/>
            <w:vAlign w:val="bottom"/>
          </w:tcPr>
          <w:p>
            <w:pPr>
              <w:spacing w:after="0"/>
              <w:rPr>
                <w:sz w:val="22"/>
                <w:szCs w:val="22"/>
                <w:color w:val="auto"/>
              </w:rPr>
            </w:pPr>
          </w:p>
        </w:tc>
      </w:tr>
      <w:tr>
        <w:trPr>
          <w:trHeight w:val="243"/>
        </w:trPr>
        <w:tc>
          <w:tcPr>
            <w:tcW w:w="424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6.11 Benefit Plans, Etc.</w:t>
            </w:r>
          </w:p>
        </w:tc>
        <w:tc>
          <w:tcPr>
            <w:tcW w:w="168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720" w:type="dxa"/>
            <w:vAlign w:val="bottom"/>
          </w:tcPr>
          <w:p>
            <w:pPr>
              <w:spacing w:after="0"/>
              <w:rPr>
                <w:sz w:val="21"/>
                <w:szCs w:val="21"/>
                <w:color w:val="auto"/>
              </w:rPr>
            </w:pPr>
          </w:p>
        </w:tc>
      </w:tr>
      <w:tr>
        <w:trPr>
          <w:trHeight w:val="243"/>
        </w:trPr>
        <w:tc>
          <w:tcPr>
            <w:tcW w:w="424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6.12 Accuracy of Information.</w:t>
            </w:r>
          </w:p>
        </w:tc>
        <w:tc>
          <w:tcPr>
            <w:tcW w:w="168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720" w:type="dxa"/>
            <w:vAlign w:val="bottom"/>
          </w:tcPr>
          <w:p>
            <w:pPr>
              <w:spacing w:after="0"/>
              <w:rPr>
                <w:sz w:val="21"/>
                <w:szCs w:val="21"/>
                <w:color w:val="auto"/>
              </w:rPr>
            </w:pPr>
          </w:p>
        </w:tc>
      </w:tr>
      <w:tr>
        <w:trPr>
          <w:trHeight w:val="243"/>
        </w:trPr>
        <w:tc>
          <w:tcPr>
            <w:tcW w:w="424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6.13 Regulations U and X..</w:t>
            </w:r>
          </w:p>
        </w:tc>
        <w:tc>
          <w:tcPr>
            <w:tcW w:w="168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720" w:type="dxa"/>
            <w:vAlign w:val="bottom"/>
          </w:tcPr>
          <w:p>
            <w:pPr>
              <w:spacing w:after="0"/>
              <w:rPr>
                <w:sz w:val="21"/>
                <w:szCs w:val="21"/>
                <w:color w:val="auto"/>
              </w:rPr>
            </w:pPr>
          </w:p>
        </w:tc>
      </w:tr>
      <w:tr>
        <w:trPr>
          <w:trHeight w:val="243"/>
        </w:trPr>
        <w:tc>
          <w:tcPr>
            <w:tcW w:w="424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6.14 Solvency.</w:t>
            </w:r>
          </w:p>
        </w:tc>
        <w:tc>
          <w:tcPr>
            <w:tcW w:w="1680" w:type="dxa"/>
            <w:vAlign w:val="bottom"/>
          </w:tcPr>
          <w:p>
            <w:pPr>
              <w:jc w:val="right"/>
              <w:ind w:right="1032"/>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720" w:type="dxa"/>
            <w:vAlign w:val="bottom"/>
          </w:tcPr>
          <w:p>
            <w:pPr>
              <w:spacing w:after="0"/>
              <w:rPr>
                <w:sz w:val="21"/>
                <w:szCs w:val="21"/>
                <w:color w:val="auto"/>
              </w:rPr>
            </w:pPr>
          </w:p>
        </w:tc>
      </w:tr>
      <w:tr>
        <w:trPr>
          <w:trHeight w:val="230"/>
        </w:trPr>
        <w:tc>
          <w:tcPr>
            <w:tcW w:w="4240" w:type="dxa"/>
            <w:vAlign w:val="bottom"/>
            <w:gridSpan w:val="2"/>
          </w:tcPr>
          <w:p>
            <w:pPr>
              <w:ind w:left="340"/>
              <w:spacing w:after="0" w:line="229" w:lineRule="exact"/>
              <w:rPr>
                <w:sz w:val="20"/>
                <w:szCs w:val="20"/>
                <w:color w:val="auto"/>
              </w:rPr>
            </w:pPr>
            <w:r>
              <w:rPr>
                <w:rFonts w:ascii="Times New Roman" w:cs="Times New Roman" w:eastAsia="Times New Roman" w:hAnsi="Times New Roman"/>
                <w:sz w:val="22"/>
                <w:szCs w:val="22"/>
                <w:color w:val="auto"/>
              </w:rPr>
              <w:t>SECTION 6.15 Intellectual Property.</w:t>
            </w:r>
          </w:p>
        </w:tc>
        <w:tc>
          <w:tcPr>
            <w:tcW w:w="1680" w:type="dxa"/>
            <w:vAlign w:val="bottom"/>
          </w:tcPr>
          <w:p>
            <w:pPr>
              <w:jc w:val="right"/>
              <w:ind w:right="492"/>
              <w:spacing w:after="0" w:line="229" w:lineRule="exact"/>
              <w:rPr>
                <w:sz w:val="20"/>
                <w:szCs w:val="20"/>
                <w:color w:val="auto"/>
              </w:rPr>
            </w:pPr>
            <w:r>
              <w:rPr>
                <w:rFonts w:ascii="Times New Roman" w:cs="Times New Roman" w:eastAsia="Times New Roman" w:hAnsi="Times New Roman"/>
                <w:sz w:val="22"/>
                <w:szCs w:val="22"/>
                <w:color w:val="auto"/>
              </w:rPr>
              <w:t>44</w:t>
            </w:r>
          </w:p>
        </w:tc>
        <w:tc>
          <w:tcPr>
            <w:tcW w:w="720" w:type="dxa"/>
            <w:vAlign w:val="bottom"/>
          </w:tcPr>
          <w:p>
            <w:pPr>
              <w:spacing w:after="0"/>
              <w:rPr>
                <w:sz w:val="19"/>
                <w:szCs w:val="19"/>
                <w:color w:val="auto"/>
              </w:rPr>
            </w:pPr>
          </w:p>
        </w:tc>
      </w:tr>
      <w:tr>
        <w:trPr>
          <w:trHeight w:val="243"/>
        </w:trPr>
        <w:tc>
          <w:tcPr>
            <w:tcW w:w="424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6.16 Material Agreements.</w:t>
            </w:r>
          </w:p>
        </w:tc>
        <w:tc>
          <w:tcPr>
            <w:tcW w:w="1680" w:type="dxa"/>
            <w:vAlign w:val="bottom"/>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720" w:type="dxa"/>
            <w:vAlign w:val="bottom"/>
          </w:tcPr>
          <w:p>
            <w:pPr>
              <w:spacing w:after="0"/>
              <w:rPr>
                <w:sz w:val="21"/>
                <w:szCs w:val="21"/>
                <w:color w:val="auto"/>
              </w:rPr>
            </w:pPr>
          </w:p>
        </w:tc>
      </w:tr>
      <w:tr>
        <w:trPr>
          <w:trHeight w:val="243"/>
        </w:trPr>
        <w:tc>
          <w:tcPr>
            <w:tcW w:w="424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6.17 Permits.</w:t>
            </w:r>
          </w:p>
        </w:tc>
        <w:tc>
          <w:tcPr>
            <w:tcW w:w="1680" w:type="dxa"/>
            <w:vAlign w:val="bottom"/>
          </w:tcPr>
          <w:p>
            <w:pPr>
              <w:jc w:val="right"/>
              <w:ind w:right="1152"/>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720" w:type="dxa"/>
            <w:vAlign w:val="bottom"/>
          </w:tcPr>
          <w:p>
            <w:pPr>
              <w:spacing w:after="0"/>
              <w:rPr>
                <w:sz w:val="21"/>
                <w:szCs w:val="21"/>
                <w:color w:val="auto"/>
              </w:rPr>
            </w:pPr>
          </w:p>
        </w:tc>
      </w:tr>
      <w:tr>
        <w:trPr>
          <w:trHeight w:val="243"/>
        </w:trPr>
        <w:tc>
          <w:tcPr>
            <w:tcW w:w="1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SECTION 6.18</w:t>
            </w:r>
          </w:p>
        </w:tc>
        <w:tc>
          <w:tcPr>
            <w:tcW w:w="25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Regulatory Matters.</w:t>
            </w:r>
          </w:p>
        </w:tc>
        <w:tc>
          <w:tcPr>
            <w:tcW w:w="168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720" w:type="dxa"/>
            <w:vAlign w:val="bottom"/>
          </w:tcPr>
          <w:p>
            <w:pPr>
              <w:spacing w:after="0"/>
              <w:rPr>
                <w:sz w:val="21"/>
                <w:szCs w:val="21"/>
                <w:color w:val="auto"/>
              </w:rPr>
            </w:pPr>
          </w:p>
        </w:tc>
      </w:tr>
      <w:tr>
        <w:trPr>
          <w:trHeight w:val="243"/>
        </w:trPr>
        <w:tc>
          <w:tcPr>
            <w:tcW w:w="1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SECTION 6.19</w:t>
            </w:r>
          </w:p>
        </w:tc>
        <w:tc>
          <w:tcPr>
            <w:tcW w:w="25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Transactions with Affiliates.</w:t>
            </w:r>
          </w:p>
        </w:tc>
        <w:tc>
          <w:tcPr>
            <w:tcW w:w="168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50</w:t>
            </w:r>
          </w:p>
        </w:tc>
        <w:tc>
          <w:tcPr>
            <w:tcW w:w="720" w:type="dxa"/>
            <w:vAlign w:val="bottom"/>
          </w:tcPr>
          <w:p>
            <w:pPr>
              <w:spacing w:after="0"/>
              <w:rPr>
                <w:sz w:val="21"/>
                <w:szCs w:val="21"/>
                <w:color w:val="auto"/>
              </w:rPr>
            </w:pPr>
          </w:p>
        </w:tc>
      </w:tr>
      <w:tr>
        <w:trPr>
          <w:trHeight w:val="243"/>
        </w:trPr>
        <w:tc>
          <w:tcPr>
            <w:tcW w:w="424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6.20 Investment Company Act</w:t>
            </w:r>
          </w:p>
        </w:tc>
        <w:tc>
          <w:tcPr>
            <w:tcW w:w="168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720" w:type="dxa"/>
            <w:vAlign w:val="bottom"/>
          </w:tcPr>
          <w:p>
            <w:pPr>
              <w:spacing w:after="0"/>
              <w:rPr>
                <w:sz w:val="21"/>
                <w:szCs w:val="21"/>
                <w:color w:val="auto"/>
              </w:rPr>
            </w:pPr>
          </w:p>
        </w:tc>
      </w:tr>
      <w:tr>
        <w:trPr>
          <w:trHeight w:val="243"/>
        </w:trPr>
        <w:tc>
          <w:tcPr>
            <w:tcW w:w="424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6.21 OFAC..</w:t>
            </w:r>
          </w:p>
        </w:tc>
        <w:tc>
          <w:tcPr>
            <w:tcW w:w="1680" w:type="dxa"/>
            <w:vAlign w:val="bottom"/>
          </w:tcPr>
          <w:p>
            <w:pPr>
              <w:jc w:val="right"/>
              <w:ind w:right="1192"/>
              <w:spacing w:after="0" w:line="243" w:lineRule="exact"/>
              <w:rPr>
                <w:sz w:val="20"/>
                <w:szCs w:val="20"/>
                <w:color w:val="auto"/>
              </w:rPr>
            </w:pPr>
            <w:r>
              <w:rPr>
                <w:rFonts w:ascii="Times New Roman" w:cs="Times New Roman" w:eastAsia="Times New Roman" w:hAnsi="Times New Roman"/>
                <w:sz w:val="22"/>
                <w:szCs w:val="22"/>
                <w:color w:val="auto"/>
              </w:rPr>
              <w:t>51</w:t>
            </w:r>
          </w:p>
        </w:tc>
        <w:tc>
          <w:tcPr>
            <w:tcW w:w="720" w:type="dxa"/>
            <w:vAlign w:val="bottom"/>
          </w:tcPr>
          <w:p>
            <w:pPr>
              <w:spacing w:after="0"/>
              <w:rPr>
                <w:sz w:val="21"/>
                <w:szCs w:val="21"/>
                <w:color w:val="auto"/>
              </w:rPr>
            </w:pPr>
          </w:p>
        </w:tc>
      </w:tr>
      <w:tr>
        <w:trPr>
          <w:trHeight w:val="243"/>
        </w:trPr>
        <w:tc>
          <w:tcPr>
            <w:tcW w:w="1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SECTION 6.22</w:t>
            </w:r>
          </w:p>
        </w:tc>
        <w:tc>
          <w:tcPr>
            <w:tcW w:w="42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Deposit and Disbursement Accounts.</w:t>
            </w:r>
          </w:p>
        </w:tc>
        <w:tc>
          <w:tcPr>
            <w:tcW w:w="72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SECTION 6.23</w:t>
            </w:r>
          </w:p>
        </w:tc>
        <w:tc>
          <w:tcPr>
            <w:tcW w:w="42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Data Privacy and Information Security.</w:t>
            </w:r>
          </w:p>
        </w:tc>
        <w:tc>
          <w:tcPr>
            <w:tcW w:w="72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424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6.24 HIPAA..</w:t>
            </w:r>
          </w:p>
        </w:tc>
        <w:tc>
          <w:tcPr>
            <w:tcW w:w="1680" w:type="dxa"/>
            <w:vAlign w:val="bottom"/>
          </w:tcPr>
          <w:p>
            <w:pPr>
              <w:jc w:val="right"/>
              <w:ind w:right="1112"/>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720" w:type="dxa"/>
            <w:vAlign w:val="bottom"/>
          </w:tcPr>
          <w:p>
            <w:pPr>
              <w:spacing w:after="0"/>
              <w:rPr>
                <w:sz w:val="21"/>
                <w:szCs w:val="21"/>
                <w:color w:val="auto"/>
              </w:rPr>
            </w:pPr>
          </w:p>
        </w:tc>
      </w:tr>
      <w:tr>
        <w:trPr>
          <w:trHeight w:val="243"/>
        </w:trPr>
        <w:tc>
          <w:tcPr>
            <w:tcW w:w="42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ARTICLE VII AFFIRMATIVE COVENANTS.</w:t>
            </w:r>
          </w:p>
        </w:tc>
        <w:tc>
          <w:tcPr>
            <w:tcW w:w="168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720" w:type="dxa"/>
            <w:vAlign w:val="bottom"/>
          </w:tcPr>
          <w:p>
            <w:pPr>
              <w:spacing w:after="0"/>
              <w:rPr>
                <w:sz w:val="21"/>
                <w:szCs w:val="21"/>
                <w:color w:val="auto"/>
              </w:rPr>
            </w:pPr>
          </w:p>
        </w:tc>
      </w:tr>
      <w:tr>
        <w:trPr>
          <w:trHeight w:val="253"/>
        </w:trPr>
        <w:tc>
          <w:tcPr>
            <w:tcW w:w="592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7.1 Financial Information, Reports, Notices, Etc.</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bl>
    <w:p>
      <w:pPr>
        <w:ind w:left="340"/>
        <w:spacing w:after="0" w:line="230" w:lineRule="auto"/>
        <w:tabs>
          <w:tab w:leader="none" w:pos="7620" w:val="left"/>
        </w:tabs>
        <w:rPr>
          <w:sz w:val="20"/>
          <w:szCs w:val="20"/>
          <w:color w:val="auto"/>
        </w:rPr>
      </w:pPr>
      <w:r>
        <w:rPr>
          <w:rFonts w:ascii="Times New Roman" w:cs="Times New Roman" w:eastAsia="Times New Roman" w:hAnsi="Times New Roman"/>
          <w:sz w:val="22"/>
          <w:szCs w:val="22"/>
          <w:color w:val="auto"/>
        </w:rPr>
        <w:t>SECTION 7.2 Maintenance of Existence; Compliance with Contracts, Laws, Etc.</w:t>
        <w:tab/>
        <w:t>56</w:t>
      </w:r>
    </w:p>
    <w:tbl>
      <w:tblPr>
        <w:tblLayout w:type="fixed"/>
        <w:tblInd w:w="0" w:type="dxa"/>
        <w:tblCellMar>
          <w:top w:w="0" w:type="dxa"/>
          <w:left w:w="0" w:type="dxa"/>
          <w:bottom w:w="0" w:type="dxa"/>
          <w:right w:w="0" w:type="dxa"/>
        </w:tblCellMar>
      </w:tblPr>
      <w:tr>
        <w:trPr>
          <w:trHeight w:val="220"/>
        </w:trPr>
        <w:tc>
          <w:tcPr>
            <w:tcW w:w="4480" w:type="dxa"/>
            <w:vAlign w:val="bottom"/>
            <w:gridSpan w:val="2"/>
          </w:tcPr>
          <w:p>
            <w:pPr>
              <w:ind w:left="340"/>
              <w:spacing w:after="0" w:line="220" w:lineRule="exact"/>
              <w:rPr>
                <w:sz w:val="20"/>
                <w:szCs w:val="20"/>
                <w:color w:val="auto"/>
              </w:rPr>
            </w:pPr>
            <w:r>
              <w:rPr>
                <w:rFonts w:ascii="Times New Roman" w:cs="Times New Roman" w:eastAsia="Times New Roman" w:hAnsi="Times New Roman"/>
                <w:sz w:val="22"/>
                <w:szCs w:val="22"/>
                <w:color w:val="auto"/>
              </w:rPr>
              <w:t>SECTION 7.3 Maintenance of Properties.</w:t>
            </w:r>
          </w:p>
        </w:tc>
        <w:tc>
          <w:tcPr>
            <w:tcW w:w="1320" w:type="dxa"/>
            <w:vAlign w:val="bottom"/>
          </w:tcPr>
          <w:p>
            <w:pPr>
              <w:jc w:val="right"/>
              <w:ind w:right="172"/>
              <w:spacing w:after="0" w:line="220" w:lineRule="exact"/>
              <w:rPr>
                <w:sz w:val="20"/>
                <w:szCs w:val="20"/>
                <w:color w:val="auto"/>
              </w:rPr>
            </w:pPr>
            <w:r>
              <w:rPr>
                <w:rFonts w:ascii="Times New Roman" w:cs="Times New Roman" w:eastAsia="Times New Roman" w:hAnsi="Times New Roman"/>
                <w:sz w:val="22"/>
                <w:szCs w:val="22"/>
                <w:color w:val="auto"/>
              </w:rPr>
              <w:t>57</w:t>
            </w:r>
          </w:p>
        </w:tc>
        <w:tc>
          <w:tcPr>
            <w:tcW w:w="1640" w:type="dxa"/>
            <w:vAlign w:val="bottom"/>
          </w:tcPr>
          <w:p>
            <w:pPr>
              <w:spacing w:after="0"/>
              <w:rPr>
                <w:sz w:val="19"/>
                <w:szCs w:val="19"/>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7.4 Insurance.</w:t>
            </w:r>
          </w:p>
        </w:tc>
        <w:tc>
          <w:tcPr>
            <w:tcW w:w="740" w:type="dxa"/>
            <w:vAlign w:val="bottom"/>
          </w:tcPr>
          <w:p>
            <w:pPr>
              <w:spacing w:after="0"/>
              <w:rPr>
                <w:sz w:val="21"/>
                <w:szCs w:val="21"/>
                <w:color w:val="auto"/>
              </w:rPr>
            </w:pPr>
          </w:p>
        </w:tc>
        <w:tc>
          <w:tcPr>
            <w:tcW w:w="13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w w:val="99"/>
              </w:rPr>
              <w:t>57</w:t>
            </w: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7.5 Books and Records.</w:t>
            </w:r>
          </w:p>
        </w:tc>
        <w:tc>
          <w:tcPr>
            <w:tcW w:w="740" w:type="dxa"/>
            <w:vAlign w:val="bottom"/>
          </w:tcPr>
          <w:p>
            <w:pPr>
              <w:spacing w:after="0"/>
              <w:rPr>
                <w:sz w:val="21"/>
                <w:szCs w:val="21"/>
                <w:color w:val="auto"/>
              </w:rPr>
            </w:pPr>
          </w:p>
        </w:tc>
        <w:tc>
          <w:tcPr>
            <w:tcW w:w="132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1640" w:type="dxa"/>
            <w:vAlign w:val="bottom"/>
          </w:tcPr>
          <w:p>
            <w:pPr>
              <w:spacing w:after="0"/>
              <w:rPr>
                <w:sz w:val="21"/>
                <w:szCs w:val="21"/>
                <w:color w:val="auto"/>
              </w:rPr>
            </w:pPr>
          </w:p>
        </w:tc>
      </w:tr>
      <w:tr>
        <w:trPr>
          <w:trHeight w:val="243"/>
        </w:trPr>
        <w:tc>
          <w:tcPr>
            <w:tcW w:w="44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7.6 Environmental Law Covenant</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7.7 Use of Proceeds.</w:t>
            </w:r>
          </w:p>
        </w:tc>
        <w:tc>
          <w:tcPr>
            <w:tcW w:w="740" w:type="dxa"/>
            <w:vAlign w:val="bottom"/>
          </w:tcPr>
          <w:p>
            <w:pPr>
              <w:spacing w:after="0"/>
              <w:rPr>
                <w:sz w:val="21"/>
                <w:szCs w:val="21"/>
                <w:color w:val="auto"/>
              </w:rPr>
            </w:pPr>
          </w:p>
        </w:tc>
        <w:tc>
          <w:tcPr>
            <w:tcW w:w="132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1640" w:type="dxa"/>
            <w:vAlign w:val="bottom"/>
          </w:tcPr>
          <w:p>
            <w:pPr>
              <w:spacing w:after="0"/>
              <w:rPr>
                <w:sz w:val="21"/>
                <w:szCs w:val="21"/>
                <w:color w:val="auto"/>
              </w:rPr>
            </w:pPr>
          </w:p>
        </w:tc>
      </w:tr>
      <w:tr>
        <w:trPr>
          <w:trHeight w:val="243"/>
        </w:trPr>
        <w:tc>
          <w:tcPr>
            <w:tcW w:w="44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SECTION 7.8 Future Guarantors, Security, Etc.</w:t>
            </w:r>
          </w:p>
        </w:tc>
        <w:tc>
          <w:tcPr>
            <w:tcW w:w="1320" w:type="dxa"/>
            <w:vAlign w:val="bottom"/>
          </w:tcPr>
          <w:p>
            <w:pPr>
              <w:spacing w:after="0"/>
              <w:rPr>
                <w:sz w:val="21"/>
                <w:szCs w:val="21"/>
                <w:color w:val="auto"/>
              </w:rPr>
            </w:pPr>
          </w:p>
        </w:tc>
        <w:tc>
          <w:tcPr>
            <w:tcW w:w="1640" w:type="dxa"/>
            <w:vAlign w:val="bottom"/>
          </w:tcPr>
          <w:p>
            <w:pPr>
              <w:jc w:val="right"/>
              <w:ind w:right="1312"/>
              <w:spacing w:after="0" w:line="243" w:lineRule="exact"/>
              <w:rPr>
                <w:sz w:val="20"/>
                <w:szCs w:val="20"/>
                <w:color w:val="auto"/>
              </w:rPr>
            </w:pPr>
            <w:r>
              <w:rPr>
                <w:rFonts w:ascii="Times New Roman" w:cs="Times New Roman" w:eastAsia="Times New Roman" w:hAnsi="Times New Roman"/>
                <w:sz w:val="22"/>
                <w:szCs w:val="22"/>
                <w:color w:val="auto"/>
                <w:w w:val="90"/>
              </w:rPr>
              <w:t>58</w:t>
            </w:r>
          </w:p>
        </w:tc>
      </w:tr>
      <w:tr>
        <w:trPr>
          <w:trHeight w:val="243"/>
        </w:trPr>
        <w:tc>
          <w:tcPr>
            <w:tcW w:w="44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7.9 Obtaining of Permits, Etc.</w:t>
            </w:r>
          </w:p>
        </w:tc>
        <w:tc>
          <w:tcPr>
            <w:tcW w:w="132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1640" w:type="dxa"/>
            <w:vAlign w:val="bottom"/>
          </w:tcPr>
          <w:p>
            <w:pPr>
              <w:spacing w:after="0"/>
              <w:rPr>
                <w:sz w:val="21"/>
                <w:szCs w:val="21"/>
                <w:color w:val="auto"/>
              </w:rPr>
            </w:pPr>
          </w:p>
        </w:tc>
      </w:tr>
      <w:tr>
        <w:trPr>
          <w:trHeight w:val="243"/>
        </w:trPr>
        <w:tc>
          <w:tcPr>
            <w:tcW w:w="7440" w:type="dxa"/>
            <w:vAlign w:val="bottom"/>
            <w:gridSpan w:val="4"/>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SECTION 7.10 Maintenance of Regulatory Authorizations, Contracts, Intellectual</w:t>
            </w:r>
          </w:p>
        </w:tc>
      </w:tr>
      <w:tr>
        <w:trPr>
          <w:trHeight w:val="230"/>
        </w:trPr>
        <w:tc>
          <w:tcPr>
            <w:tcW w:w="3740" w:type="dxa"/>
            <w:vAlign w:val="bottom"/>
          </w:tcPr>
          <w:p>
            <w:pPr>
              <w:ind w:left="820"/>
              <w:spacing w:after="0" w:line="229" w:lineRule="exact"/>
              <w:rPr>
                <w:sz w:val="20"/>
                <w:szCs w:val="20"/>
                <w:color w:val="auto"/>
              </w:rPr>
            </w:pPr>
            <w:r>
              <w:rPr>
                <w:rFonts w:ascii="Times New Roman" w:cs="Times New Roman" w:eastAsia="Times New Roman" w:hAnsi="Times New Roman"/>
                <w:sz w:val="22"/>
                <w:szCs w:val="22"/>
                <w:color w:val="auto"/>
              </w:rPr>
              <w:t>Property, Etc.</w:t>
            </w:r>
          </w:p>
        </w:tc>
        <w:tc>
          <w:tcPr>
            <w:tcW w:w="740" w:type="dxa"/>
            <w:vAlign w:val="bottom"/>
          </w:tcPr>
          <w:p>
            <w:pPr>
              <w:jc w:val="right"/>
              <w:ind w:right="372"/>
              <w:spacing w:after="0" w:line="229" w:lineRule="exact"/>
              <w:rPr>
                <w:sz w:val="20"/>
                <w:szCs w:val="20"/>
                <w:color w:val="auto"/>
              </w:rPr>
            </w:pPr>
            <w:r>
              <w:rPr>
                <w:rFonts w:ascii="Times New Roman" w:cs="Times New Roman" w:eastAsia="Times New Roman" w:hAnsi="Times New Roman"/>
                <w:sz w:val="22"/>
                <w:szCs w:val="22"/>
                <w:color w:val="auto"/>
              </w:rPr>
              <w:t>59</w:t>
            </w:r>
          </w:p>
        </w:tc>
        <w:tc>
          <w:tcPr>
            <w:tcW w:w="1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7.11 Inbound Licenses.</w:t>
            </w:r>
          </w:p>
        </w:tc>
        <w:tc>
          <w:tcPr>
            <w:tcW w:w="740" w:type="dxa"/>
            <w:vAlign w:val="bottom"/>
          </w:tcPr>
          <w:p>
            <w:pPr>
              <w:spacing w:after="0"/>
              <w:rPr>
                <w:sz w:val="21"/>
                <w:szCs w:val="21"/>
                <w:color w:val="auto"/>
              </w:rPr>
            </w:pPr>
          </w:p>
        </w:tc>
        <w:tc>
          <w:tcPr>
            <w:tcW w:w="132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60</w:t>
            </w: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7.12 Cash Management</w:t>
            </w:r>
          </w:p>
        </w:tc>
        <w:tc>
          <w:tcPr>
            <w:tcW w:w="740" w:type="dxa"/>
            <w:vAlign w:val="bottom"/>
          </w:tcPr>
          <w:p>
            <w:pPr>
              <w:spacing w:after="0"/>
              <w:rPr>
                <w:sz w:val="21"/>
                <w:szCs w:val="21"/>
                <w:color w:val="auto"/>
              </w:rPr>
            </w:pPr>
          </w:p>
        </w:tc>
        <w:tc>
          <w:tcPr>
            <w:tcW w:w="132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7.13 Lender Calls.</w:t>
            </w:r>
          </w:p>
        </w:tc>
        <w:tc>
          <w:tcPr>
            <w:tcW w:w="740" w:type="dxa"/>
            <w:vAlign w:val="bottom"/>
          </w:tcPr>
          <w:p>
            <w:pPr>
              <w:spacing w:after="0"/>
              <w:rPr>
                <w:sz w:val="21"/>
                <w:szCs w:val="21"/>
                <w:color w:val="auto"/>
              </w:rPr>
            </w:pPr>
          </w:p>
        </w:tc>
        <w:tc>
          <w:tcPr>
            <w:tcW w:w="132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7.14 Product Licenses.</w:t>
            </w:r>
          </w:p>
        </w:tc>
        <w:tc>
          <w:tcPr>
            <w:tcW w:w="740" w:type="dxa"/>
            <w:vAlign w:val="bottom"/>
          </w:tcPr>
          <w:p>
            <w:pPr>
              <w:spacing w:after="0"/>
              <w:rPr>
                <w:sz w:val="21"/>
                <w:szCs w:val="21"/>
                <w:color w:val="auto"/>
              </w:rPr>
            </w:pPr>
          </w:p>
        </w:tc>
        <w:tc>
          <w:tcPr>
            <w:tcW w:w="13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1640" w:type="dxa"/>
            <w:vAlign w:val="bottom"/>
          </w:tcPr>
          <w:p>
            <w:pPr>
              <w:spacing w:after="0"/>
              <w:rPr>
                <w:sz w:val="21"/>
                <w:szCs w:val="21"/>
                <w:color w:val="auto"/>
              </w:rPr>
            </w:pPr>
          </w:p>
        </w:tc>
      </w:tr>
      <w:tr>
        <w:trPr>
          <w:trHeight w:val="243"/>
        </w:trPr>
        <w:tc>
          <w:tcPr>
            <w:tcW w:w="44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7.15 Post-Closing Covenants.</w:t>
            </w:r>
          </w:p>
        </w:tc>
        <w:tc>
          <w:tcPr>
            <w:tcW w:w="13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7.16 [***]</w:t>
            </w:r>
          </w:p>
        </w:tc>
        <w:tc>
          <w:tcPr>
            <w:tcW w:w="7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13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8"/>
              </w:rPr>
              <w:t>SECTION 7.17 Excluded Subsidiaries.</w:t>
            </w:r>
          </w:p>
        </w:tc>
        <w:tc>
          <w:tcPr>
            <w:tcW w:w="740" w:type="dxa"/>
            <w:vAlign w:val="bottom"/>
          </w:tcPr>
          <w:p>
            <w:pPr>
              <w:spacing w:after="0"/>
              <w:rPr>
                <w:sz w:val="21"/>
                <w:szCs w:val="21"/>
                <w:color w:val="auto"/>
              </w:rPr>
            </w:pPr>
          </w:p>
        </w:tc>
        <w:tc>
          <w:tcPr>
            <w:tcW w:w="132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1640" w:type="dxa"/>
            <w:vAlign w:val="bottom"/>
          </w:tcPr>
          <w:p>
            <w:pPr>
              <w:spacing w:after="0"/>
              <w:rPr>
                <w:sz w:val="21"/>
                <w:szCs w:val="21"/>
                <w:color w:val="auto"/>
              </w:rPr>
            </w:pPr>
          </w:p>
        </w:tc>
      </w:tr>
      <w:tr>
        <w:trPr>
          <w:trHeight w:val="243"/>
        </w:trPr>
        <w:tc>
          <w:tcPr>
            <w:tcW w:w="4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ARTICLE VIII NEGATIVE COVENANTS.</w:t>
            </w:r>
          </w:p>
        </w:tc>
        <w:tc>
          <w:tcPr>
            <w:tcW w:w="132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8.1 Business Activities.</w:t>
            </w:r>
          </w:p>
        </w:tc>
        <w:tc>
          <w:tcPr>
            <w:tcW w:w="740" w:type="dxa"/>
            <w:vAlign w:val="bottom"/>
          </w:tcPr>
          <w:p>
            <w:pPr>
              <w:spacing w:after="0"/>
              <w:rPr>
                <w:sz w:val="21"/>
                <w:szCs w:val="21"/>
                <w:color w:val="auto"/>
              </w:rPr>
            </w:pPr>
          </w:p>
        </w:tc>
        <w:tc>
          <w:tcPr>
            <w:tcW w:w="132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8.2 Indebtedness.</w:t>
            </w:r>
          </w:p>
        </w:tc>
        <w:tc>
          <w:tcPr>
            <w:tcW w:w="740" w:type="dxa"/>
            <w:vAlign w:val="bottom"/>
          </w:tcPr>
          <w:p>
            <w:pPr>
              <w:spacing w:after="0"/>
              <w:rPr>
                <w:sz w:val="21"/>
                <w:szCs w:val="21"/>
                <w:color w:val="auto"/>
              </w:rPr>
            </w:pPr>
          </w:p>
        </w:tc>
        <w:tc>
          <w:tcPr>
            <w:tcW w:w="1320" w:type="dxa"/>
            <w:vAlign w:val="bottom"/>
          </w:tcPr>
          <w:p>
            <w:pPr>
              <w:jc w:val="right"/>
              <w:ind w:right="892"/>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1640" w:type="dxa"/>
            <w:vAlign w:val="bottom"/>
          </w:tcPr>
          <w:p>
            <w:pPr>
              <w:spacing w:after="0"/>
              <w:rPr>
                <w:sz w:val="21"/>
                <w:szCs w:val="21"/>
                <w:color w:val="auto"/>
              </w:rPr>
            </w:pPr>
          </w:p>
        </w:tc>
      </w:tr>
      <w:tr>
        <w:trPr>
          <w:trHeight w:val="229"/>
        </w:trPr>
        <w:tc>
          <w:tcPr>
            <w:tcW w:w="3740" w:type="dxa"/>
            <w:vAlign w:val="bottom"/>
          </w:tcPr>
          <w:p>
            <w:pPr>
              <w:ind w:left="340"/>
              <w:spacing w:after="0" w:line="229" w:lineRule="exact"/>
              <w:rPr>
                <w:sz w:val="20"/>
                <w:szCs w:val="20"/>
                <w:color w:val="auto"/>
              </w:rPr>
            </w:pPr>
            <w:r>
              <w:rPr>
                <w:rFonts w:ascii="Times New Roman" w:cs="Times New Roman" w:eastAsia="Times New Roman" w:hAnsi="Times New Roman"/>
                <w:sz w:val="22"/>
                <w:szCs w:val="22"/>
                <w:color w:val="auto"/>
              </w:rPr>
              <w:t>SECTION 8.3 Liens.</w:t>
            </w:r>
          </w:p>
        </w:tc>
        <w:tc>
          <w:tcPr>
            <w:tcW w:w="740" w:type="dxa"/>
            <w:vAlign w:val="bottom"/>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65</w:t>
            </w:r>
          </w:p>
        </w:tc>
        <w:tc>
          <w:tcPr>
            <w:tcW w:w="1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8.5 Investments.</w:t>
            </w:r>
          </w:p>
        </w:tc>
        <w:tc>
          <w:tcPr>
            <w:tcW w:w="740" w:type="dxa"/>
            <w:vAlign w:val="bottom"/>
          </w:tcPr>
          <w:p>
            <w:pPr>
              <w:spacing w:after="0"/>
              <w:rPr>
                <w:sz w:val="21"/>
                <w:szCs w:val="21"/>
                <w:color w:val="auto"/>
              </w:rPr>
            </w:pPr>
          </w:p>
        </w:tc>
        <w:tc>
          <w:tcPr>
            <w:tcW w:w="132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w w:val="99"/>
              </w:rPr>
              <w:t>67</w:t>
            </w:r>
          </w:p>
        </w:tc>
        <w:tc>
          <w:tcPr>
            <w:tcW w:w="1640" w:type="dxa"/>
            <w:vAlign w:val="bottom"/>
          </w:tcPr>
          <w:p>
            <w:pPr>
              <w:spacing w:after="0"/>
              <w:rPr>
                <w:sz w:val="21"/>
                <w:szCs w:val="21"/>
                <w:color w:val="auto"/>
              </w:rPr>
            </w:pPr>
          </w:p>
        </w:tc>
      </w:tr>
      <w:tr>
        <w:trPr>
          <w:trHeight w:val="243"/>
        </w:trPr>
        <w:tc>
          <w:tcPr>
            <w:tcW w:w="44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8.6 Restricted Payments, Etc.</w:t>
            </w:r>
          </w:p>
        </w:tc>
        <w:tc>
          <w:tcPr>
            <w:tcW w:w="132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68</w:t>
            </w: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8.7 Consolidation, Merger</w:t>
            </w:r>
          </w:p>
        </w:tc>
        <w:tc>
          <w:tcPr>
            <w:tcW w:w="740" w:type="dxa"/>
            <w:vAlign w:val="bottom"/>
          </w:tcPr>
          <w:p>
            <w:pPr>
              <w:spacing w:after="0"/>
              <w:rPr>
                <w:sz w:val="21"/>
                <w:szCs w:val="21"/>
                <w:color w:val="auto"/>
              </w:rPr>
            </w:pPr>
          </w:p>
        </w:tc>
        <w:tc>
          <w:tcPr>
            <w:tcW w:w="132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68</w:t>
            </w: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8.8 Permitted Dispositions.</w:t>
            </w:r>
          </w:p>
        </w:tc>
        <w:tc>
          <w:tcPr>
            <w:tcW w:w="740" w:type="dxa"/>
            <w:vAlign w:val="bottom"/>
          </w:tcPr>
          <w:p>
            <w:pPr>
              <w:spacing w:after="0"/>
              <w:rPr>
                <w:sz w:val="21"/>
                <w:szCs w:val="21"/>
                <w:color w:val="auto"/>
              </w:rPr>
            </w:pPr>
          </w:p>
        </w:tc>
        <w:tc>
          <w:tcPr>
            <w:tcW w:w="132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68</w:t>
            </w:r>
          </w:p>
        </w:tc>
        <w:tc>
          <w:tcPr>
            <w:tcW w:w="1640" w:type="dxa"/>
            <w:vAlign w:val="bottom"/>
          </w:tcPr>
          <w:p>
            <w:pPr>
              <w:spacing w:after="0"/>
              <w:rPr>
                <w:sz w:val="21"/>
                <w:szCs w:val="21"/>
                <w:color w:val="auto"/>
              </w:rPr>
            </w:pPr>
          </w:p>
        </w:tc>
      </w:tr>
      <w:tr>
        <w:trPr>
          <w:trHeight w:val="243"/>
        </w:trPr>
        <w:tc>
          <w:tcPr>
            <w:tcW w:w="580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8.9 Modification of Certain Agreements.</w:t>
            </w:r>
          </w:p>
        </w:tc>
        <w:tc>
          <w:tcPr>
            <w:tcW w:w="1640" w:type="dxa"/>
            <w:vAlign w:val="bottom"/>
          </w:tcPr>
          <w:p>
            <w:pPr>
              <w:jc w:val="right"/>
              <w:ind w:right="1152"/>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44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8.10 Transactions with Affiliates.</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c>
          <w:tcPr>
            <w:tcW w:w="1640" w:type="dxa"/>
            <w:vAlign w:val="bottom"/>
          </w:tcPr>
          <w:p>
            <w:pPr>
              <w:spacing w:after="0"/>
              <w:rPr>
                <w:sz w:val="21"/>
                <w:szCs w:val="21"/>
                <w:color w:val="auto"/>
              </w:rPr>
            </w:pPr>
          </w:p>
        </w:tc>
      </w:tr>
      <w:tr>
        <w:trPr>
          <w:trHeight w:val="243"/>
        </w:trPr>
        <w:tc>
          <w:tcPr>
            <w:tcW w:w="448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8.11 Restrictive Agreements, Etc.</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c>
          <w:tcPr>
            <w:tcW w:w="1640" w:type="dxa"/>
            <w:vAlign w:val="bottom"/>
          </w:tcPr>
          <w:p>
            <w:pPr>
              <w:spacing w:after="0"/>
              <w:rPr>
                <w:sz w:val="21"/>
                <w:szCs w:val="21"/>
                <w:color w:val="auto"/>
              </w:rPr>
            </w:pPr>
          </w:p>
        </w:tc>
      </w:tr>
      <w:tr>
        <w:trPr>
          <w:trHeight w:val="243"/>
        </w:trPr>
        <w:tc>
          <w:tcPr>
            <w:tcW w:w="374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8.12 Sale and Leaseback.</w:t>
            </w:r>
          </w:p>
        </w:tc>
        <w:tc>
          <w:tcPr>
            <w:tcW w:w="740" w:type="dxa"/>
            <w:vAlign w:val="bottom"/>
          </w:tcPr>
          <w:p>
            <w:pPr>
              <w:spacing w:after="0"/>
              <w:rPr>
                <w:sz w:val="21"/>
                <w:szCs w:val="21"/>
                <w:color w:val="auto"/>
              </w:rPr>
            </w:pPr>
          </w:p>
        </w:tc>
        <w:tc>
          <w:tcPr>
            <w:tcW w:w="13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70</w:t>
            </w:r>
          </w:p>
        </w:tc>
        <w:tc>
          <w:tcPr>
            <w:tcW w:w="1640" w:type="dxa"/>
            <w:vAlign w:val="bottom"/>
          </w:tcPr>
          <w:p>
            <w:pPr>
              <w:spacing w:after="0"/>
              <w:rPr>
                <w:sz w:val="21"/>
                <w:szCs w:val="21"/>
                <w:color w:val="auto"/>
              </w:rPr>
            </w:pPr>
          </w:p>
        </w:tc>
      </w:tr>
      <w:tr>
        <w:trPr>
          <w:trHeight w:val="267"/>
        </w:trPr>
        <w:tc>
          <w:tcPr>
            <w:tcW w:w="37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SECTION 8.13 Product Agreements.</w:t>
            </w:r>
          </w:p>
        </w:tc>
        <w:tc>
          <w:tcPr>
            <w:tcW w:w="740" w:type="dxa"/>
            <w:vAlign w:val="bottom"/>
          </w:tcPr>
          <w:p>
            <w:pPr>
              <w:spacing w:after="0"/>
              <w:rPr>
                <w:sz w:val="23"/>
                <w:szCs w:val="23"/>
                <w:color w:val="auto"/>
              </w:rPr>
            </w:pPr>
          </w:p>
        </w:tc>
        <w:tc>
          <w:tcPr>
            <w:tcW w:w="13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70</w:t>
            </w:r>
          </w:p>
        </w:tc>
        <w:tc>
          <w:tcPr>
            <w:tcW w:w="1640" w:type="dxa"/>
            <w:vAlign w:val="bottom"/>
          </w:tcPr>
          <w:p>
            <w:pPr>
              <w:spacing w:after="0"/>
              <w:rPr>
                <w:sz w:val="23"/>
                <w:szCs w:val="23"/>
                <w:color w:val="auto"/>
              </w:rPr>
            </w:pPr>
          </w:p>
        </w:tc>
      </w:tr>
    </w:tbl>
    <w:p>
      <w:pPr>
        <w:ind w:left="340"/>
        <w:spacing w:after="0"/>
        <w:rPr>
          <w:sz w:val="20"/>
          <w:szCs w:val="20"/>
          <w:color w:val="auto"/>
        </w:rPr>
      </w:pPr>
      <w:r>
        <w:rPr>
          <w:rFonts w:ascii="Times New Roman" w:cs="Times New Roman" w:eastAsia="Times New Roman" w:hAnsi="Times New Roman"/>
          <w:sz w:val="21"/>
          <w:szCs w:val="21"/>
          <w:color w:val="auto"/>
        </w:rPr>
        <w:t>SECTION 8.14 Change in Name, Location or Executive Office or Executive Management;</w:t>
      </w: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i w:val="1"/>
          <w:iCs w:val="1"/>
          <w:color w:val="auto"/>
        </w:rPr>
        <w:t>Signature Page to Credit Agreement</w:t>
      </w:r>
    </w:p>
    <w:p>
      <w:pPr>
        <w:sectPr>
          <w:pgSz w:w="11900" w:h="16838" w:orient="portrait"/>
          <w:cols w:equalWidth="0" w:num="1">
            <w:col w:w="10139"/>
          </w:cols>
          <w:pgMar w:left="320" w:top="1398" w:right="1440"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Change in Fiscal Year</w:t>
            </w:r>
          </w:p>
        </w:tc>
        <w:tc>
          <w:tcPr>
            <w:tcW w:w="320" w:type="dxa"/>
            <w:vAlign w:val="bottom"/>
          </w:tcPr>
          <w:p>
            <w:pPr>
              <w:spacing w:after="0"/>
              <w:rPr>
                <w:sz w:val="22"/>
                <w:szCs w:val="22"/>
                <w:color w:val="auto"/>
              </w:rPr>
            </w:pP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70</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w w:val="98"/>
              </w:rPr>
              <w:t>SECTION 8.15 Benefit Plans and Agreements.</w:t>
            </w:r>
          </w:p>
        </w:tc>
        <w:tc>
          <w:tcPr>
            <w:tcW w:w="320" w:type="dxa"/>
            <w:vAlign w:val="bottom"/>
          </w:tcPr>
          <w:p>
            <w:pPr>
              <w:spacing w:after="0"/>
              <w:rPr>
                <w:sz w:val="21"/>
                <w:szCs w:val="21"/>
                <w:color w:val="auto"/>
              </w:rPr>
            </w:pPr>
          </w:p>
        </w:tc>
        <w:tc>
          <w:tcPr>
            <w:tcW w:w="13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ARTICLE IX EVENTS OF DEFAULT..</w:t>
            </w:r>
          </w:p>
        </w:tc>
        <w:tc>
          <w:tcPr>
            <w:tcW w:w="320" w:type="dxa"/>
            <w:vAlign w:val="bottom"/>
          </w:tcPr>
          <w:p>
            <w:pPr>
              <w:spacing w:after="0"/>
              <w:rPr>
                <w:sz w:val="21"/>
                <w:szCs w:val="21"/>
                <w:color w:val="auto"/>
              </w:rPr>
            </w:pPr>
          </w:p>
        </w:tc>
        <w:tc>
          <w:tcPr>
            <w:tcW w:w="1360" w:type="dxa"/>
            <w:vAlign w:val="bottom"/>
          </w:tcPr>
          <w:p>
            <w:pPr>
              <w:jc w:val="right"/>
              <w:ind w:right="892"/>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9.1 Listing of Events of Default</w:t>
            </w:r>
          </w:p>
        </w:tc>
        <w:tc>
          <w:tcPr>
            <w:tcW w:w="320" w:type="dxa"/>
            <w:vAlign w:val="bottom"/>
          </w:tcPr>
          <w:p>
            <w:pPr>
              <w:spacing w:after="0"/>
              <w:rPr>
                <w:sz w:val="21"/>
                <w:szCs w:val="21"/>
                <w:color w:val="auto"/>
              </w:rPr>
            </w:pPr>
          </w:p>
        </w:tc>
        <w:tc>
          <w:tcPr>
            <w:tcW w:w="136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9.2 Action if Bankruptcy.</w:t>
            </w:r>
          </w:p>
        </w:tc>
        <w:tc>
          <w:tcPr>
            <w:tcW w:w="320" w:type="dxa"/>
            <w:vAlign w:val="bottom"/>
          </w:tcPr>
          <w:p>
            <w:pPr>
              <w:spacing w:after="0"/>
              <w:rPr>
                <w:sz w:val="21"/>
                <w:szCs w:val="21"/>
                <w:color w:val="auto"/>
              </w:rPr>
            </w:pPr>
          </w:p>
        </w:tc>
        <w:tc>
          <w:tcPr>
            <w:tcW w:w="1360" w:type="dxa"/>
            <w:vAlign w:val="bottom"/>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4440" w:type="dxa"/>
            <w:vAlign w:val="bottom"/>
            <w:gridSpan w:val="3"/>
          </w:tcPr>
          <w:p>
            <w:pPr>
              <w:ind w:left="340"/>
              <w:spacing w:after="0" w:line="229" w:lineRule="exact"/>
              <w:rPr>
                <w:sz w:val="20"/>
                <w:szCs w:val="20"/>
                <w:color w:val="auto"/>
              </w:rPr>
            </w:pPr>
            <w:r>
              <w:rPr>
                <w:rFonts w:ascii="Times New Roman" w:cs="Times New Roman" w:eastAsia="Times New Roman" w:hAnsi="Times New Roman"/>
                <w:sz w:val="22"/>
                <w:szCs w:val="22"/>
                <w:color w:val="auto"/>
                <w:w w:val="97"/>
              </w:rPr>
              <w:t>SECTION 9.3 Action if Other Event of Default</w:t>
            </w:r>
          </w:p>
        </w:tc>
        <w:tc>
          <w:tcPr>
            <w:tcW w:w="320" w:type="dxa"/>
            <w:vAlign w:val="bottom"/>
          </w:tcPr>
          <w:p>
            <w:pPr>
              <w:spacing w:after="0"/>
              <w:rPr>
                <w:sz w:val="19"/>
                <w:szCs w:val="19"/>
                <w:color w:val="auto"/>
              </w:rPr>
            </w:pPr>
          </w:p>
        </w:tc>
        <w:tc>
          <w:tcPr>
            <w:tcW w:w="1360" w:type="dxa"/>
            <w:vAlign w:val="bottom"/>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74</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9.4 Application of Funds.</w:t>
            </w:r>
          </w:p>
        </w:tc>
        <w:tc>
          <w:tcPr>
            <w:tcW w:w="320" w:type="dxa"/>
            <w:vAlign w:val="bottom"/>
          </w:tcPr>
          <w:p>
            <w:pPr>
              <w:spacing w:after="0"/>
              <w:rPr>
                <w:sz w:val="21"/>
                <w:szCs w:val="21"/>
                <w:color w:val="auto"/>
              </w:rPr>
            </w:pPr>
          </w:p>
        </w:tc>
        <w:tc>
          <w:tcPr>
            <w:tcW w:w="136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Article X MISCELLANEOUS PROVISIONS.</w:t>
            </w:r>
          </w:p>
        </w:tc>
        <w:tc>
          <w:tcPr>
            <w:tcW w:w="320" w:type="dxa"/>
            <w:vAlign w:val="bottom"/>
          </w:tcPr>
          <w:p>
            <w:pPr>
              <w:spacing w:after="0"/>
              <w:rPr>
                <w:sz w:val="21"/>
                <w:szCs w:val="21"/>
                <w:color w:val="auto"/>
              </w:rPr>
            </w:pPr>
          </w:p>
        </w:tc>
        <w:tc>
          <w:tcPr>
            <w:tcW w:w="136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10.1 Waivers, Amendments, Etc.</w:t>
            </w:r>
          </w:p>
        </w:tc>
        <w:tc>
          <w:tcPr>
            <w:tcW w:w="320" w:type="dxa"/>
            <w:vAlign w:val="bottom"/>
          </w:tcPr>
          <w:p>
            <w:pPr>
              <w:spacing w:after="0"/>
              <w:rPr>
                <w:sz w:val="21"/>
                <w:szCs w:val="21"/>
                <w:color w:val="auto"/>
              </w:rPr>
            </w:pPr>
          </w:p>
        </w:tc>
        <w:tc>
          <w:tcPr>
            <w:tcW w:w="136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10.2 Notices; Time.</w:t>
            </w:r>
          </w:p>
        </w:tc>
        <w:tc>
          <w:tcPr>
            <w:tcW w:w="320" w:type="dxa"/>
            <w:vAlign w:val="bottom"/>
          </w:tcPr>
          <w:p>
            <w:pPr>
              <w:spacing w:after="0"/>
              <w:rPr>
                <w:sz w:val="21"/>
                <w:szCs w:val="21"/>
                <w:color w:val="auto"/>
              </w:rPr>
            </w:pPr>
          </w:p>
        </w:tc>
        <w:tc>
          <w:tcPr>
            <w:tcW w:w="1360" w:type="dxa"/>
            <w:vAlign w:val="bottom"/>
          </w:tcPr>
          <w:p>
            <w:pPr>
              <w:jc w:val="right"/>
              <w:ind w:right="1012"/>
              <w:spacing w:after="0" w:line="243" w:lineRule="exact"/>
              <w:rPr>
                <w:sz w:val="20"/>
                <w:szCs w:val="20"/>
                <w:color w:val="auto"/>
              </w:rPr>
            </w:pPr>
            <w:r>
              <w:rPr>
                <w:rFonts w:ascii="Times New Roman" w:cs="Times New Roman" w:eastAsia="Times New Roman" w:hAnsi="Times New Roman"/>
                <w:sz w:val="22"/>
                <w:szCs w:val="22"/>
                <w:color w:val="auto"/>
                <w:w w:val="99"/>
              </w:rPr>
              <w:t>75</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760" w:type="dxa"/>
            <w:vAlign w:val="bottom"/>
            <w:gridSpan w:val="4"/>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10.3 Payment of Costs and Expenses.</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10.4 Indemnification.</w:t>
            </w:r>
          </w:p>
        </w:tc>
        <w:tc>
          <w:tcPr>
            <w:tcW w:w="320" w:type="dxa"/>
            <w:vAlign w:val="bottom"/>
          </w:tcPr>
          <w:p>
            <w:pPr>
              <w:spacing w:after="0"/>
              <w:rPr>
                <w:sz w:val="21"/>
                <w:szCs w:val="21"/>
                <w:color w:val="auto"/>
              </w:rPr>
            </w:pPr>
          </w:p>
        </w:tc>
        <w:tc>
          <w:tcPr>
            <w:tcW w:w="136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10.5 Survival</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78</w:t>
            </w: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10.6 Severability.</w:t>
            </w:r>
          </w:p>
        </w:tc>
        <w:tc>
          <w:tcPr>
            <w:tcW w:w="1680" w:type="dxa"/>
            <w:vAlign w:val="bottom"/>
            <w:gridSpan w:val="2"/>
          </w:tcPr>
          <w:p>
            <w:pPr>
              <w:jc w:val="right"/>
              <w:ind w:right="1192"/>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10.7 Headings.</w:t>
            </w:r>
          </w:p>
        </w:tc>
        <w:tc>
          <w:tcPr>
            <w:tcW w:w="1680" w:type="dxa"/>
            <w:vAlign w:val="bottom"/>
            <w:gridSpan w:val="2"/>
          </w:tcPr>
          <w:p>
            <w:pPr>
              <w:jc w:val="right"/>
              <w:ind w:right="1192"/>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120" w:type="dxa"/>
            <w:vAlign w:val="bottom"/>
            <w:gridSpan w:val="5"/>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10.8 Execution in Counterparts, Effectiveness, Etc.</w:t>
            </w:r>
          </w:p>
        </w:tc>
        <w:tc>
          <w:tcPr>
            <w:tcW w:w="380" w:type="dxa"/>
            <w:vAlign w:val="bottom"/>
          </w:tcPr>
          <w:p>
            <w:pPr>
              <w:spacing w:after="0"/>
              <w:rPr>
                <w:sz w:val="21"/>
                <w:szCs w:val="21"/>
                <w:color w:val="auto"/>
              </w:rPr>
            </w:pPr>
          </w:p>
        </w:tc>
        <w:tc>
          <w:tcPr>
            <w:tcW w:w="940" w:type="dxa"/>
            <w:vAlign w:val="bottom"/>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800" w:type="dxa"/>
            <w:vAlign w:val="bottom"/>
          </w:tcPr>
          <w:p>
            <w:pPr>
              <w:spacing w:after="0"/>
              <w:rPr>
                <w:sz w:val="21"/>
                <w:szCs w:val="21"/>
                <w:color w:val="auto"/>
              </w:rPr>
            </w:pPr>
          </w:p>
        </w:tc>
      </w:tr>
      <w:tr>
        <w:trPr>
          <w:trHeight w:val="229"/>
        </w:trPr>
        <w:tc>
          <w:tcPr>
            <w:tcW w:w="4760" w:type="dxa"/>
            <w:vAlign w:val="bottom"/>
            <w:gridSpan w:val="4"/>
          </w:tcPr>
          <w:p>
            <w:pPr>
              <w:ind w:left="340"/>
              <w:spacing w:after="0" w:line="229" w:lineRule="exact"/>
              <w:rPr>
                <w:sz w:val="20"/>
                <w:szCs w:val="20"/>
                <w:color w:val="auto"/>
              </w:rPr>
            </w:pPr>
            <w:r>
              <w:rPr>
                <w:rFonts w:ascii="Times New Roman" w:cs="Times New Roman" w:eastAsia="Times New Roman" w:hAnsi="Times New Roman"/>
                <w:sz w:val="22"/>
                <w:szCs w:val="22"/>
                <w:color w:val="auto"/>
                <w:w w:val="97"/>
              </w:rPr>
              <w:t>SECTION 10.9 Governing Law; Entire Agreement</w:t>
            </w:r>
          </w:p>
        </w:tc>
        <w:tc>
          <w:tcPr>
            <w:tcW w:w="13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79</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10.10 Successors and Assigns.</w:t>
            </w:r>
          </w:p>
        </w:tc>
        <w:tc>
          <w:tcPr>
            <w:tcW w:w="320" w:type="dxa"/>
            <w:vAlign w:val="bottom"/>
          </w:tcPr>
          <w:p>
            <w:pPr>
              <w:spacing w:after="0"/>
              <w:rPr>
                <w:sz w:val="21"/>
                <w:szCs w:val="21"/>
                <w:color w:val="auto"/>
              </w:rPr>
            </w:pPr>
          </w:p>
        </w:tc>
        <w:tc>
          <w:tcPr>
            <w:tcW w:w="136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10.11 Other Transactions.</w:t>
            </w:r>
          </w:p>
        </w:tc>
        <w:tc>
          <w:tcPr>
            <w:tcW w:w="320" w:type="dxa"/>
            <w:vAlign w:val="bottom"/>
          </w:tcPr>
          <w:p>
            <w:pPr>
              <w:spacing w:after="0"/>
              <w:rPr>
                <w:sz w:val="21"/>
                <w:szCs w:val="21"/>
                <w:color w:val="auto"/>
              </w:rPr>
            </w:pPr>
          </w:p>
        </w:tc>
        <w:tc>
          <w:tcPr>
            <w:tcW w:w="136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120" w:type="dxa"/>
            <w:vAlign w:val="bottom"/>
            <w:gridSpan w:val="5"/>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10.12 Forum Selection and Consent to Jurisdiction.</w:t>
            </w:r>
          </w:p>
        </w:tc>
        <w:tc>
          <w:tcPr>
            <w:tcW w:w="380" w:type="dxa"/>
            <w:vAlign w:val="bottom"/>
          </w:tcPr>
          <w:p>
            <w:pPr>
              <w:spacing w:after="0"/>
              <w:rPr>
                <w:sz w:val="21"/>
                <w:szCs w:val="21"/>
                <w:color w:val="auto"/>
              </w:rPr>
            </w:pPr>
          </w:p>
        </w:tc>
        <w:tc>
          <w:tcPr>
            <w:tcW w:w="9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10.13 Waiver of Jury Trial</w:t>
            </w:r>
          </w:p>
        </w:tc>
        <w:tc>
          <w:tcPr>
            <w:tcW w:w="320" w:type="dxa"/>
            <w:vAlign w:val="bottom"/>
          </w:tcPr>
          <w:p>
            <w:pPr>
              <w:spacing w:after="0"/>
              <w:rPr>
                <w:sz w:val="21"/>
                <w:szCs w:val="21"/>
                <w:color w:val="auto"/>
              </w:rPr>
            </w:pPr>
          </w:p>
        </w:tc>
        <w:tc>
          <w:tcPr>
            <w:tcW w:w="136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10.14 Confidential Information.</w:t>
            </w:r>
          </w:p>
        </w:tc>
        <w:tc>
          <w:tcPr>
            <w:tcW w:w="320" w:type="dxa"/>
            <w:vAlign w:val="bottom"/>
          </w:tcPr>
          <w:p>
            <w:pPr>
              <w:spacing w:after="0"/>
              <w:rPr>
                <w:sz w:val="21"/>
                <w:szCs w:val="21"/>
                <w:color w:val="auto"/>
              </w:rPr>
            </w:pPr>
          </w:p>
        </w:tc>
        <w:tc>
          <w:tcPr>
            <w:tcW w:w="136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SECTION 10.15 Exceptions to Confidentiality.</w:t>
            </w:r>
          </w:p>
        </w:tc>
        <w:tc>
          <w:tcPr>
            <w:tcW w:w="320" w:type="dxa"/>
            <w:vAlign w:val="bottom"/>
          </w:tcPr>
          <w:p>
            <w:pPr>
              <w:spacing w:after="0"/>
              <w:rPr>
                <w:sz w:val="21"/>
                <w:szCs w:val="21"/>
                <w:color w:val="auto"/>
              </w:rPr>
            </w:pPr>
          </w:p>
        </w:tc>
        <w:tc>
          <w:tcPr>
            <w:tcW w:w="13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120" w:type="dxa"/>
            <w:vAlign w:val="bottom"/>
            <w:gridSpan w:val="5"/>
          </w:tcPr>
          <w:p>
            <w:pPr>
              <w:ind w:left="340"/>
              <w:spacing w:after="0" w:line="243" w:lineRule="exact"/>
              <w:rPr>
                <w:sz w:val="20"/>
                <w:szCs w:val="20"/>
                <w:color w:val="auto"/>
              </w:rPr>
            </w:pPr>
            <w:r>
              <w:rPr>
                <w:rFonts w:ascii="Times New Roman" w:cs="Times New Roman" w:eastAsia="Times New Roman" w:hAnsi="Times New Roman"/>
                <w:sz w:val="22"/>
                <w:szCs w:val="22"/>
                <w:color w:val="auto"/>
                <w:w w:val="98"/>
              </w:rPr>
              <w:t>SECTION 10.16 No Waiver; Cumulative Remedies; Enforcement</w:t>
            </w:r>
          </w:p>
        </w:tc>
        <w:tc>
          <w:tcPr>
            <w:tcW w:w="380" w:type="dxa"/>
            <w:vAlign w:val="bottom"/>
          </w:tcPr>
          <w:p>
            <w:pPr>
              <w:spacing w:after="0"/>
              <w:rPr>
                <w:sz w:val="21"/>
                <w:szCs w:val="21"/>
                <w:color w:val="auto"/>
              </w:rPr>
            </w:pPr>
          </w:p>
        </w:tc>
        <w:tc>
          <w:tcPr>
            <w:tcW w:w="94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10.17 Payments Set Aside.</w:t>
            </w:r>
          </w:p>
        </w:tc>
        <w:tc>
          <w:tcPr>
            <w:tcW w:w="320" w:type="dxa"/>
            <w:vAlign w:val="bottom"/>
          </w:tcPr>
          <w:p>
            <w:pPr>
              <w:spacing w:after="0"/>
              <w:rPr>
                <w:sz w:val="21"/>
                <w:szCs w:val="21"/>
                <w:color w:val="auto"/>
              </w:rPr>
            </w:pPr>
          </w:p>
        </w:tc>
        <w:tc>
          <w:tcPr>
            <w:tcW w:w="136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8240" w:type="dxa"/>
            <w:vAlign w:val="bottom"/>
            <w:gridSpan w:val="8"/>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10.18 Electronic Execution of Assignments and Certain Other Documents.   85</w:t>
            </w:r>
          </w:p>
        </w:tc>
      </w:tr>
      <w:tr>
        <w:trPr>
          <w:trHeight w:val="230"/>
        </w:trPr>
        <w:tc>
          <w:tcPr>
            <w:tcW w:w="4440" w:type="dxa"/>
            <w:vAlign w:val="bottom"/>
            <w:gridSpan w:val="3"/>
          </w:tcPr>
          <w:p>
            <w:pPr>
              <w:spacing w:after="0" w:line="229" w:lineRule="exact"/>
              <w:rPr>
                <w:sz w:val="20"/>
                <w:szCs w:val="20"/>
                <w:color w:val="auto"/>
              </w:rPr>
            </w:pPr>
            <w:r>
              <w:rPr>
                <w:rFonts w:ascii="Times New Roman" w:cs="Times New Roman" w:eastAsia="Times New Roman" w:hAnsi="Times New Roman"/>
                <w:sz w:val="22"/>
                <w:szCs w:val="22"/>
                <w:color w:val="auto"/>
              </w:rPr>
              <w:t>ARTICLE XI ADMINISTRATIVE AGENT.</w:t>
            </w:r>
          </w:p>
        </w:tc>
        <w:tc>
          <w:tcPr>
            <w:tcW w:w="320" w:type="dxa"/>
            <w:vAlign w:val="bottom"/>
          </w:tcPr>
          <w:p>
            <w:pPr>
              <w:spacing w:after="0"/>
              <w:rPr>
                <w:sz w:val="19"/>
                <w:szCs w:val="19"/>
                <w:color w:val="auto"/>
              </w:rPr>
            </w:pPr>
          </w:p>
        </w:tc>
        <w:tc>
          <w:tcPr>
            <w:tcW w:w="1360" w:type="dxa"/>
            <w:vAlign w:val="bottom"/>
          </w:tcPr>
          <w:p>
            <w:pPr>
              <w:jc w:val="right"/>
              <w:ind w:right="712"/>
              <w:spacing w:after="0" w:line="229" w:lineRule="exact"/>
              <w:rPr>
                <w:sz w:val="20"/>
                <w:szCs w:val="20"/>
                <w:color w:val="auto"/>
              </w:rPr>
            </w:pPr>
            <w:r>
              <w:rPr>
                <w:rFonts w:ascii="Times New Roman" w:cs="Times New Roman" w:eastAsia="Times New Roman" w:hAnsi="Times New Roman"/>
                <w:sz w:val="22"/>
                <w:szCs w:val="22"/>
                <w:color w:val="auto"/>
              </w:rPr>
              <w:t>85</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11.1 Appointment and Authority.</w:t>
            </w:r>
          </w:p>
        </w:tc>
        <w:tc>
          <w:tcPr>
            <w:tcW w:w="320" w:type="dxa"/>
            <w:vAlign w:val="bottom"/>
          </w:tcPr>
          <w:p>
            <w:pPr>
              <w:spacing w:after="0"/>
              <w:rPr>
                <w:sz w:val="21"/>
                <w:szCs w:val="21"/>
                <w:color w:val="auto"/>
              </w:rPr>
            </w:pPr>
          </w:p>
        </w:tc>
        <w:tc>
          <w:tcPr>
            <w:tcW w:w="136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11.2 Rights as a Lender</w:t>
            </w:r>
          </w:p>
        </w:tc>
        <w:tc>
          <w:tcPr>
            <w:tcW w:w="320" w:type="dxa"/>
            <w:vAlign w:val="bottom"/>
          </w:tcPr>
          <w:p>
            <w:pPr>
              <w:spacing w:after="0"/>
              <w:rPr>
                <w:sz w:val="21"/>
                <w:szCs w:val="21"/>
                <w:color w:val="auto"/>
              </w:rPr>
            </w:pPr>
          </w:p>
        </w:tc>
        <w:tc>
          <w:tcPr>
            <w:tcW w:w="1360" w:type="dxa"/>
            <w:vAlign w:val="bottom"/>
          </w:tcPr>
          <w:p>
            <w:pPr>
              <w:jc w:val="right"/>
              <w:ind w:right="892"/>
              <w:spacing w:after="0" w:line="243" w:lineRule="exact"/>
              <w:rPr>
                <w:sz w:val="20"/>
                <w:szCs w:val="20"/>
                <w:color w:val="auto"/>
              </w:rPr>
            </w:pPr>
            <w:r>
              <w:rPr>
                <w:rFonts w:ascii="Times New Roman" w:cs="Times New Roman" w:eastAsia="Times New Roman" w:hAnsi="Times New Roman"/>
                <w:sz w:val="22"/>
                <w:szCs w:val="22"/>
                <w:color w:val="auto"/>
              </w:rPr>
              <w:t>86</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11.3 Exculpatory Provisions.</w:t>
            </w:r>
          </w:p>
        </w:tc>
        <w:tc>
          <w:tcPr>
            <w:tcW w:w="320" w:type="dxa"/>
            <w:vAlign w:val="bottom"/>
          </w:tcPr>
          <w:p>
            <w:pPr>
              <w:spacing w:after="0"/>
              <w:rPr>
                <w:sz w:val="21"/>
                <w:szCs w:val="21"/>
                <w:color w:val="auto"/>
              </w:rPr>
            </w:pPr>
          </w:p>
        </w:tc>
        <w:tc>
          <w:tcPr>
            <w:tcW w:w="136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86</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120" w:type="dxa"/>
            <w:vAlign w:val="bottom"/>
            <w:gridSpan w:val="5"/>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11.4 Reliance by the Administrative Agent</w:t>
            </w:r>
          </w:p>
        </w:tc>
        <w:tc>
          <w:tcPr>
            <w:tcW w:w="38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88</w:t>
            </w: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44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11.5 Delegation of Duties.</w:t>
            </w:r>
          </w:p>
        </w:tc>
        <w:tc>
          <w:tcPr>
            <w:tcW w:w="320" w:type="dxa"/>
            <w:vAlign w:val="bottom"/>
          </w:tcPr>
          <w:p>
            <w:pPr>
              <w:spacing w:after="0"/>
              <w:rPr>
                <w:sz w:val="21"/>
                <w:szCs w:val="21"/>
                <w:color w:val="auto"/>
              </w:rPr>
            </w:pPr>
          </w:p>
        </w:tc>
        <w:tc>
          <w:tcPr>
            <w:tcW w:w="136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500" w:type="dxa"/>
            <w:vAlign w:val="bottom"/>
            <w:gridSpan w:val="6"/>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11.6 Resignation or Removal of the Administrative Agent</w:t>
            </w:r>
          </w:p>
        </w:tc>
        <w:tc>
          <w:tcPr>
            <w:tcW w:w="94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800" w:type="dxa"/>
            <w:vAlign w:val="bottom"/>
          </w:tcPr>
          <w:p>
            <w:pPr>
              <w:spacing w:after="0"/>
              <w:rPr>
                <w:sz w:val="21"/>
                <w:szCs w:val="21"/>
                <w:color w:val="auto"/>
              </w:rPr>
            </w:pPr>
          </w:p>
        </w:tc>
      </w:tr>
      <w:tr>
        <w:trPr>
          <w:trHeight w:val="243"/>
        </w:trPr>
        <w:tc>
          <w:tcPr>
            <w:tcW w:w="7440" w:type="dxa"/>
            <w:vAlign w:val="bottom"/>
            <w:gridSpan w:val="7"/>
          </w:tcPr>
          <w:p>
            <w:pPr>
              <w:ind w:left="340"/>
              <w:spacing w:after="0" w:line="243" w:lineRule="exact"/>
              <w:rPr>
                <w:sz w:val="20"/>
                <w:szCs w:val="20"/>
                <w:color w:val="auto"/>
              </w:rPr>
            </w:pPr>
            <w:r>
              <w:rPr>
                <w:rFonts w:ascii="Times New Roman" w:cs="Times New Roman" w:eastAsia="Times New Roman" w:hAnsi="Times New Roman"/>
                <w:sz w:val="22"/>
                <w:szCs w:val="22"/>
                <w:color w:val="auto"/>
              </w:rPr>
              <w:t>SECTION 11.7 Non-Reliance on the Administrative Agent and Other Lenders.</w:t>
            </w:r>
          </w:p>
        </w:tc>
        <w:tc>
          <w:tcPr>
            <w:tcW w:w="80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6120" w:type="dxa"/>
            <w:vAlign w:val="bottom"/>
            <w:gridSpan w:val="5"/>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11.8 Administrative Agent May File Proofs of Claim..</w:t>
            </w:r>
          </w:p>
        </w:tc>
        <w:tc>
          <w:tcPr>
            <w:tcW w:w="380" w:type="dxa"/>
            <w:vAlign w:val="bottom"/>
          </w:tcPr>
          <w:p>
            <w:pPr>
              <w:spacing w:after="0"/>
              <w:rPr>
                <w:sz w:val="21"/>
                <w:szCs w:val="21"/>
                <w:color w:val="auto"/>
              </w:rPr>
            </w:pPr>
          </w:p>
        </w:tc>
        <w:tc>
          <w:tcPr>
            <w:tcW w:w="94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90</w:t>
            </w:r>
          </w:p>
        </w:tc>
        <w:tc>
          <w:tcPr>
            <w:tcW w:w="800" w:type="dxa"/>
            <w:vAlign w:val="bottom"/>
          </w:tcPr>
          <w:p>
            <w:pPr>
              <w:spacing w:after="0"/>
              <w:rPr>
                <w:sz w:val="21"/>
                <w:szCs w:val="21"/>
                <w:color w:val="auto"/>
              </w:rPr>
            </w:pPr>
          </w:p>
        </w:tc>
      </w:tr>
      <w:tr>
        <w:trPr>
          <w:trHeight w:val="243"/>
        </w:trPr>
        <w:tc>
          <w:tcPr>
            <w:tcW w:w="4760" w:type="dxa"/>
            <w:vAlign w:val="bottom"/>
            <w:gridSpan w:val="4"/>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SECTION 11.9 Collateral and Guarantee Matters.</w:t>
            </w:r>
          </w:p>
        </w:tc>
        <w:tc>
          <w:tcPr>
            <w:tcW w:w="13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2"/>
        </w:trPr>
        <w:tc>
          <w:tcPr>
            <w:tcW w:w="44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11.10 Erroneous Payments.</w:t>
            </w:r>
          </w:p>
        </w:tc>
        <w:tc>
          <w:tcPr>
            <w:tcW w:w="320" w:type="dxa"/>
            <w:vAlign w:val="bottom"/>
          </w:tcPr>
          <w:p>
            <w:pPr>
              <w:spacing w:after="0"/>
              <w:rPr>
                <w:sz w:val="24"/>
                <w:szCs w:val="24"/>
                <w:color w:val="auto"/>
              </w:rPr>
            </w:pPr>
          </w:p>
        </w:tc>
        <w:tc>
          <w:tcPr>
            <w:tcW w:w="13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93</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47"/>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EXHIBITS:</w:t>
            </w:r>
          </w:p>
        </w:tc>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Form of Promissory Note</w:t>
            </w: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Exhibit B</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Form of Loan Request</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Exhibit C</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Form of Compliance Certificate</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Exhibit D</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Form of Guarantee</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Exhibit E</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Form of Security Agreement</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Exhibit F</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Form of Assignment and Assumption</w:t>
            </w: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Exhibit G</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Form of Warrants</w:t>
            </w: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2"/>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H-1-4</w:t>
            </w:r>
          </w:p>
        </w:tc>
        <w:tc>
          <w:tcPr>
            <w:tcW w:w="31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  Forms of Tax Certificates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i w:val="1"/>
          <w:iCs w:val="1"/>
          <w:color w:val="auto"/>
        </w:rPr>
        <w:t>Signature Page to Credit Agreement</w:t>
      </w:r>
    </w:p>
    <w:p>
      <w:pPr>
        <w:sectPr>
          <w:pgSz w:w="11900" w:h="16838" w:orient="portrait"/>
          <w:cols w:equalWidth="0" w:num="1">
            <w:col w:w="10139"/>
          </w:cols>
          <w:pgMar w:left="320" w:top="1398" w:right="1440" w:bottom="1440" w:gutter="0" w:footer="0" w:header="0"/>
          <w:type w:val="continuous"/>
        </w:sectPr>
      </w:pPr>
    </w:p>
    <w:bookmarkStart w:id="143" w:name="page144"/>
    <w:bookmarkEnd w:id="143"/>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CREDIT AGREEMENT dated as of April 30, 2024 (as amended,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among TRISALUS OPERATING LIFE SCIENCES,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TRISALUS LIFE SCIENCES, INC., a Delaware corporation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ORBIMED ROYALTY &amp; CREDIT OPPORTUNITIES IV, LP, a Delaware limited partnership (the “</w:t>
      </w:r>
      <w:r>
        <w:rPr>
          <w:rFonts w:ascii="Times New Roman" w:cs="Times New Roman" w:eastAsia="Times New Roman" w:hAnsi="Times New Roman"/>
          <w:sz w:val="22"/>
          <w:szCs w:val="22"/>
          <w:u w:val="single" w:color="auto"/>
          <w:color w:val="auto"/>
        </w:rPr>
        <w:t>Initial Lender</w:t>
      </w:r>
      <w:r>
        <w:rPr>
          <w:rFonts w:ascii="Times New Roman" w:cs="Times New Roman" w:eastAsia="Times New Roman" w:hAnsi="Times New Roman"/>
          <w:sz w:val="22"/>
          <w:szCs w:val="22"/>
          <w:color w:val="auto"/>
        </w:rPr>
        <w:t>”) and each other lender that may from time to time become a party hereto (each, including the Initial Lender, and together with their Affiliates, successors, transferees and assignees,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ORBIMED ROYALTY &amp; CREDIT OPPORTUNITIES IV, LP,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The Borrower, the Parent, Lenders and the Administrative Agent are sometimes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Borrower has requested that the Lenders provide a senior term loan facility to the Borrower in an aggregate principal amount of $50,000,000 (with $25,000,000 available on the Closing Date, $10,000,000 available on or prior to the First Delayed Draw Closing Date and an additional $15,000,000 available on or prior to the Second Delayed Draw Closing Date, in each case, subject to the terms and conditions set forth herein); and</w:t>
      </w:r>
    </w:p>
    <w:p>
      <w:pPr>
        <w:spacing w:after="0" w:line="19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Lenders are willing, on the terms and subject to the conditions hereinafter set forth, to extend the Commitment and make the Loans to the Borrower;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AND ACCOUNTING TERMS</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The following terms (whether or not underscored) when used in this Agreement, including its preamble and recitals, shall, except where the context otherwise requires, have the following meanings (such meanings to be equally applicable to the singular and plural forms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Administration Fee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is defined in the preamble.</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Person means any other Person which, directly or indirectly, Controls, is Controlled by or is under common Control with such Person.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(and its correlatives) by any Person means (a) the power of such Person, directly or indirectly, (i) to vote 10% or more of the Voting Securities (determined on a fully diluted basis) of another Person, or (ii) to direct or cause the direction of the management and policies of such other Person (whether by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4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or otherwise) or (b) ownership by such Person of 10% or more of the Capital Securities of another Person.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Payment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means 8.50%.</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means, with respect to any Lender at any time, with respect to such Lender’s portion of the outstanding Loans and Delayed Draw Commitments at any time, the percentage of the outstanding principal amount of the Loans and Delayed Draw Commitments held by such Lender at such time. The initial Applicable Percentage of each Lender is set forth opposite the name of such Lender on Schedule 2.1 or in the Assignment and Assumption pursuant to which such Lender becomes a party hereto, as applicable.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and accepted by the Administrative Agent, in substantially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hereto or any other form approved by the Administrative Agent and such Lender in its reasonable discretion.</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xml:space="preserve">” means, relative to the Parent, the Borrower or any of the Subsidiaries, those of its officers, general partners or managing members (as applicable) whose signatures and incumbency shall have been certified to the Administrative Agent and the Lenders pursuant to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Bona Fide Lending Affiliate</w:t>
      </w:r>
      <w:r>
        <w:rPr>
          <w:rFonts w:ascii="Times New Roman" w:cs="Times New Roman" w:eastAsia="Times New Roman" w:hAnsi="Times New Roman"/>
          <w:sz w:val="22"/>
          <w:szCs w:val="22"/>
          <w:color w:val="auto"/>
        </w:rPr>
        <w:t xml:space="preserve">” means any bona fide debt fund, investment vehicle, regulated banking entity, non-regulated lending entity or other similar entity (in each case, other than a Person that is explicitly excluded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definition of “Disqualified Institution”) that is primarily engaged in commercial loans and similar extensions of credit in the ordinary course of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Associate</w:t>
      </w:r>
      <w:r>
        <w:rPr>
          <w:rFonts w:ascii="Times New Roman" w:cs="Times New Roman" w:eastAsia="Times New Roman" w:hAnsi="Times New Roman"/>
          <w:sz w:val="22"/>
          <w:szCs w:val="22"/>
          <w:color w:val="auto"/>
        </w:rPr>
        <w:t>” has the same meaning as the term “business associate” in 45 C.F.R. § 160.103.</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which is neither a Saturday or Sunday nor a legal holiday on which banks are authorized or required to be closed in New York, New York.</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Securities</w:t>
      </w:r>
      <w:r>
        <w:rPr>
          <w:rFonts w:ascii="Times New Roman" w:cs="Times New Roman" w:eastAsia="Times New Roman" w:hAnsi="Times New Roman"/>
          <w:sz w:val="22"/>
          <w:szCs w:val="22"/>
          <w:color w:val="auto"/>
        </w:rPr>
        <w:t>” means, with respect to any Person, all shares of, interests or participations in, or other equivalents in respect of (in each case however designated, whether voting or non-voting), of such Person’s capital stock, and any warrants, options, or other rights entitling the holder thereof to purchase or acquire any such capital stock, in each case whether now outstanding or issued on or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1" w:right="339" w:bottom="1440" w:gutter="0" w:footer="0" w:header="0"/>
        </w:sectPr>
      </w:pPr>
    </w:p>
    <w:bookmarkStart w:id="145" w:name="page146"/>
    <w:bookmarkEnd w:id="145"/>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Liabilities</w:t>
      </w:r>
      <w:r>
        <w:rPr>
          <w:rFonts w:ascii="Times New Roman" w:cs="Times New Roman" w:eastAsia="Times New Roman" w:hAnsi="Times New Roman"/>
          <w:sz w:val="22"/>
          <w:szCs w:val="22"/>
          <w:color w:val="auto"/>
        </w:rPr>
        <w:t>” means, with respect to any Person, all monetary obligations of such Person and its Subsidiaries under any leasing or similar arrangement which have been (or, in accordance with GAAP, should be) classified as finance leases, and for purposes of each Loan Document the amount of such obligations shall be the capitalized amount thereof, determined in accordance with GAAP, and the stated maturity thereof shall be the date of the last payment of rent or any other amount due under such lease prior to the first date upon which such lease may be terminated by the lessee without payment of a premium or a penalty.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 Investment</w:t>
      </w:r>
      <w:r>
        <w:rPr>
          <w:rFonts w:ascii="Times New Roman" w:cs="Times New Roman" w:eastAsia="Times New Roman" w:hAnsi="Times New Roman"/>
          <w:sz w:val="22"/>
          <w:szCs w:val="22"/>
          <w:color w:val="auto"/>
        </w:rPr>
        <w:t>” means, at any time:</w:t>
      </w:r>
    </w:p>
    <w:p>
      <w:pPr>
        <w:spacing w:after="0" w:line="220" w:lineRule="exact"/>
        <w:rPr>
          <w:sz w:val="20"/>
          <w:szCs w:val="20"/>
          <w:color w:val="auto"/>
        </w:rPr>
      </w:pPr>
    </w:p>
    <w:p>
      <w:pPr>
        <w:jc w:val="both"/>
        <w:ind w:left="980" w:firstLine="648"/>
        <w:spacing w:after="0" w:line="263" w:lineRule="auto"/>
        <w:tabs>
          <w:tab w:leader="none" w:pos="212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obligation of (or unconditionally guaranteed by) the United States (or any agency or political subdivision thereof, to the extent such obligations are supported by the full faith and credit of the United States) maturing not more than one year after such time;</w:t>
      </w:r>
    </w:p>
    <w:p>
      <w:pPr>
        <w:spacing w:after="0" w:line="167" w:lineRule="exact"/>
        <w:rPr>
          <w:rFonts w:ascii="Times New Roman" w:cs="Times New Roman" w:eastAsia="Times New Roman" w:hAnsi="Times New Roman"/>
          <w:sz w:val="22"/>
          <w:szCs w:val="22"/>
          <w:color w:val="auto"/>
        </w:rPr>
      </w:pPr>
    </w:p>
    <w:p>
      <w:pPr>
        <w:jc w:val="both"/>
        <w:ind w:left="980" w:firstLine="648"/>
        <w:spacing w:after="0" w:line="257" w:lineRule="auto"/>
        <w:tabs>
          <w:tab w:leader="none" w:pos="227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maturing not more than one year from the date of issue, which is issued by a corporation (other than an Affiliate of the Parent or any of its Subsidiaries) organized under the laws of any state of the United States or of the District of Columbia and rated A-1 or higher by S&amp;P or P-1 or higher by Moody’s; or</w:t>
      </w:r>
    </w:p>
    <w:p>
      <w:pPr>
        <w:spacing w:after="0" w:line="172" w:lineRule="exact"/>
        <w:rPr>
          <w:rFonts w:ascii="Times New Roman" w:cs="Times New Roman" w:eastAsia="Times New Roman" w:hAnsi="Times New Roman"/>
          <w:sz w:val="22"/>
          <w:szCs w:val="22"/>
          <w:color w:val="auto"/>
        </w:rPr>
      </w:pPr>
    </w:p>
    <w:p>
      <w:pPr>
        <w:jc w:val="both"/>
        <w:ind w:left="980" w:firstLine="648"/>
        <w:spacing w:after="0" w:line="256" w:lineRule="auto"/>
        <w:tabs>
          <w:tab w:leader="none" w:pos="215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certificate of deposit, demand or time deposit or banker’s acceptance, maturing not more than one year after its date of issuance, which is issued by or placed with any bank or trust company organized under the laws of the United States (or any state thereof) and which has (x) a credit rating of A2 or higher from Moody’s or A or higher from S&amp;P and (y) a combined capital and surplus greater than $500,000,000;</w:t>
      </w:r>
    </w:p>
    <w:p>
      <w:pPr>
        <w:spacing w:after="0" w:line="176" w:lineRule="exact"/>
        <w:rPr>
          <w:rFonts w:ascii="Times New Roman" w:cs="Times New Roman" w:eastAsia="Times New Roman" w:hAnsi="Times New Roman"/>
          <w:sz w:val="22"/>
          <w:szCs w:val="22"/>
          <w:color w:val="auto"/>
        </w:rPr>
      </w:pPr>
    </w:p>
    <w:p>
      <w:pPr>
        <w:jc w:val="both"/>
        <w:ind w:left="980" w:firstLine="648"/>
        <w:spacing w:after="0" w:line="272" w:lineRule="auto"/>
        <w:tabs>
          <w:tab w:leader="none" w:pos="2126"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repurchase agreement entered into with any commercial banking institution of the nature referred to in clause (c) above which (i) is secured by a fully perfected security interest in any obligation of the type described in any of clauses (a) through (c) above and (ii) has a market value at the time such repurchase agreement is entered into of not less than 100% of the repurchase obligation of such commercial banking institution thereunder;</w:t>
      </w:r>
    </w:p>
    <w:p>
      <w:pPr>
        <w:spacing w:after="0" w:line="160" w:lineRule="exact"/>
        <w:rPr>
          <w:rFonts w:ascii="Times New Roman" w:cs="Times New Roman" w:eastAsia="Times New Roman" w:hAnsi="Times New Roman"/>
          <w:sz w:val="21"/>
          <w:szCs w:val="21"/>
          <w:color w:val="auto"/>
        </w:rPr>
      </w:pPr>
    </w:p>
    <w:p>
      <w:pPr>
        <w:ind w:left="980" w:firstLine="648"/>
        <w:spacing w:after="0" w:line="271" w:lineRule="auto"/>
        <w:tabs>
          <w:tab w:leader="none" w:pos="208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money market mutual funds at least 95% of the assets of which are comprised of securities of the types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this definition; or</w:t>
      </w:r>
    </w:p>
    <w:p>
      <w:pPr>
        <w:spacing w:after="0" w:line="157" w:lineRule="exact"/>
        <w:rPr>
          <w:rFonts w:ascii="Times New Roman" w:cs="Times New Roman" w:eastAsia="Times New Roman" w:hAnsi="Times New Roman"/>
          <w:sz w:val="22"/>
          <w:szCs w:val="22"/>
          <w:color w:val="auto"/>
        </w:rPr>
      </w:pPr>
    </w:p>
    <w:p>
      <w:pPr>
        <w:ind w:left="2060" w:hanging="432"/>
        <w:spacing w:after="0"/>
        <w:tabs>
          <w:tab w:leader="none" w:pos="20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approved in writing by the Administrative Agent.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Event</w:t>
      </w:r>
      <w:r>
        <w:rPr>
          <w:rFonts w:ascii="Times New Roman" w:cs="Times New Roman" w:eastAsia="Times New Roman" w:hAnsi="Times New Roman"/>
          <w:sz w:val="22"/>
          <w:szCs w:val="22"/>
          <w:color w:val="auto"/>
        </w:rPr>
        <w:t>” means the damage, destruction or condemnation, as the case may be, of property of the Parent, the Borrower or any of the Subsidiaries.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and shall be deemed to have occurred if (i) any “person” or “group” (within the meaning of Rule 13d-5 of the Exchange Act), shall own, directly or indirectly, beneficially or of record, determined on a fully diluted basis, more than 35 %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53" w:lineRule="auto"/>
        <w:rPr>
          <w:sz w:val="20"/>
          <w:szCs w:val="20"/>
          <w:color w:val="auto"/>
        </w:rPr>
      </w:pPr>
      <w:r>
        <w:rPr>
          <w:rFonts w:ascii="Times New Roman" w:cs="Times New Roman" w:eastAsia="Times New Roman" w:hAnsi="Times New Roman"/>
          <w:sz w:val="22"/>
          <w:szCs w:val="22"/>
          <w:color w:val="auto"/>
        </w:rPr>
        <w:t>Voting Securities of the Parent; (ii) a majority of the seats (other than vacant seats) on the board of directors (or equivalent) of the Parent shall at any time be occupied by persons who were neither (x) nominated by the board of directors of the Parent nor (y) appointed or approved by directors so nominated, or (iii) the Parent shall cease to own, directly or indirectly through other wholly-owned Subsidiaries, beneficially and of record, 100% of the issued and outstanding Capital Securities of the Subsidiaries (including the Borrower) (other than directors’ qualifying shares).</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of this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Certificate</w:t>
      </w:r>
      <w:r>
        <w:rPr>
          <w:rFonts w:ascii="Times New Roman" w:cs="Times New Roman" w:eastAsia="Times New Roman" w:hAnsi="Times New Roman"/>
          <w:sz w:val="22"/>
          <w:szCs w:val="22"/>
          <w:color w:val="auto"/>
        </w:rPr>
        <w:t>” means a closing date certificate executed and delivered by an Authorized Officer of the Borrower in form and substance satisfactory to the Administrative Agent and the Lenders.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set forth in the Security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as to each Lender, such Lender’s obligation (if any) to make Loans hereunder.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Amount</w:t>
      </w:r>
      <w:r>
        <w:rPr>
          <w:rFonts w:ascii="Times New Roman" w:cs="Times New Roman" w:eastAsia="Times New Roman" w:hAnsi="Times New Roman"/>
          <w:sz w:val="22"/>
          <w:szCs w:val="22"/>
          <w:color w:val="auto"/>
        </w:rPr>
        <w:t>” means the Initial Commitment Amount plus the Delayed Draw Commitment Amount. The aggregate principal amount of the Commitment Amount of all of the Lenders as in effect on the date hereof is $50,000,000.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Competitor</w:t>
      </w:r>
      <w:r>
        <w:rPr>
          <w:rFonts w:ascii="Times New Roman" w:cs="Times New Roman" w:eastAsia="Times New Roman" w:hAnsi="Times New Roman"/>
          <w:sz w:val="22"/>
          <w:szCs w:val="22"/>
          <w:color w:val="auto"/>
        </w:rPr>
        <w:t>” means any Person that is an operating company that competes with the business operations of the Borrower and its Subsidiaries.</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duly completed and executed by an Authorized Officer of the Borrower,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71" w:lineRule="auto"/>
        <w:rPr>
          <w:sz w:val="20"/>
          <w:szCs w:val="20"/>
          <w:color w:val="auto"/>
        </w:rPr>
      </w:pPr>
      <w:r>
        <w:rPr>
          <w:rFonts w:ascii="Times New Roman" w:cs="Times New Roman" w:eastAsia="Times New Roman" w:hAnsi="Times New Roman"/>
          <w:sz w:val="22"/>
          <w:szCs w:val="22"/>
          <w:color w:val="auto"/>
        </w:rPr>
        <w:t>such changes thereto as the Administrative Agent may from time to time request for the purpose of monitoring compliance with the financial covenant contained herein.</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Business Information</w:t>
      </w:r>
      <w:r>
        <w:rPr>
          <w:rFonts w:ascii="Times New Roman" w:cs="Times New Roman" w:eastAsia="Times New Roman" w:hAnsi="Times New Roman"/>
          <w:sz w:val="22"/>
          <w:szCs w:val="22"/>
          <w:color w:val="auto"/>
        </w:rPr>
        <w:t>” means (i) trade secrets, confidential business information, know-how, inventions (whether patentable or unpatentable and whether or not reduced to practice), manufacturing processes and techniques, (ii) financial, marketing and business data, pricing and cost information, business, finance and marketing plans, customer and prospective customer lists and information, and supplier and prospective supplier lists and information, and (iii) research and development information, data and other information included in or supporting Regulatory Authorizations.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information or material (whether written or oral, or in electronic or other form) that, at any time before, on or after the Closing Date, has been or is provided or communicated to the Receiving Party by or on behalf of the Disclosing Party pursuant to this Agreement or in connection with the transactions contemplated hereby, and shall include the existence and terms of this Agreement.</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Liability</w:t>
      </w:r>
      <w:r>
        <w:rPr>
          <w:rFonts w:ascii="Times New Roman" w:cs="Times New Roman" w:eastAsia="Times New Roman" w:hAnsi="Times New Roman"/>
          <w:sz w:val="22"/>
          <w:szCs w:val="22"/>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Indebtedness of any other Person (other than by endorsements of instruments in the course of collection), or guarantees the payment of dividends or other distributions upon the Capital Securities of any other Person. The amount of any Person’s obligation under any Contingent Liability shall (subject to any limitation set forth therein) be deemed to be the outstanding amount of the debt, obligation or other liability guaranteed thereby.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is defined within the definition of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 Security Agreement</w:t>
      </w:r>
      <w:r>
        <w:rPr>
          <w:rFonts w:ascii="Times New Roman" w:cs="Times New Roman" w:eastAsia="Times New Roman" w:hAnsi="Times New Roman"/>
          <w:sz w:val="22"/>
          <w:szCs w:val="22"/>
          <w:color w:val="auto"/>
        </w:rPr>
        <w:t>” means any Copyright Security Agreement executed and delivered to the Administrative Agent by the Borrower or any of the Guarantors in substantially the form of Exhibit C to the Security Agreement, as amended, supplemented, amended and restated or otherwise modified from time to time.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means all copyrights, whether statutory or common law, and all (i) registrations, renewals, revisions, extensions, and applications thereof; (ii) works of authorship, including all rights of authorship, use, publication, reproduction, distribution, performance, preparation of derivative works, transformation, moral and economic rights; and (iii) foreign copyrights and any other rights corresponding thereto throughout the world.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Processors</w:t>
      </w:r>
      <w:r>
        <w:rPr>
          <w:rFonts w:ascii="Times New Roman" w:cs="Times New Roman" w:eastAsia="Times New Roman" w:hAnsi="Times New Roman"/>
          <w:sz w:val="22"/>
          <w:szCs w:val="22"/>
          <w:color w:val="auto"/>
        </w:rPr>
        <w:t>” means any Third Party service providers, software developers, outsourcers, or others to which the Parent, the Borrower or any of the Subsidiaries engage and allow access to Personal Data or IT Assets (including, for clarity, all information and transactions stored or contained therein or transmitted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1" w:right="339" w:bottom="1440" w:gutter="0" w:footer="0" w:header="0"/>
        </w:sectPr>
      </w:pPr>
    </w:p>
    <w:bookmarkStart w:id="148" w:name="page149"/>
    <w:bookmarkEnd w:id="148"/>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of Default or any condition, occurrence or event which, after notice or lapse of time or both, would constitute an Event of Default.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Closing Date</w:t>
      </w:r>
      <w:r>
        <w:rPr>
          <w:rFonts w:ascii="Times New Roman" w:cs="Times New Roman" w:eastAsia="Times New Roman" w:hAnsi="Times New Roman"/>
          <w:sz w:val="22"/>
          <w:szCs w:val="22"/>
          <w:color w:val="auto"/>
        </w:rPr>
        <w:t>” means each of the First Delayed Draw Closing Date and the Second Delayed Draw Closing Date.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Commitment Amount</w:t>
      </w:r>
      <w:r>
        <w:rPr>
          <w:rFonts w:ascii="Times New Roman" w:cs="Times New Roman" w:eastAsia="Times New Roman" w:hAnsi="Times New Roman"/>
          <w:sz w:val="22"/>
          <w:szCs w:val="22"/>
          <w:color w:val="auto"/>
        </w:rPr>
        <w:t>” means each of the First Delayed Draw Commitment Amount and the Second Delayed Draw Commitment Amount.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Delayed Draw Loan</w:t>
      </w:r>
      <w:r>
        <w:rPr>
          <w:rFonts w:ascii="Times New Roman" w:cs="Times New Roman" w:eastAsia="Times New Roman" w:hAnsi="Times New Roman"/>
          <w:sz w:val="22"/>
          <w:szCs w:val="22"/>
          <w:color w:val="auto"/>
        </w:rPr>
        <w:t>” means each of the First Delayed Draw Loan and the Second Delayed Draw Loan.</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means any country or territory to the extent that such country or territory as a whole is the subject of comprehensive Sanctions.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means the Party disclosing Confidential Information.</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Letter</w:t>
      </w:r>
      <w:r>
        <w:rPr>
          <w:rFonts w:ascii="Times New Roman" w:cs="Times New Roman" w:eastAsia="Times New Roman" w:hAnsi="Times New Roman"/>
          <w:sz w:val="22"/>
          <w:szCs w:val="22"/>
          <w:color w:val="auto"/>
        </w:rPr>
        <w:t>” means the letter dated as of the Closing Date delivered by the Borrower to the Administrative Agent and the Lenders in connection with the execution and delivery of this Agreement.</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similar words such as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any sale, transfer, lease, license, contribution or other conveyance (including by way of merger) of, or the granting of options, warrants or other rights to, any of the Parent’s the Borrower’s or any Subsidiary’s assets (including accounts receivable and Capital Securities of Subsidiaries) to any other Person (other than to the Parent, the Borrower or any Guarantor) in a single transaction or series of transactions. For the avoidance of doubt, the sale of Parent’s common stock is not a Disposition.</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Capital Securities</w:t>
      </w:r>
      <w:r>
        <w:rPr>
          <w:rFonts w:ascii="Times New Roman" w:cs="Times New Roman" w:eastAsia="Times New Roman" w:hAnsi="Times New Roman"/>
          <w:sz w:val="22"/>
          <w:szCs w:val="22"/>
          <w:color w:val="auto"/>
        </w:rPr>
        <w:t>” shall mean any Capital Securities that, by their terms (or by the terms of any security or other Capital Securities into which they are convertible or for which they are exchangeable) or upon the happening of any event or condition, (a) mature or are mandatorily redeemable (other than solely for Qualified Capital Securities), pursuant to a sinking fund obligation or otherwise (except as a result of a Change in Control, fundamental change or asset sale so long as any rights of the holders thereof upon the occurrence of a Change in Control, fundamental change or asset sale event shall be subject to the prior repayment in full of the Loans and all other Obligations that are accrued and payable and the termination of the Commitment), (b) are redeemable at the option of the holder thereof (other than solely for Qualified Capital Securities) (except as a result of a Change in Control, fundamental change or asset sale so long as any rights of the holders thereof upon the occurrence of a Change in Control, fundamental change or asset sale event shall be subject to the prior repayment in full of the Loans and all other Obligations that are accrued and payable and the termination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Commitment), in whole or in part, (c) provide for mandatory scheduled payment of dividends in cash or (d) are or become convertible into or exchangeable for Indebtedness or any other Capital Securities that would constitute Disqualified Capital Securities, in each case, prior to the date that is one hundred and eighty-one (181) days after the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Capital Securities are issued pursuant to a plan for the benefit of employees of the Parent, the Borrower or any of the Subsidiaries, or by any such plan to such employees, such Capital Securities shall not constitute Disqualified Capital Securities solely because they may be required to be repurchased by the Parent, the Borrower or any of the Subsidiaries in order to satisfy applicable statutory or regulatory obligations.</w:t>
      </w:r>
    </w:p>
    <w:p>
      <w:pPr>
        <w:spacing w:after="0" w:line="18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Institution</w:t>
      </w:r>
      <w:r>
        <w:rPr>
          <w:rFonts w:ascii="Times New Roman" w:cs="Times New Roman" w:eastAsia="Times New Roman" w:hAnsi="Times New Roman"/>
          <w:sz w:val="21"/>
          <w:szCs w:val="21"/>
          <w:color w:val="auto"/>
        </w:rPr>
        <w:t>” means, on any date, (a)(i) any Company Competitor or (ii) other Person (including any financial institution), in each case of (i) and (ii) identified as a Disqualified Institution on the list delivered to the Administrative Agent by the Borrower prior to the Closing Date, (b) any Company Competitor that is designated by the Borrower as a Disqualified Institution by prior notice to the Administrative Agent on or after the Closing Date(such designation will become effective five</w:t>
      </w:r>
    </w:p>
    <w:p>
      <w:pPr>
        <w:spacing w:after="0" w:line="1" w:lineRule="exact"/>
        <w:rPr>
          <w:sz w:val="20"/>
          <w:szCs w:val="20"/>
          <w:color w:val="auto"/>
        </w:rPr>
      </w:pPr>
    </w:p>
    <w:p>
      <w:pPr>
        <w:jc w:val="both"/>
        <w:ind w:firstLine="8"/>
        <w:spacing w:after="0" w:line="246" w:lineRule="auto"/>
        <w:tabs>
          <w:tab w:leader="none" w:pos="33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after such notice and will not apply retroactively to disqualify the transfer of, or agreement to transfer, an interest in the Commitments or Loans, as applicable, that was effective prior to the effective date of such supplement), and (c) any Disqualified Institution’s known Affiliates or Affiliates identified in writing to the Administrative Agent from time to time or otherwise readily identifiable as such by name. Notwithstanding the foregoing, in no event will a Bona Fide Lending Affiliate be a Disqualified Institution, unless such Bona Fide Lending Affiliate is explicitly identified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the definition of “Disqualified Institution” above.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except to the extent resulting from the Administrative Agent’s own gross negligence or willful misconduct as determined by a final non-appealable judgment by a court of competent jurisdiction.</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Division/Series Transaction</w:t>
      </w:r>
      <w:r>
        <w:rPr>
          <w:rFonts w:ascii="Times New Roman" w:cs="Times New Roman" w:eastAsia="Times New Roman" w:hAnsi="Times New Roman"/>
          <w:sz w:val="22"/>
          <w:szCs w:val="22"/>
          <w:color w:val="auto"/>
        </w:rPr>
        <w:t>” means, with respect to any Person that is a limited liability company organized under the Laws of the State of Delaware, that any such Person (a) divides into two or more Persons (whether or not the original Person survives such division) or (b) creates, or reorganizes into, one or more series, in each case, as contemplated under the Laws of the State of Delaware.</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direct or indirect Subsidiary of the Parent that is organized under the Laws of the United States, any state thereof or the District of Columbia.</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federal, state, local or international laws, statutes, rules, regulations, codes, directives, treaties, requirements, ordinances, orders, decrees, judgments, injunctions, notices or binding agreements issued, promulgated or entered into by any Governmental Authority, relating in any way to the environment, natural resources, Hazardous Material or health and safety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1" w:right="339" w:bottom="1440" w:gutter="0" w:footer="0" w:header="0"/>
        </w:sectPr>
      </w:pPr>
    </w:p>
    <w:bookmarkStart w:id="150" w:name="page151"/>
    <w:bookmarkEnd w:id="150"/>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loss, claim, suit, action, investigation, proceeding, damage, commitment or obligation, contingent or otherwise (including any liability for damages, costs of environmental remediation, fines, penalties or indemnities), of or affecting the Parent, the Borrower or any Subsidiary directly or indirectly arising from, in connection with or based upon (i) any Environmental Law or Environmental Permit, (ii) the generation, use, handling, transportation, storage, treatment, recycling, presence, disposal, Release or threatened Release of, or exposure to, any Hazardous Materials, or (iii) any contract, agreement, penalty, order, decree, settlement, injunction or other arrangement (including operation of law) pursuant to which liability is assumed, entered into, inherited or imposed with respect to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as applied to any Person, (i) any corporation that is a member of a controlled group of corporations within the meaning of section 414(b) of the Code of which that Person is a member, (ii) any trade or business (whether or not incorporated) that is a member of a group of trades or businesses under common control within the meaning of section 414(c) of the Code of which that Person is a member, or (iii) any member of an affiliated service group within the meaning of section 414(m) or 414(o) of the Code of which that Person, any corporation described in clause (i) above or any trade or business described in clause (ii) above is a member.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w:t>
      </w:r>
      <w:r>
        <w:rPr>
          <w:rFonts w:ascii="Times New Roman" w:cs="Times New Roman" w:eastAsia="Times New Roman" w:hAnsi="Times New Roman"/>
          <w:sz w:val="22"/>
          <w:szCs w:val="22"/>
          <w:color w:val="auto"/>
        </w:rPr>
        <w:t xml:space="preserve">t” is defined in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xml:space="preserve">” means any Foreign Subsidiary that: (i) does not hold right, title or interest in any Intellectual Property (other than Intellectual Property that is solely used or useful in the jurisdiction of organization of such Subsidiary); (ii) does not hold or maintain any material Regulatory Authorization, whether now in effect or hereafter issued by any Regulatory Agency (other than Regulatory Authorizations that are solely used or useful in the jurisdiction of organization of such Subsidiary), (iii) is not party to any Material Agreement, other than ordinary course contracts or agreements (including leases of or licenses to use real property) that are not material to the business of the Parent, the Borrower, the Guarantors and the Subsidiaries (taken as a whole), (iv) does not, individually or together with all Excluded Subsidiaries, have cash or Cash Equivalent Investments exceeding $250,000 in the aggregate at any time, (v) as of the last day of the most recent Fiscal Quarter for which financial statements have been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(or, if prior to the date of the delivery of the first financial statements to be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the most recent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1" w:right="339" w:bottom="1440" w:gutter="0" w:footer="0" w:header="0"/>
        </w:sectPr>
      </w:pPr>
    </w:p>
    <w:bookmarkStart w:id="151" w:name="page152"/>
    <w:bookmarkEnd w:id="15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financial statements referred to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for the period of four consecutive Fiscal Quarters then ended, together with all other Excluded Subsidiaries, contributed less than 2.5% of the consolidated net revenue of the Parent and its Subsidiaries for such period, (vi) as of the last day of the most recent Fiscal Quarter for which financial statements have been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(or, if prior to the date of the delivery of the first financial statements to be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the most recent financial statements referred to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for the period of four consecutive Fiscal Quarters then ended, together with all other Excluded Subsidiaries, contributed less than 2.5% of the consolidated total assets of the Parent and its Subsidiaries at such time and (vii) is in compliance with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Exit Fee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1"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FD&amp;C Act</w:t>
      </w:r>
      <w:r>
        <w:rPr>
          <w:rFonts w:ascii="Times New Roman" w:cs="Times New Roman" w:eastAsia="Times New Roman" w:hAnsi="Times New Roman"/>
          <w:sz w:val="21"/>
          <w:szCs w:val="21"/>
          <w:color w:val="auto"/>
        </w:rPr>
        <w:t>” means the U.S. Federal Food, Drug and Cosmetic Act (or any successor thereto), as amended from time to time, and the rules, regulations, guidelines, guidance documents and compliance policy guides issued or promulgated thereunder.</w:t>
      </w:r>
    </w:p>
    <w:p>
      <w:pPr>
        <w:spacing w:after="0" w:line="12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any comparable state or local Governmental Authority, and comparable Governmental Authority in any non-United States jurisdiction and any successor agency of any of the foregoing.</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Delayed Draw Closing Date</w:t>
      </w:r>
      <w:r>
        <w:rPr>
          <w:rFonts w:ascii="Times New Roman" w:cs="Times New Roman" w:eastAsia="Times New Roman" w:hAnsi="Times New Roman"/>
          <w:sz w:val="22"/>
          <w:szCs w:val="22"/>
          <w:color w:val="auto"/>
        </w:rPr>
        <w:t>” means the date of the making of the First Delayed Draw Loan hereunder, which in no event shall be later than June 30, 2025.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Delayed Draw Commitment Amount</w:t>
      </w:r>
      <w:r>
        <w:rPr>
          <w:rFonts w:ascii="Times New Roman" w:cs="Times New Roman" w:eastAsia="Times New Roman" w:hAnsi="Times New Roman"/>
          <w:sz w:val="22"/>
          <w:szCs w:val="22"/>
          <w:color w:val="auto"/>
        </w:rPr>
        <w:t>” means $10,000,000.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Delayed Draw Commitment Fee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Delayed Draw Commitment Termination Date</w:t>
      </w:r>
      <w:r>
        <w:rPr>
          <w:rFonts w:ascii="Times New Roman" w:cs="Times New Roman" w:eastAsia="Times New Roman" w:hAnsi="Times New Roman"/>
          <w:sz w:val="22"/>
          <w:szCs w:val="22"/>
          <w:color w:val="auto"/>
        </w:rPr>
        <w:t>” means the earliest to occur of (i) the First Delayed Draw Closing Date (immediately after the making of the First Delayed Draw Loan on such date), (ii) June 30, 2025 and (iii) April 30, 2024, if the Initial Loan shall not have been made hereunder on or prior to such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Delayed Draw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means a quarter ending on the last day of March, June, September or December.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any period of twelve consecutive calendar months ending on December 31; references to a Fiscal Year with a number corresponding to any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the “2023 Fiscal Year”) refer to the Fiscal Year ending on December 31 of such calendar year.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Lender that is organized under the laws of a jurisdiction outside of the United States.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direct or indirect Subsidiary that is not a Domestic Subsidiary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F.R.S. Board</w:t>
      </w:r>
      <w:r>
        <w:rPr>
          <w:rFonts w:ascii="Times New Roman" w:cs="Times New Roman" w:eastAsia="Times New Roman" w:hAnsi="Times New Roman"/>
          <w:sz w:val="22"/>
          <w:szCs w:val="22"/>
          <w:color w:val="auto"/>
        </w:rPr>
        <w:t>” means the Board of Governors of the Federal Reserve System or any successor thereto.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as in effect from time to time.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national, supranational, federal, state, county, provincial, local, municipal or other government or political subdivision thereof (including any Regulatory Agency), whether domestic or foreign, and any agency, authority, commission, ministry, instrumentality, regulatory body, court, tribunal, arbitrator, central bank or other Person exercising executive, legislative, judicial, taxing, regulatory or administrative powers or functions of or pertaining to any such government.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Collection Account</w:t>
      </w:r>
      <w:r>
        <w:rPr>
          <w:rFonts w:ascii="Times New Roman" w:cs="Times New Roman" w:eastAsia="Times New Roman" w:hAnsi="Times New Roman"/>
          <w:sz w:val="22"/>
          <w:szCs w:val="22"/>
          <w:color w:val="auto"/>
        </w:rPr>
        <w:t>” means any of the Loan Parties’ segregated operating account(s) held to receive payments from account debtors making payments under Medicare, Medicaid, TRICARE and any other health care program operated by or financed in whole or in part by any federal, state or local government (but specifically excluding Medicare Advantage plans).</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xml:space="preserve">” means the guarantee executed and delivered by an Authorized Officer of each Guarantor,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as amended, supplemented, amended and restated or otherwise modified from time to time.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means, collectively, the Parent, TriSalus Medical LLC, a Delaware limited liability company, TriSalus Therapeutics LLC, a Delaware limited liability company, and each other Person who now or hereafter guarantees payment of all or a portion of the Obligations (other than any Excluded Subsidiary).</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w:t>
      </w:r>
      <w:r>
        <w:rPr>
          <w:rFonts w:ascii="Times New Roman" w:cs="Times New Roman" w:eastAsia="Times New Roman" w:hAnsi="Times New Roman"/>
          <w:sz w:val="22"/>
          <w:szCs w:val="22"/>
          <w:color w:val="auto"/>
        </w:rPr>
        <w:t>” means any material, substance, chemical, mixture or waste which is capable of damaging or causing harm to any living organism, the environment or natural resources, including all explosive, special, hazardous, polluting, toxic, industrial, dangerous, biohazardous, medical, infectious or radioactive substances, materials or wastes, noise, odor, electricity or heat, and including petroleum or petroleum products, byproducts or distillates, asbestos or asbestos-containing materials, urea formaldehyde, polychlorinated biphenyls, radon gas, ozone-depleting substances, greenhouse gases, and all other substances or wastes of any nature regulated pursuant to any Environmental Law or as to which any Governmental Authority requires investigation, reporting or remedial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53" w:name="page154"/>
    <w:bookmarkEnd w:id="153"/>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Obligations</w:t>
      </w:r>
      <w:r>
        <w:rPr>
          <w:rFonts w:ascii="Times New Roman" w:cs="Times New Roman" w:eastAsia="Times New Roman" w:hAnsi="Times New Roman"/>
          <w:sz w:val="22"/>
          <w:szCs w:val="22"/>
          <w:color w:val="auto"/>
        </w:rPr>
        <w:t>” means, with respect to any Person, all liabilities of such Person under currency exchange agreements, interest rate swap agreements, interest rate cap agreements and interest rate collar agreements, and all other agreements or arrangements designed to protect such Person against fluctuations in interest rates or currency exchange rates.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herein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hereof</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hereto</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hereunder</w:t>
      </w:r>
      <w:r>
        <w:rPr>
          <w:rFonts w:ascii="Times New Roman" w:cs="Times New Roman" w:eastAsia="Times New Roman" w:hAnsi="Times New Roman"/>
          <w:sz w:val="22"/>
          <w:szCs w:val="22"/>
          <w:color w:val="auto"/>
        </w:rPr>
        <w:t>” and similar terms contained in any Loan Document refer to such Loan Document as a whole and not to any particular Section, paragraph or provision of such Loan Document.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HIPAA</w:t>
      </w:r>
      <w:r>
        <w:rPr>
          <w:rFonts w:ascii="Times New Roman" w:cs="Times New Roman" w:eastAsia="Times New Roman" w:hAnsi="Times New Roman"/>
          <w:sz w:val="22"/>
          <w:szCs w:val="22"/>
          <w:color w:val="auto"/>
        </w:rPr>
        <w:t>” means, collectively, the Health Insurance Portability and Accountability Act of 1996, Public Law 104-191, as amended by the Health Information Technology for Economic and Clinical Health Act, enacted as Title XIII of the American Recovery and Reinvestment Act of 2009, Public Law 111-5, and their implementing regulations, including but not limited to, the Standards for Privacy of Individually Identifiable Health Information at 45 C.F.R. Parts 160 and 164, Subparts A and E, the Security Standards for the Protection of Electronic Protected Health Information at 45 C.F.R. Parts 160 and 164, Subparts A and C, and the Notification of Breach of Unsecured Protected Health Information requirements at 45 C.F.R. Part 160 and 164, Subparts A and D.</w:t>
      </w:r>
    </w:p>
    <w:p>
      <w:pPr>
        <w:spacing w:after="0" w:line="18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Identified Benefit Plan</w:t>
      </w:r>
      <w:r>
        <w:rPr>
          <w:rFonts w:ascii="Times New Roman" w:cs="Times New Roman" w:eastAsia="Times New Roman" w:hAnsi="Times New Roman"/>
          <w:sz w:val="21"/>
          <w:szCs w:val="21"/>
          <w:color w:val="auto"/>
        </w:rPr>
        <w:t>” means any employee benefit plan, as defined in section 3(3) of ERISA, that either: (i) is a “multiemployer plan,” as defined in section 3(37) of ERISA, (ii) is subject to section 412 of the Code, section 302 of ERISA or Title IV of ERISA, (iii) provides welfare benefits to terminated employees, other than to the extent required by section 4980B(f) of the Code and the corresponding provisions of ERISA or similar local law, (iv) provides defined benefit pension benefits to employees whose primary place of employment is outside the United States (other than a plan sponsored by a governmental entity to which the employer’s only obligation is to make legally required contributions), or (v) provides medical insurance, life insurance, or long-term disability benefits and is not either fully insured by a third-party insurance company or covered by a stop-loss policy with a third-party insurance company that provides commercially reasonable limits on the Borrower’s liability.</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Impermissible Qualification</w:t>
      </w:r>
      <w:r>
        <w:rPr>
          <w:rFonts w:ascii="Times New Roman" w:cs="Times New Roman" w:eastAsia="Times New Roman" w:hAnsi="Times New Roman"/>
          <w:sz w:val="22"/>
          <w:szCs w:val="22"/>
          <w:color w:val="auto"/>
        </w:rPr>
        <w:t>” means any qualification or exception to the opinion or certification of any independent public accountant as to any financial statement of the Parent which (i) relates to the limited scope of examination of matters relevant to such financial statement or (ii) which relates to the treatment or classification of any item in such financial statement and which, as a condition to its removal, would require an adjustment to such item, the effect of which would be to cause the Borrower or the Guarantors to be in Default.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include</w:t>
      </w:r>
      <w:r>
        <w:rPr>
          <w:rFonts w:ascii="Times New Roman" w:cs="Times New Roman" w:eastAsia="Times New Roman" w:hAnsi="Times New Roman"/>
          <w:sz w:val="22"/>
          <w:szCs w:val="22"/>
          <w:color w:val="auto"/>
        </w:rPr>
        <w:t>” means including without limiting the generality of any description preceding such term, and, for purposes of each Loan Document, the parties hereto agree that the rule of ejusdem generis shall not be applicable to limit a general statement, which is followed by or referable to an enumeration of specific matters, to matters similar to the matters specifically mentioned.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54" w:name="page155"/>
    <w:bookmarkEnd w:id="154"/>
    <w:p>
      <w:pPr>
        <w:ind w:left="660" w:firstLine="644"/>
        <w:spacing w:after="0" w:line="271" w:lineRule="auto"/>
        <w:tabs>
          <w:tab w:leader="none" w:pos="178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or advances and all obligations of such Person evidenced by bonds, debentures, notes or similar instruments;</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6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contingent or otherwise, relative to the face amount of all letters of credit, whether or not drawn, and banker’s acceptances issued for the account of such Person;</w:t>
      </w:r>
    </w:p>
    <w:p>
      <w:pPr>
        <w:spacing w:after="0" w:line="14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Lease Liabilities of such Person and all obligations of such Person arising under Synthetic</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w:t>
      </w:r>
    </w:p>
    <w:p>
      <w:pPr>
        <w:spacing w:after="0" w:line="19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Hedging Obligations of such Person;</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in respect of Disqualified Capital Securities;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78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so included as liabilities in accordance with GAAP, all obligations of such Person to pay the deferred purchase price of property or services (excluding trade accounts payable in the ordinary course of business which are not overdue for a period of more than 90 days or, if overdue for more than 90 days, as to which a dispute exists and adequate reserves in conformity with GAAP have been established on the books of such Person), and indebtedness secured by (or for which the holder of such indebtedness has an existing right, contingent or otherwise, to be secured by) a Lien on property owned or being acquired by such Person (including indebtedness arising under conditional sales or other title retention agreements), whether or not such indebtedness shall have been assumed by such Person or is limited in recourse; and</w:t>
      </w:r>
    </w:p>
    <w:p>
      <w:pPr>
        <w:spacing w:after="0" w:line="18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Contingent Liabilities of such Person in respect of any of the foregoing.</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The Indebtedness of any Person shall include the Indebtedness of any other Person (including any partnership in which such Person is a general partner) to the extent such Person is liable therefor as a result of such Person’s ownership interest in or other relationship with such Person, except to the extent the terms of such Indebtedness provide that such Person is not liable therefor.</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Infringement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Infringes</w:t>
      </w:r>
      <w:r>
        <w:rPr>
          <w:rFonts w:ascii="Times New Roman" w:cs="Times New Roman" w:eastAsia="Times New Roman" w:hAnsi="Times New Roman"/>
          <w:sz w:val="22"/>
          <w:szCs w:val="22"/>
          <w:color w:val="auto"/>
        </w:rPr>
        <w:t>” mean the infringement, misappropriation or other violation of Intellectual Property.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Commitment Amount</w:t>
      </w:r>
      <w:r>
        <w:rPr>
          <w:rFonts w:ascii="Times New Roman" w:cs="Times New Roman" w:eastAsia="Times New Roman" w:hAnsi="Times New Roman"/>
          <w:sz w:val="22"/>
          <w:szCs w:val="22"/>
          <w:color w:val="auto"/>
        </w:rPr>
        <w:t>” means $25,000,000.</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Commitment Fee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Lender</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55" w:name="page156"/>
    <w:bookmarkEnd w:id="15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9.1(h)(iv)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means all intellectual property and proprietary rights of any kind, including all (i) Patents; (ii) Trademarks; (iii) Copyrights; (iv) computer software, databases, data and documentation; (v) Confidential Business Information;</w:t>
      </w:r>
    </w:p>
    <w:p>
      <w:pPr>
        <w:spacing w:after="0" w:line="2" w:lineRule="exact"/>
        <w:rPr>
          <w:sz w:val="20"/>
          <w:szCs w:val="20"/>
          <w:color w:val="auto"/>
        </w:rPr>
      </w:pPr>
    </w:p>
    <w:p>
      <w:pPr>
        <w:jc w:val="both"/>
        <w:ind w:firstLine="8"/>
        <w:spacing w:after="0" w:line="251" w:lineRule="auto"/>
        <w:tabs>
          <w:tab w:leader="none" w:pos="37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intellectual property or proprietary rights; (vii) copies and tangible embodiments of any of the foregoing (in whatever form or medium); and (viii) and all rights to sue at law or in equity for any past, present or future Infringement thereof, including the right to receive injunctive relief and all proceeds and damages therefrom.</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 initially, the period beginning on (and including) the date on which the Initial Loan is made hereunder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ending on (and including) the last day of the month in which the Initial Loan was made, and (b) thereafter, the period beginning on (and including) the first day of each succeeding month and ending on the earlier of (and including) (x) the last day of such month and (y) the Maturity Date.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relative to any Person, (i) any loan, advance or extension of credit made by such Person to any other Person, including the purchase by such Person of any bonds, notes, debentures or other debt securities of any other Person, (ii) Contingent Liabilities in favor of any other Person, and (iii) any Capital Securities held by such Person in any other Person. The amount of any Investment shall be the original principal or capital amount thereof less all returns of principal or equity thereon and shall, if made by the transfer or exchange of property other than cash, be deemed to have been made in an original principal or capital amount equal to the fair market value of such property at the time of such Investment.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Documents</w:t>
      </w:r>
      <w:r>
        <w:rPr>
          <w:rFonts w:ascii="Times New Roman" w:cs="Times New Roman" w:eastAsia="Times New Roman" w:hAnsi="Times New Roman"/>
          <w:sz w:val="22"/>
          <w:szCs w:val="22"/>
          <w:color w:val="auto"/>
        </w:rPr>
        <w:t>” means, collectively, the Loan Documents and the Warrants.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 Assets</w:t>
      </w:r>
      <w:r>
        <w:rPr>
          <w:rFonts w:ascii="Times New Roman" w:cs="Times New Roman" w:eastAsia="Times New Roman" w:hAnsi="Times New Roman"/>
          <w:sz w:val="22"/>
          <w:szCs w:val="22"/>
          <w:color w:val="auto"/>
        </w:rPr>
        <w:t>” means the computers and other information technology infrastructure and assets used by the Parent, the Borrower or any of the Subsidiaries.</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Permits</w:t>
      </w:r>
      <w:r>
        <w:rPr>
          <w:rFonts w:ascii="Times New Roman" w:cs="Times New Roman" w:eastAsia="Times New Roman" w:hAnsi="Times New Roman"/>
          <w:sz w:val="22"/>
          <w:szCs w:val="22"/>
          <w:color w:val="auto"/>
        </w:rPr>
        <w:t>” means all Permits relating to the Products, including all Regulatory Authorizations, which are material to the business of the Parent, the Borrower and its Subsidiaries, taken as a whole.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of the Parent or the Borrower means the knowledge of any officer of the Parent, the Borrower or any Subsidiary, after due inquiry.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Intellectual Property</w:t>
      </w:r>
      <w:r>
        <w:rPr>
          <w:rFonts w:ascii="Times New Roman" w:cs="Times New Roman" w:eastAsia="Times New Roman" w:hAnsi="Times New Roman"/>
          <w:sz w:val="22"/>
          <w:szCs w:val="22"/>
          <w:color w:val="auto"/>
        </w:rPr>
        <w:t>” means all Intellectual Property that is not Owned Intellectual Property, which is licensed to, or otherwise used or held for use, by the Parent, the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56" w:name="page157"/>
    <w:bookmarkEnd w:id="156"/>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security interest, mortgage, pledge, hypothecation, assignment, deposit arrangement, encumbrance, lien (statutory or otherwise), charge against or interest in property, or other priority or preferential arrangement of any kind or nature whatsoever, to secure payment of a debt or performance of an obligation.</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xml:space="preserve">” means, at any time, an amount determined for the Parent, the Borrower and the Guarantors equal to the sum of unrestricted cash-on-hand and Cash Equivalent Investments of the Parent, the Borrower and the Guarantors, to the extent, subject to </w:t>
      </w:r>
      <w:r>
        <w:rPr>
          <w:rFonts w:ascii="Times New Roman" w:cs="Times New Roman" w:eastAsia="Times New Roman" w:hAnsi="Times New Roman"/>
          <w:sz w:val="22"/>
          <w:szCs w:val="22"/>
          <w:u w:val="single" w:color="auto"/>
          <w:color w:val="auto"/>
        </w:rPr>
        <w:t>Section 7.15(c)</w:t>
      </w:r>
      <w:r>
        <w:rPr>
          <w:rFonts w:ascii="Times New Roman" w:cs="Times New Roman" w:eastAsia="Times New Roman" w:hAnsi="Times New Roman"/>
          <w:sz w:val="22"/>
          <w:szCs w:val="22"/>
          <w:color w:val="auto"/>
        </w:rPr>
        <w:t>, held in a Controlled Account located in the United States</w:t>
      </w:r>
      <w:r>
        <w:rPr>
          <w:rFonts w:ascii="Times New Roman" w:cs="Times New Roman" w:eastAsia="Times New Roman" w:hAnsi="Times New Roman"/>
          <w:sz w:val="22"/>
          <w:szCs w:val="22"/>
          <w:i w:val="1"/>
          <w:iCs w:val="1"/>
          <w:color w:val="auto"/>
        </w:rPr>
        <w: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xml:space="preserve">” means, collectively, this Agreement, the Notes, the Security Agreement, each other agreement pursuant to which the Secured Parties are granted a Lien to secure the Obligations (including any mortgages entered into pursuant to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the Guarantee, and each other agreement, certificate, document or instrument delivered in connection with any Loan Document, whether or not specifically mentioned herein or therein (it being understood that the Loan Documents shall not include the Warrants).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the Borrower, the Parent and each other Person that joins this Agreement and guarantees the Obligations.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Request</w:t>
      </w:r>
      <w:r>
        <w:rPr>
          <w:rFonts w:ascii="Times New Roman" w:cs="Times New Roman" w:eastAsia="Times New Roman" w:hAnsi="Times New Roman"/>
          <w:sz w:val="22"/>
          <w:szCs w:val="22"/>
          <w:color w:val="auto"/>
        </w:rPr>
        <w:t xml:space="preserve">” means a loan request and certificate duly executed by an Authorized Officer of the Borrower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Initial Loan and the Delayed Draw Loans.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Make-Whole Amount</w:t>
      </w:r>
      <w:r>
        <w:rPr>
          <w:rFonts w:ascii="Times New Roman" w:cs="Times New Roman" w:eastAsia="Times New Roman" w:hAnsi="Times New Roman"/>
          <w:sz w:val="22"/>
          <w:szCs w:val="22"/>
          <w:color w:val="auto"/>
        </w:rPr>
        <w:t xml:space="preserve">” means, with respect to each of the Initial Loans, the Delayed Draw Loans borrowed on the First Delayed Draw Closing Date and the Delayed Draw Loans borrowed on the Second Delayed Draw Closing Date, an amount equal to the remaining scheduled payments of interest of such Loans through, (i) with respect to the Initial Loans, the 12-month anniversary of the Closing Date, (ii) with respect to any Delayed Draw Loans funded on the First Delayed Draw Closing Date, the 12-month anniversary of the First Delayed Draw Closing Date, and (iii) with respect to any Delayed Draw Loans funded on the Second Delayed Draw Closing Date, the 12-month anniversary of the Second Delayed Draw Closing Date, as the case may be, with respect to any prepaid or repaid amount of such applicable Loans or the amount of such applicable Loans immediately coming due and payable as a result of an acceleration under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as applicable. For purposes of making such calculation, the SOFR Rate for all future periods shall be deemed to be the SOFR Rate in effect for the Interest Period in which the Make-Whole Amount is required to be paid.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(i) the business, financial condition, operations, performance or properties of the Parent or the Borrower or of the Parent and the Subsidiaries (including the Borrower) taken as a whole, (ii) the rights and remedies of the Secured Parties under any Loan Document or (iii) the ability of the Parent, the Borrower or any Subsidiary to perform its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57" w:name="page158"/>
    <w:bookmarkEnd w:id="157"/>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Agreements”</w:t>
      </w:r>
      <w:r>
        <w:rPr>
          <w:rFonts w:ascii="Times New Roman" w:cs="Times New Roman" w:eastAsia="Times New Roman" w:hAnsi="Times New Roman"/>
          <w:sz w:val="22"/>
          <w:szCs w:val="22"/>
          <w:color w:val="auto"/>
        </w:rPr>
        <w:t xml:space="preserve"> means (i) those contracts listed on </w:t>
      </w:r>
      <w:r>
        <w:rPr>
          <w:rFonts w:ascii="Times New Roman" w:cs="Times New Roman" w:eastAsia="Times New Roman" w:hAnsi="Times New Roman"/>
          <w:sz w:val="22"/>
          <w:szCs w:val="22"/>
          <w:u w:val="single" w:color="auto"/>
          <w:color w:val="auto"/>
        </w:rPr>
        <w:t>Schedule 6.16</w:t>
      </w:r>
      <w:r>
        <w:rPr>
          <w:rFonts w:ascii="Times New Roman" w:cs="Times New Roman" w:eastAsia="Times New Roman" w:hAnsi="Times New Roman"/>
          <w:sz w:val="22"/>
          <w:szCs w:val="22"/>
          <w:color w:val="auto"/>
        </w:rPr>
        <w:t xml:space="preserve"> of the Disclosure Letter; (ii) each contract or agreement to which the Parent, the Borrower or any Subsidiary is a party involving aggregate payments of more than [***], whether such payments are being made by the Parent, the Borrower or any Subsidiary to a non-Affiliated Person, or by a non-Affiliated Person to the Parent, the Borrower or any Subsidiary; (iii) each contract or agreement to which the Parent, the Borrower or any Subsidiary is a party involving an exclusive license of Intellectual Property; and (iv) all other contracts or agreements, individually or in the aggregate, the loss or cancellation of which would reasonably be expected to have a Material Adverse Effect.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April 30, 2029.</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Asset Sales Proceeds</w:t>
      </w:r>
      <w:r>
        <w:rPr>
          <w:rFonts w:ascii="Times New Roman" w:cs="Times New Roman" w:eastAsia="Times New Roman" w:hAnsi="Times New Roman"/>
          <w:sz w:val="22"/>
          <w:szCs w:val="22"/>
          <w:color w:val="auto"/>
        </w:rPr>
        <w:t xml:space="preserve">” means, with respect to a Disposition (other than Dispositions permitted by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(other than (x) Permitted IP Licenses described under clause (B) of the definition thereof and permitted by </w:t>
      </w:r>
      <w:r>
        <w:rPr>
          <w:rFonts w:ascii="Times New Roman" w:cs="Times New Roman" w:eastAsia="Times New Roman" w:hAnsi="Times New Roman"/>
          <w:sz w:val="22"/>
          <w:szCs w:val="22"/>
          <w:u w:val="single" w:color="auto"/>
          <w:color w:val="auto"/>
        </w:rPr>
        <w:t>Section 8.8(v)(b)</w:t>
      </w:r>
      <w:r>
        <w:rPr>
          <w:rFonts w:ascii="Times New Roman" w:cs="Times New Roman" w:eastAsia="Times New Roman" w:hAnsi="Times New Roman"/>
          <w:sz w:val="22"/>
          <w:szCs w:val="22"/>
          <w:color w:val="auto"/>
        </w:rPr>
        <w:t xml:space="preserve"> and (y) </w:t>
      </w:r>
      <w:r>
        <w:rPr>
          <w:rFonts w:ascii="Times New Roman" w:cs="Times New Roman" w:eastAsia="Times New Roman" w:hAnsi="Times New Roman"/>
          <w:sz w:val="22"/>
          <w:szCs w:val="22"/>
          <w:u w:val="single" w:color="auto"/>
          <w:color w:val="auto"/>
        </w:rPr>
        <w:t>Section 8.8)(xiii)</w:t>
      </w:r>
      <w:r>
        <w:rPr>
          <w:rFonts w:ascii="Times New Roman" w:cs="Times New Roman" w:eastAsia="Times New Roman" w:hAnsi="Times New Roman"/>
          <w:sz w:val="22"/>
          <w:szCs w:val="22"/>
          <w:color w:val="auto"/>
        </w:rPr>
        <w:t xml:space="preserve">) after the Closing Date by the Parent, the Borrower or any Subsidiary to any Person of any assets of the Parent, the Borrower or its Subsidiaries, the excess of gross cash proceeds received by the Parent, the Borrower or any Subsidiary from such Disposition, other than proceeds that are, or will be, reinvested within 180 days of receipt of such proceeds in similar assets of a kind that are then used or useful in the conduct of the business of the Parent, the Borrower or any Subsidiary (but which shall not include inventory or other current assets), over (i) all reasonable and customary costs, fees and expenses (including, but not limited to, sales commissions and legal, accounting and investment banking fees and expenses), and including Taxes payable by the recipient of such proceeds, incurred in connection with such Disposition which have not been paid to the Borrower or Affiliates of the Borrower in connection therewith, (ii) if applicable, amounts required to be applied to the repayment of Indebtedness secured by a Lien permitted by </w:t>
      </w:r>
      <w:r>
        <w:rPr>
          <w:rFonts w:ascii="Times New Roman" w:cs="Times New Roman" w:eastAsia="Times New Roman" w:hAnsi="Times New Roman"/>
          <w:sz w:val="22"/>
          <w:szCs w:val="22"/>
          <w:u w:val="single" w:color="auto"/>
          <w:color w:val="auto"/>
        </w:rPr>
        <w:t>Section 8.3(c)</w:t>
      </w:r>
      <w:r>
        <w:rPr>
          <w:rFonts w:ascii="Times New Roman" w:cs="Times New Roman" w:eastAsia="Times New Roman" w:hAnsi="Times New Roman"/>
          <w:sz w:val="22"/>
          <w:szCs w:val="22"/>
          <w:color w:val="auto"/>
        </w:rPr>
        <w:t xml:space="preserve"> on the property which is the subject of such Disposition, and (iii) reserves for purchase price adjustments and retained liabilities reasonably expected to be payable by the Parent, the Borrower or applicable Subsidiary in connection with the applicable Disposition established in accordance with GAAP (provided that if, upon the final determination of the amount paid in respect of such purchase price adjustments and retained liabilities, the actual amount of purchase price adjustments and retained liabilities paid is less than such reserves, the difference shall, at such time, constitute Net Asset Sales Proceeds).</w:t>
      </w:r>
    </w:p>
    <w:p>
      <w:pPr>
        <w:spacing w:after="0" w:line="19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Casualty Proceeds</w:t>
      </w:r>
      <w:r>
        <w:rPr>
          <w:rFonts w:ascii="Times New Roman" w:cs="Times New Roman" w:eastAsia="Times New Roman" w:hAnsi="Times New Roman"/>
          <w:sz w:val="21"/>
          <w:szCs w:val="21"/>
          <w:color w:val="auto"/>
        </w:rPr>
        <w:t>” means, with respect to any Casualty Event, the amount of any insurance proceeds or condemnation awards received by the Parent, the Borrower or any of its Subsidiaries in connection with such Casualty Event, other than proceeds that are used to repair or replace the assets subject to such Casualty Event within 180 days of receipt of such proceeds with respect to such Casualty Event with like or similar assets of substantially equal or better value and utility, in excess of $200,000, individually or in the aggregate through the Termination Date (in each case net of all reasonable and customary collection expenses thereof), but excluding any proceeds or awards required to be paid to a creditor (other than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58" w:name="page159"/>
    <w:bookmarkEnd w:id="158"/>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Administrative Agent or the Lenders) which holds a first priority Lien permitted by </w:t>
      </w:r>
      <w:r>
        <w:rPr>
          <w:rFonts w:ascii="Times New Roman" w:cs="Times New Roman" w:eastAsia="Times New Roman" w:hAnsi="Times New Roman"/>
          <w:sz w:val="22"/>
          <w:szCs w:val="22"/>
          <w:u w:val="single" w:color="auto"/>
          <w:color w:val="auto"/>
        </w:rPr>
        <w:t>Section 8.3(d)</w:t>
      </w:r>
      <w:r>
        <w:rPr>
          <w:rFonts w:ascii="Times New Roman" w:cs="Times New Roman" w:eastAsia="Times New Roman" w:hAnsi="Times New Roman"/>
          <w:sz w:val="22"/>
          <w:szCs w:val="22"/>
          <w:color w:val="auto"/>
        </w:rPr>
        <w:t xml:space="preserve"> on the property which is the subject of such Casualty Event.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Revenue</w:t>
      </w:r>
      <w:r>
        <w:rPr>
          <w:rFonts w:ascii="Times New Roman" w:cs="Times New Roman" w:eastAsia="Times New Roman" w:hAnsi="Times New Roman"/>
          <w:sz w:val="22"/>
          <w:szCs w:val="22"/>
          <w:color w:val="auto"/>
        </w:rPr>
        <w:t>” means consolidated net revenues received by the Parent and the Subsidiaries from the sales of Products, as determined in accordance with GAAP, but in any event not including any royalty payments, milestone payments, distribution income, service payments, license income and other similar forms of consideration, subject to the following sentence. Net Revenue shall be determined in a manner consistent with the methodologies, practices and procedures used in developing the Borrower’s audited financial statements.</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Non-Excluded Taxes</w:t>
      </w:r>
      <w:r>
        <w:rPr>
          <w:rFonts w:ascii="Times New Roman" w:cs="Times New Roman" w:eastAsia="Times New Roman" w:hAnsi="Times New Roman"/>
          <w:sz w:val="22"/>
          <w:szCs w:val="22"/>
          <w:color w:val="auto"/>
        </w:rPr>
        <w:t xml:space="preserve">” means (1) any Taxes imposed on or with respect to any payment made by or on account of any obligation of the Borrower under any Loan Document other than (a) Taxes imposed on or measured by a Person’s net income (however denominated) and franchise Taxes, in each case, (i) imposed as a result of such Person being organized under the laws of, or having its principal office or, in the case of any Lender, its applicable lending office located in, the jurisdiction imposing such Tax (or any political subdivision thereof) or (ii) that are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(b) branch profits taxes imposed by the United States or any similar Tax imposed by any other jurisdiction described in paragraph (a) above, (c) any withholding Tax that is imposed by the United States on amounts payable to a Lender pursuant to a law in effect at the time such Lender first becomes a party to this Agreement (or designates a new lending office), except to the extent that such Lender’s assignor immediately before the assignment (or such Lender immediately before it changed its lending office) was entitled, at the time of assignment (or designation of a new lending office), to receive additional amounts from the Borrower with respect to such withholding tax pursuant to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(d) Taxes attributable to a Lender’s or the Administrative Agent’s failure to comply with </w:t>
      </w:r>
      <w:r>
        <w:rPr>
          <w:rFonts w:ascii="Times New Roman" w:cs="Times New Roman" w:eastAsia="Times New Roman" w:hAnsi="Times New Roman"/>
          <w:sz w:val="22"/>
          <w:szCs w:val="22"/>
          <w:u w:val="single" w:color="auto"/>
          <w:color w:val="auto"/>
        </w:rPr>
        <w:t>Section 4.3(g)</w:t>
      </w:r>
      <w:r>
        <w:rPr>
          <w:rFonts w:ascii="Times New Roman" w:cs="Times New Roman" w:eastAsia="Times New Roman" w:hAnsi="Times New Roman"/>
          <w:sz w:val="22"/>
          <w:szCs w:val="22"/>
          <w:color w:val="auto"/>
        </w:rPr>
        <w:t>, or (e) any withholding Taxes imposed under FATCA and (2) Other Taxes.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xml:space="preserve">” means a promissory note of the Borrower payable to a Lender,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(as such promissory note may be amended, endorsed or otherwise modified from time to time), evidencing the aggregate Indebtedness of the Borrower to such Lender resulting from the outstanding amount of the Loans, and also means all other promissory notes accepted from time to time in substitution therefor or renewal thereof.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means all obligations (monetary or otherwise, whether absolute or contingent, matured or unmatured) of the Parent, the Borrower and each Subsidiary arising under or in connection with a Loan Document and the principal of and premium, if any, and interest (including interest accruing during the pendency of any proceeding of the type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9.1(h)</w:t>
      </w:r>
      <w:r>
        <w:rPr>
          <w:rFonts w:ascii="Times New Roman" w:cs="Times New Roman" w:eastAsia="Times New Roman" w:hAnsi="Times New Roman"/>
          <w:sz w:val="22"/>
          <w:szCs w:val="22"/>
          <w:color w:val="auto"/>
        </w:rPr>
        <w:t>, whether or not allowed in such proceeding) on the Loans.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59" w:name="page160"/>
    <w:bookmarkEnd w:id="15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Organic Document</w:t>
      </w:r>
      <w:r>
        <w:rPr>
          <w:rFonts w:ascii="Times New Roman" w:cs="Times New Roman" w:eastAsia="Times New Roman" w:hAnsi="Times New Roman"/>
          <w:sz w:val="22"/>
          <w:szCs w:val="22"/>
          <w:color w:val="auto"/>
        </w:rPr>
        <w:t>” means, relative to the Parent, the Borrower or any Subsidiary, its certificate of incorporation, by-laws, certificate of partnership, partnership agreement, certificate of formation, limited liability agreement, operating agreement and all shareholder agreements, voting trusts and similar arrangements applicable to the Parent’s, the Borrower’s or any Subsidiary’s Capital Securities.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Administrative Proceeding</w:t>
      </w:r>
      <w:r>
        <w:rPr>
          <w:rFonts w:ascii="Times New Roman" w:cs="Times New Roman" w:eastAsia="Times New Roman" w:hAnsi="Times New Roman"/>
          <w:sz w:val="22"/>
          <w:szCs w:val="22"/>
          <w:color w:val="auto"/>
        </w:rPr>
        <w:t>” means any administrative proceeding relating to a dispute before or otherwise involving a patent office, trademark office, copyright office or other relevant Governmental Authority which relates to validity, opposition, revocation, ownership or enforceability of the relevant Intellectual Property.</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xml:space="preserve">” means any and all present or future stamp, court, documentary, intangible, recording, filing or similar Taxes, or any other transfer or sales Taxes that arise on account of any payment made or required to be made under any Loan Document or from the execution, delivery, registration, recording or enforcement of any Loan Document (excluding, for the avoidance of doubt, Taxes described in </w:t>
      </w:r>
      <w:r>
        <w:rPr>
          <w:rFonts w:ascii="Times New Roman" w:cs="Times New Roman" w:eastAsia="Times New Roman" w:hAnsi="Times New Roman"/>
          <w:sz w:val="22"/>
          <w:szCs w:val="22"/>
          <w:u w:val="single" w:color="auto"/>
          <w:color w:val="auto"/>
        </w:rPr>
        <w:t>clauses (1)(a)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the definition of Non-Excluded Taxes or any Taxes imposed with respect to an assignment by a Lender).</w:t>
      </w:r>
    </w:p>
    <w:p>
      <w:pPr>
        <w:spacing w:after="0" w:line="18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Intellectual Property</w:t>
      </w:r>
      <w:r>
        <w:rPr>
          <w:rFonts w:ascii="Times New Roman" w:cs="Times New Roman" w:eastAsia="Times New Roman" w:hAnsi="Times New Roman"/>
          <w:sz w:val="22"/>
          <w:szCs w:val="22"/>
          <w:color w:val="auto"/>
        </w:rPr>
        <w:t>” means all Intellectual Property that is owned or purported to be owned (solely or jointly with others) by the Parent, the Borrower or any Subsidiary.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have the meanings set forth in the preamble.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w:t>
      </w:r>
      <w:r>
        <w:rPr>
          <w:rFonts w:ascii="Times New Roman" w:cs="Times New Roman" w:eastAsia="Times New Roman" w:hAnsi="Times New Roman"/>
          <w:sz w:val="22"/>
          <w:szCs w:val="22"/>
          <w:color w:val="auto"/>
        </w:rPr>
        <w:t>” means any patent, and any type of patent application, including all divisions, continuations, continuations in-part, provisionals, utility, design, continued prosecution applications, substitutions, reissues, reexaminations, the right to enforce patents during and after the expiration of the term of the patents, certificates following inter partes review, post-grant review or any other post-grant proceeding by any Governmental Authority, supplemental protection certificates, any direct or indirect extension of any patent rights, in whole or in part, including patent term extension, patent term adjustments or regulatory rights extending any part of the term of a patent (such as a pediatric exclusivity), and all other patent rights in any form and other additions in connection therewith, and all renewals of any of the foregoing, whether in or related to the United States or any foreign country or other jurisdiction.</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Security Agreement</w:t>
      </w:r>
      <w:r>
        <w:rPr>
          <w:rFonts w:ascii="Times New Roman" w:cs="Times New Roman" w:eastAsia="Times New Roman" w:hAnsi="Times New Roman"/>
          <w:sz w:val="22"/>
          <w:szCs w:val="22"/>
          <w:color w:val="auto"/>
        </w:rPr>
        <w:t>” means any Patent Security Agreement executed and delivered to the Administrative Agent by the Borrower or any of the Guarantors in substantially the form of Exhibit A to the Security Agreement, as amended, supplemented, amended and restated or otherwise modified from time to time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means all permits, licenses, registrations, certificates, orders, approvals, authorizations, consents, clearances, waivers, franchises, variances and similar rights issued by or obtained from any Governmental Authority or any other Person, including, without limitation, those relating to Environmental Laws and Regulatory Authorizations.</w:t>
      </w:r>
    </w:p>
    <w:p>
      <w:pPr>
        <w:spacing w:after="0" w:line="16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IP Licenses</w:t>
      </w:r>
      <w:r>
        <w:rPr>
          <w:rFonts w:ascii="Times New Roman" w:cs="Times New Roman" w:eastAsia="Times New Roman" w:hAnsi="Times New Roman"/>
          <w:sz w:val="22"/>
          <w:szCs w:val="22"/>
          <w:color w:val="auto"/>
        </w:rPr>
        <w:t xml:space="preserve">” means (A) outbound non-exclusive licenses for the use of the Intellectual Property of the Parent, the Borrower or any of its Subsidiaries entered into in the ordinary course of business, (B) exclusive licenses limited in territory solely with respect to a specific geographic country or region outside of the United States, and (C) outbound non-exclusive licenses for the use of Intellectual Property of the Parent, the Borrower or any of its Subsidiaries in connection with a promotion, manufacture or other collaborative arrangements with a third party (excluding any third party license that would allow such third party to sell any Product);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with respect to each license described in clauses (A) through (C), such license must constitute an arm’s length transaction, the terms of which (x) do not provide for a sale or assignment of any Intellectual Property, and (y) do not restrict the ability of the Parent, the Borrower or any of its Subsidiaries, as applicable, to pledge or grant a security interest in or Lien on any Intellectual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with respect to each license described in clause (C), such license must be approved by the Lenders.</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Subordinated Indebtedness</w:t>
      </w:r>
      <w:r>
        <w:rPr>
          <w:rFonts w:ascii="Times New Roman" w:cs="Times New Roman" w:eastAsia="Times New Roman" w:hAnsi="Times New Roman"/>
          <w:sz w:val="22"/>
          <w:szCs w:val="22"/>
          <w:color w:val="auto"/>
        </w:rPr>
        <w:t>” means Indebtedness incurred after the Closing Date by the Parent, the Borrower or the Subsidiaries that is (i) subordinated to the Obligations and all other Indebtedness owing from the Parent, the Borrower or the Subsidiaries to the Secured Parties pursuant to a written subordination agreement satisfactory to the Administrative Agent in its sole discretion and (ii) in an amount and on terms approved by the Administrative Agent in its sole discretion.</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partnership, joint venture, association, trust or unincorporated organization, Governmental Authority or any other legal entity, whether acting in an individual, fiduciary or other capacity.</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means any information that relates to an identifiable natural person or that is otherwise considered personally identifiable information or personal data under applicable Law, including Protected Health Information.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PIK Interest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means (a) the rate of interest last quoted by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as the “Prime Rate” in the U.S. or, if </w:t>
      </w:r>
      <w:r>
        <w:rPr>
          <w:rFonts w:ascii="Times New Roman" w:cs="Times New Roman" w:eastAsia="Times New Roman" w:hAnsi="Times New Roman"/>
          <w:sz w:val="22"/>
          <w:szCs w:val="22"/>
          <w:i w:val="1"/>
          <w:iCs w:val="1"/>
          <w:color w:val="auto"/>
        </w:rPr>
        <w:t xml:space="preserve">The Wall Street Journal </w:t>
      </w:r>
      <w:r>
        <w:rPr>
          <w:rFonts w:ascii="Times New Roman" w:cs="Times New Roman" w:eastAsia="Times New Roman" w:hAnsi="Times New Roman"/>
          <w:sz w:val="22"/>
          <w:szCs w:val="22"/>
          <w:color w:val="auto"/>
        </w:rPr>
        <w:t>ceases to quote such rate, the per annum interest rate published by the F.R.S. Board in Federal Reserve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Statistical Release H.15 (519) (Selected Interest Rates) as the “bank prime loan” rate or, if such rate is no longer quoted therein, any similar rate quoted therein (as determined by the Administrative Agent) or any similar release by the F.R.S. Board (as determined by the Administrative Agent)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Prime Rate shall be less than 4.00%, such rate shall be deemed to be 4.00%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61" w:name="page162"/>
    <w:bookmarkEnd w:id="161"/>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mean (a) each Law applicable to, and contract terms relating to, the protection or processing of Personal Data, including HIPAA, rules relating to the payment card industry data security standards, direct marketing, online behavioral adverting, e-mails, text messages or telemarketing, data localization, and contract terms relating to the protection or processing of Personal Data; and (b) industry self-regulatory principles applicable to the protection or processing of Personal Data, direct marketing, online behavioral advertising, e-mails, text messages, or telemarketing.</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any current or future service or product researched, designed, developed, manufactured, licensed, marketed, sold, performed, distributed or otherwise commercialized by the Parent, the Borrower or any of their Affiliates, including any such product in development or which may be developed. For the avoidance of doubt, Product includes, but is not limited to, TriNav.</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Agreement</w:t>
      </w:r>
      <w:r>
        <w:rPr>
          <w:rFonts w:ascii="Times New Roman" w:cs="Times New Roman" w:eastAsia="Times New Roman" w:hAnsi="Times New Roman"/>
          <w:sz w:val="22"/>
          <w:szCs w:val="22"/>
          <w:color w:val="auto"/>
        </w:rPr>
        <w:t>” means each agreement, license, document, instrument, interest (equity or otherwise) or the like under which one or more parties grants or receives any right, title or interest with respect to any Product Development and Commercialization Activities in respect of one or more Products specified therein or to exclude third parties from engaging in, or otherwise restricting any right, title or interest as to any Product Development and Commercialization Activities with respect thereto, including each contract or agreement with suppliers, manufacturers, distributors, hospitals, group purchasing organizations, wholesalers or any other Person related to any such entity.</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Development and Commercialization Activities</w:t>
      </w:r>
      <w:r>
        <w:rPr>
          <w:rFonts w:ascii="Times New Roman" w:cs="Times New Roman" w:eastAsia="Times New Roman" w:hAnsi="Times New Roman"/>
          <w:sz w:val="22"/>
          <w:szCs w:val="22"/>
          <w:color w:val="auto"/>
        </w:rPr>
        <w:t>” means, with respect to any Product, any combination of research, development, manufacture, import, use, sale, importation, storage, labeling, marketing, promotion, supply, distribution, testing, packaging, purchasing or other commercialization activities, receipt of payment in respect of any of the foregoing, or like activities the purpose of which is to commercially exploit such Product.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Revenue Base</w:t>
      </w:r>
      <w:r>
        <w:rPr>
          <w:rFonts w:ascii="Times New Roman" w:cs="Times New Roman" w:eastAsia="Times New Roman" w:hAnsi="Times New Roman"/>
          <w:sz w:val="22"/>
          <w:szCs w:val="22"/>
          <w:color w:val="auto"/>
        </w:rPr>
        <w:t>” means, with respect to any period, the Net Revenues for such period from sales of TriNav.</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Protected Health Information</w:t>
      </w:r>
      <w:r>
        <w:rPr>
          <w:rFonts w:ascii="Times New Roman" w:cs="Times New Roman" w:eastAsia="Times New Roman" w:hAnsi="Times New Roman"/>
          <w:sz w:val="22"/>
          <w:szCs w:val="22"/>
          <w:color w:val="auto"/>
        </w:rPr>
        <w:t>” has the same meaning as “protected health information” in 45 C.F.R. § 160.103.</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Money Indebtedness</w:t>
      </w:r>
      <w:r>
        <w:rPr>
          <w:rFonts w:ascii="Times New Roman" w:cs="Times New Roman" w:eastAsia="Times New Roman" w:hAnsi="Times New Roman"/>
          <w:sz w:val="22"/>
          <w:szCs w:val="22"/>
          <w:color w:val="auto"/>
        </w:rPr>
        <w:t xml:space="preserve">” means Indebtedness (a) consisting of the deferred purchase price for equipment incurred in connection with the acquisition of such equipment, where the amount of such Indebtedness does not exceed the greater of (i) the cost of the equipment being financed and (ii) the fair market value of such equipment; and (b) incurred to finance such acquisition by the Parent, the Borrower or any Subsidiary of such equipment;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must be incurred no later than 90 days after such acquisition.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Capital Securities</w:t>
      </w:r>
      <w:r>
        <w:rPr>
          <w:rFonts w:ascii="Times New Roman" w:cs="Times New Roman" w:eastAsia="Times New Roman" w:hAnsi="Times New Roman"/>
          <w:sz w:val="22"/>
          <w:szCs w:val="22"/>
          <w:color w:val="auto"/>
        </w:rPr>
        <w:t>” means any Capital Securities that are not Disqualified Capital Securities.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means the Party receiving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Agencies</w:t>
      </w:r>
      <w:r>
        <w:rPr>
          <w:rFonts w:ascii="Times New Roman" w:cs="Times New Roman" w:eastAsia="Times New Roman" w:hAnsi="Times New Roman"/>
          <w:sz w:val="22"/>
          <w:szCs w:val="22"/>
          <w:color w:val="auto"/>
        </w:rPr>
        <w:t>” means any Governmental Authority that is concerned with the use, control, safety, efficacy, reliability, manufacturing, testing, marketing, distribution, sale or other Product Development and Commercialization Activities relating to any Product of the Parent, the Borrower or any of the Subsidiaries, including the FDA and all similar agencies in other jurisdictions, including non-United States jurisdictions.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Authorizations</w:t>
      </w:r>
      <w:r>
        <w:rPr>
          <w:rFonts w:ascii="Times New Roman" w:cs="Times New Roman" w:eastAsia="Times New Roman" w:hAnsi="Times New Roman"/>
          <w:sz w:val="22"/>
          <w:szCs w:val="22"/>
          <w:color w:val="auto"/>
        </w:rPr>
        <w:t>” means all approvals, clearances, notifications, authorizations, orders, exemptions, registrations, listings, certifications, licenses and Permits granted by, submitted to or filed with any Regulatory Agencies or other Governmental Authority necessary for the testing, manufacture, development, distribution, use, storage, import, export, transport, promotion, marketing, sale or other commercialization of any Product in any country or jurisdiction.</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the partners, directors, officers, employees, agents, trustees, administrators, managers, advisors and representatives of the Parent, the Borrower and the Subsidiaries.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releasing, disposing, discharging, injecting, spilling, leaking, leaching, pumping, pouring, dumping, depositing, emitting, escaping, emptying, seeping, dispersal, migrating or placing, including movement through, into or upon the environment or any natural or man-made structure.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Repayment Premium</w:t>
      </w:r>
      <w:r>
        <w:rPr>
          <w:rFonts w:ascii="Times New Roman" w:cs="Times New Roman" w:eastAsia="Times New Roman" w:hAnsi="Times New Roman"/>
          <w:sz w:val="22"/>
          <w:szCs w:val="22"/>
          <w:color w:val="auto"/>
        </w:rPr>
        <w:t>” means a premium of:</w:t>
      </w:r>
    </w:p>
    <w:p>
      <w:pPr>
        <w:spacing w:after="0" w:line="220" w:lineRule="exact"/>
        <w:rPr>
          <w:sz w:val="20"/>
          <w:szCs w:val="20"/>
          <w:color w:val="auto"/>
        </w:rPr>
      </w:pPr>
    </w:p>
    <w:p>
      <w:pPr>
        <w:jc w:val="both"/>
        <w:ind w:left="660" w:firstLine="644"/>
        <w:spacing w:after="0" w:line="251" w:lineRule="auto"/>
        <w:tabs>
          <w:tab w:leader="none" w:pos="184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three percent (3.0%) of the principal amount of any prepayment or repayment of the Borrower on the Initial Loan, the First Delayed Draw Loan or the Second Delayed Draw Loan, as applicable, if such prepayment or repayment is made or required to be made, (i) with respect to the Initial Loan, on or prior to the 12-month anniversary of the Closing Date, (ii) with respect to the First Delayed Draw Loan, on or prior to the 12-month anniversary of the First Delayed Draw Closing Date and (iii) with respect to the Second Delayed Draw Loan, on or prior to the 12-month anniversary of the Second Delayed Draw Closing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the Make-Whole Amount;</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0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percent (3.0%) of the principal amount of any prepayment or repayment of the Borrower on the Initial Loan, the First Delayed Draw Loan or the Second Delayed Draw Loan, as applicable, if such prepayment or repayment is not required to be made on or prior to, and is made or required to be made after, (i) with respect to the Initial Loan, the 12-month anniversary of the Closing Date, but on or prior to the 24-month anniversary of the Closing Date, (ii) with respect to the First Delayed Draw Loan, the 12-month anniversary of the First Delayed Draw Closing Date, but on or prior to the 24-month anniversary of the First Delayed Draw Closing Date and (iii) with respect to the Second Delayed Draw Loan, the 12-month anniversary of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63" w:name="page164"/>
    <w:bookmarkEnd w:id="163"/>
    <w:p>
      <w:pPr>
        <w:ind w:left="660"/>
        <w:spacing w:after="0"/>
        <w:rPr>
          <w:sz w:val="20"/>
          <w:szCs w:val="20"/>
          <w:color w:val="auto"/>
        </w:rPr>
      </w:pPr>
      <w:r>
        <w:rPr>
          <w:rFonts w:ascii="Times New Roman" w:cs="Times New Roman" w:eastAsia="Times New Roman" w:hAnsi="Times New Roman"/>
          <w:sz w:val="22"/>
          <w:szCs w:val="22"/>
          <w:color w:val="auto"/>
        </w:rPr>
        <w:t>Delayed Draw Closing Date, but on or prior to the 24-month anniversary of the Second Delayed Draw Closing Date;</w:t>
      </w:r>
    </w:p>
    <w:p>
      <w:pPr>
        <w:spacing w:after="0" w:line="220" w:lineRule="exact"/>
        <w:rPr>
          <w:sz w:val="20"/>
          <w:szCs w:val="20"/>
          <w:color w:val="auto"/>
        </w:rPr>
      </w:pPr>
    </w:p>
    <w:p>
      <w:pPr>
        <w:jc w:val="both"/>
        <w:ind w:left="660" w:firstLine="644"/>
        <w:spacing w:after="0" w:line="250" w:lineRule="auto"/>
        <w:tabs>
          <w:tab w:leader="none" w:pos="181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percent (2.0%) of the principal amount of any prepayment or repayment of the Borrower on the Initial Loan, the First Delayed Draw Loan or the Second Delayed Draw Loan, as applicable, if such prepayment or repayment is not required to be made on or prior to, and is made or required to be made after, (i) with respect to the Initial Loan, the 24-month anniversary of the Closing Date, but on or prior to the 36-month anniversary of the Closing Date, (ii) with respect to the First Delayed Draw Loan, the 24-month anniversary of the First Delayed Draw Closing Date, but on or prior to the 36-month anniversary of the First Delayed Draw Closing Date and (iii) with respect to the Second Delayed Draw Loan, the 24-month anniversary of the Second Delayed Draw Closing Date, but on or prior to the 36-month anniversary of the Second Delayed Draw Closing Date; or</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2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percent (1.0%) of the principal amount of any prepayment or repayment of the Borrower on the Initial Loan, the First Delayed Draw Loan or the Second Delayed Draw Loan, as applicable, if such prepayment or repayment is not required to be made on or prior to, and is made or required to be made after, (i) with respect to the Initial Loan, the 36-month anniversary of the Closing Date, but on or prior to the 48-month anniversary of the Closing Date, (ii) with respect to the First Delayed Draw Loan, the 36-month anniversary of the First Delayed Draw Closing Date, but on or prior to the 48-month anniversary of the First Delayed Draw Closing Date and (iii) with respect to the Second Delayed Draw Loan, the 36-month anniversary of the Second Delayed Draw Closing Date, but on or prior to the 48-month anniversary of the Second Delayed Draw Closing Date; or</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3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zero percent (0%) of the principal amount of any prepayment or repayment of the Borrower on the Initial Loan, the First Delayed Draw Loan or the Second Delayed Draw Loan, as applicable, if such prepayment or repayment is not required to be made on or prior to, and is made or required to be made after, (i) with respect to the Initial Loan, the 48-month anniversary of the Closing Date, (ii) with respect to the First Delayed Draw Loan, the 48-month anniversary of the First Delayed Draw Closing Date and (iii) with respect to the Second Delayed Draw Loan, the 48-month anniversary of the Second Delayed Draw Closing Date.</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(i) the declaration or payment of any dividend on, or the making of any payment or distribution on account of, or setting apart assets for a sinking or other analogous fund for the purchase, redemption, defeasance, retirement or other acquisition of, any class of Capital Securities of the Parent, the Borrower or any Subsidiary, or (ii) the making of any other distribution in respect of such Capital Securities, in each case either directly or indirectly, whether in cash, property or obligations of the Parent, the Borrower or any Subsidiary or otherwise.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a S&amp;P Financial Services LLC business, and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64" w:name="page165"/>
    <w:bookmarkEnd w:id="164"/>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international economic sanction administered or enforced by the United States Government (including, without limitation, OFAC), the United Nations Security Council, the European Union, His Majesty’s Treasury or other relevant sanctions authority.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successor agency thereto.</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Delayed Draw Closing Date</w:t>
      </w:r>
      <w:r>
        <w:rPr>
          <w:rFonts w:ascii="Times New Roman" w:cs="Times New Roman" w:eastAsia="Times New Roman" w:hAnsi="Times New Roman"/>
          <w:sz w:val="22"/>
          <w:szCs w:val="22"/>
          <w:color w:val="auto"/>
        </w:rPr>
        <w:t>” means date of the making of the Second Delayed Draw Loan hereunder, which in no event shall be later than December 31,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Delayed Draw Commitment Amount</w:t>
      </w:r>
      <w:r>
        <w:rPr>
          <w:rFonts w:ascii="Times New Roman" w:cs="Times New Roman" w:eastAsia="Times New Roman" w:hAnsi="Times New Roman"/>
          <w:sz w:val="22"/>
          <w:szCs w:val="22"/>
          <w:color w:val="auto"/>
        </w:rPr>
        <w:t>” means $15,000,000.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“Second Delayed Draw Commitment Fee” is defined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Delayed Draw Commitment Termination Date</w:t>
      </w:r>
      <w:r>
        <w:rPr>
          <w:rFonts w:ascii="Times New Roman" w:cs="Times New Roman" w:eastAsia="Times New Roman" w:hAnsi="Times New Roman"/>
          <w:sz w:val="22"/>
          <w:szCs w:val="22"/>
          <w:color w:val="auto"/>
        </w:rPr>
        <w:t>” means the earliest to occur of (i) the Second Delayed Draw Closing Date (immediately after the making of the Second Delayed Draw Loan on such date), (ii) December 31, 2025 and (iii) June 30, 2025, if the First Delayed Draw Loan shall not have been made hereunder on or prior to such date.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Delayed Draw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the Lenders and the Administrative Agent.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xml:space="preserve">” means the Pledge and Security Agreement executed and delivered by each of the parties thereto,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 as amended, supplemented, amended and restated or otherwise modified from time to time.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CME Group Benchmark Administration Limited (CBA), as administrator of the forward-looking term secured overnight financing rate (or a successor administrator).</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w:t>
      </w:r>
      <w:r>
        <w:rPr>
          <w:rFonts w:ascii="Times New Roman" w:cs="Times New Roman" w:eastAsia="Times New Roman" w:hAnsi="Times New Roman"/>
          <w:sz w:val="22"/>
          <w:szCs w:val="22"/>
          <w:color w:val="auto"/>
        </w:rPr>
        <w:t>” means, for any Interest Period, the forward-looking one-month term rate based on the secured overnight financing rate on the day (such day, the “</w:t>
      </w:r>
      <w:r>
        <w:rPr>
          <w:rFonts w:ascii="Times New Roman" w:cs="Times New Roman" w:eastAsia="Times New Roman" w:hAnsi="Times New Roman"/>
          <w:sz w:val="22"/>
          <w:szCs w:val="22"/>
          <w:u w:val="single" w:color="auto"/>
          <w:color w:val="auto"/>
        </w:rPr>
        <w:t>SOFR Rate Determination Date</w:t>
      </w:r>
      <w:r>
        <w:rPr>
          <w:rFonts w:ascii="Times New Roman" w:cs="Times New Roman" w:eastAsia="Times New Roman" w:hAnsi="Times New Roman"/>
          <w:sz w:val="22"/>
          <w:szCs w:val="22"/>
          <w:color w:val="auto"/>
        </w:rPr>
        <w:t xml:space="preserve">”) that is two (2) Business Days prior to the first day of any Interest Period, with the rate, or methodology for this rate, and conventions for this rate being established by the Administrative Agent in accordance with the “1 Month CME Term SOFR” published on the SOFR Administrator’s website at https://www.cmegroup.com/market-data/cme-group-benchmark-administration/term-sofr.html or any successor or successor page thereto established by the SOFR Administrator (as calculated by the Administrative Agent and rounded upwards, if necessary, to the nearest 1/1,000 of 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as of 5:00 p.m. on any SOFR Rate Determination Date, such 1 Month CME Term SOFR has not been published on the SOFR Administrator’s website, then the SOFR Rate for the related Interest Period will be the 1 Month CME Term SOFR as published on the SOFR Administrator’s website on the first preceding Business Days for which 1 Month CME Term SOFR was published on the SOFR Administrator’s website so long as such first preceding Business Day is not more than three (3) Business Days prior to such SOFR Rate Determination Date.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 Determination Date</w:t>
      </w:r>
      <w:r>
        <w:rPr>
          <w:rFonts w:ascii="Times New Roman" w:cs="Times New Roman" w:eastAsia="Times New Roman" w:hAnsi="Times New Roman"/>
          <w:sz w:val="22"/>
          <w:szCs w:val="22"/>
          <w:color w:val="auto"/>
        </w:rPr>
        <w:t>” is defined within the definition of “SOFR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65" w:name="page166"/>
    <w:bookmarkEnd w:id="165"/>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on a particular date, that on such date (i) the fair value of the property of such Person is greater than the total amount of liabilities, including contingent liabilities, of such Person, (ii) the present fair saleable value of the assets of such Person is not less than the amount that will be required to pay the probable liability of such Person on its debts as they become absolute and matured, (iii) such Person does not intend to, and does not believe that it will, incur debts or liabilities beyond its ability to pay as such debts and liabilities mature, (iv) such Person is not engaged in a business or a transaction, and is not about to engage in a business or a transaction, for which the property of such Person would constitute an unreasonably small capital and (v) such Person has not executed this Agreement or any other Loan Document, or made any transfer or incurred any Obligations hereunder or thereunder, with actual intent to hinder, delay or defraud either present or future creditors. The amount of contingent liabilities at any time shall be computed as the amount that, in light of all the facts and circumstances existing at such time, can reasonably be expected to become an actual or matured liability.</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other Person of which more than 50% of the outstanding Voting Securities of such other Person (irrespective of whether at the time Capital Securities of any other class or classes of such other Person shall or might have voting power upon the occurrence of any contingency) is at the time directly or indirectly owned or controlled by such Person, by such Person and one or more Subsidiaries of such Person, or by one or more Subsidiaries of such Person. Unless the context otherwise specifically requires, the term “Subsidiary” shall be a reference to a Subsidiary of the Parent.</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Lease</w:t>
      </w:r>
      <w:r>
        <w:rPr>
          <w:rFonts w:ascii="Times New Roman" w:cs="Times New Roman" w:eastAsia="Times New Roman" w:hAnsi="Times New Roman"/>
          <w:sz w:val="22"/>
          <w:szCs w:val="22"/>
          <w:color w:val="auto"/>
        </w:rPr>
        <w:t>” means, as applied to any Person, any lease (including leases that may be terminated by the lessee at any time) of any property (whether real, personal or mixed) (i) that is not a finance lease in accordance with GAAP and (ii) in respect of which the lessee retains or obtains ownership of the property so leased for federal income tax purposes, other than any such lease under which that Person is the lessor.</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present or future income, stamp or other taxes, duties, levies, imposts, charges, assessments, governmental fees or charges in the nature of a tax, deductions or withholdings (including backup withholding), levied, collected, withheld or assessed by any Governmental Authority, and all interest, additions to tax or penalties with respect thereto.</w:t>
      </w:r>
    </w:p>
    <w:p>
      <w:pPr>
        <w:spacing w:after="0" w:line="15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date on which all Obligations (other than inchoate indemnity obligations for which no claim has been made) have been paid in full in cash and the Commitment shall have terminated.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other than the Parent, the Borrower or any of the Subsidiaries.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Credit Exposure</w:t>
      </w:r>
      <w:r>
        <w:rPr>
          <w:rFonts w:ascii="Times New Roman" w:cs="Times New Roman" w:eastAsia="Times New Roman" w:hAnsi="Times New Roman"/>
          <w:sz w:val="22"/>
          <w:szCs w:val="22"/>
          <w:color w:val="auto"/>
        </w:rPr>
        <w:t>” means, as to any Lender on any date, (i) the aggregate outstanding principal amount of the Loans of such Lender after giving effect to any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66" w:name="page167"/>
    <w:bookmarkEnd w:id="166"/>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and prepayments or repayments of any Loans occurring on such date, plus (ii) the unfunded amount of such Lender’s Commitments that remains outstanding under this Agreement.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w:t>
      </w:r>
      <w:r>
        <w:rPr>
          <w:rFonts w:ascii="Times New Roman" w:cs="Times New Roman" w:eastAsia="Times New Roman" w:hAnsi="Times New Roman"/>
          <w:sz w:val="22"/>
          <w:szCs w:val="22"/>
          <w:color w:val="auto"/>
        </w:rPr>
        <w:t>” means any trademark, service mark, trade name, logo, symbol, trade dress, domain name, corporate name or other indicator of source or origin, and all applications, registrations and renewals therefor, together with all of the goodwill associated therewith.</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 Security Agreement</w:t>
      </w:r>
      <w:r>
        <w:rPr>
          <w:rFonts w:ascii="Times New Roman" w:cs="Times New Roman" w:eastAsia="Times New Roman" w:hAnsi="Times New Roman"/>
          <w:sz w:val="22"/>
          <w:szCs w:val="22"/>
          <w:color w:val="auto"/>
        </w:rPr>
        <w:t>” means any Trademark Security Agreement executed and delivered to the Administrative Agent by the Borrower or any of the Guarantors substantially in the form of Exhibit B to any Security Agreement, as amended, supplemented, amended and restated or otherwise modified from time to time.</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TriNav</w:t>
      </w:r>
      <w:r>
        <w:rPr>
          <w:rFonts w:ascii="Times New Roman" w:cs="Times New Roman" w:eastAsia="Times New Roman" w:hAnsi="Times New Roman"/>
          <w:sz w:val="22"/>
          <w:szCs w:val="22"/>
          <w:color w:val="auto"/>
        </w:rPr>
        <w:t>” means the TriNav® infusion system (510(k) Number K180677)(previously known as Surefire Spark Infusion System).</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from time to time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with respect to any financing statement or by reason of any provisions of law, the perfection or the effect of perfection or non-perfection of the security interests granted to any Secured Party pursuant to the applicable Loan Document is governed by the Uniform Commercial Code as in effect in a jurisdiction of the United States other than New York, then “UCC” means the Uniform Commercial Code as in effect from time to time in such other jurisdiction for purposes of the provisions of each Loan Document and any financing statement relating to such perfection or effect of perfection or non-perfection.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Undrawn Fee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 its fifty states and the District of Columbia.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4.3(g)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means, with respect to any Person, Capital Securities of any class or kind ordinarily having the power to vote for the election of directors, managers or other voting members of the governing body of such Person.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means those certain warrants to purchase shares of the Borrower’s common stock, issued to the Initial Lender on the Closing Date, and to each Lender on each Delayed Draw Closing Date, in each case substantially in the form of Exhibit G hereto.</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 owned Subsidiary</w:t>
      </w:r>
      <w:r>
        <w:rPr>
          <w:rFonts w:ascii="Times New Roman" w:cs="Times New Roman" w:eastAsia="Times New Roman" w:hAnsi="Times New Roman"/>
          <w:sz w:val="22"/>
          <w:szCs w:val="22"/>
          <w:color w:val="auto"/>
        </w:rPr>
        <w:t>” means any direct or indirect Subsidiaries of the Parent, all of the outstanding Capital Securities of which (other than any director’s qualifying shares or investments by foreign nationals mandated by applicable laws) is owned directly or indirectly by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67" w:name="page168"/>
    <w:bookmarkEnd w:id="16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the Borrower and the Administrative Agent.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Use of Defined Terms</w:t>
      </w:r>
      <w:r>
        <w:rPr>
          <w:rFonts w:ascii="Times New Roman" w:cs="Times New Roman" w:eastAsia="Times New Roman" w:hAnsi="Times New Roman"/>
          <w:sz w:val="22"/>
          <w:szCs w:val="22"/>
          <w:color w:val="auto"/>
        </w:rPr>
        <w:t>. Unless otherwise defined or the context otherwise requires, terms for which meanings are provided in this Agreement shall have such meanings when used in each other Loan Document and the schedules attached hereto.</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Cross-References</w:t>
      </w:r>
      <w:r>
        <w:rPr>
          <w:rFonts w:ascii="Times New Roman" w:cs="Times New Roman" w:eastAsia="Times New Roman" w:hAnsi="Times New Roman"/>
          <w:sz w:val="22"/>
          <w:szCs w:val="22"/>
          <w:color w:val="auto"/>
        </w:rPr>
        <w:t>. Unless otherwise specified, references in a Loan Document to any Article or Section are references to such Article or Section of such Loan Document, and references in any Article, Section or definition to any clause are references to such clause of such Article, Section or definition.</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Accounting and Financial Determinations</w:t>
      </w:r>
      <w:r>
        <w:rPr>
          <w:rFonts w:ascii="Times New Roman" w:cs="Times New Roman" w:eastAsia="Times New Roman" w:hAnsi="Times New Roman"/>
          <w:sz w:val="22"/>
          <w:szCs w:val="22"/>
          <w:color w:val="auto"/>
        </w:rPr>
        <w:t xml:space="preserve">. Unless otherwise specified, all accounting terms used in each Loan Document shall be interpreted, and all accounting determinations and computations thereunder (including under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and the definitions used in such calculations) shall be made,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either the Borrower or the Lenders request an amendment to any provision hereof to eliminate the effect of any change occurring after the date hereof in GAAP or the application thereof on the operation of such provision, regardless of whether any such notice is given before or after such change in GAAP or the application thereof, then such provision shall be interpreted on the basis of GAAP in effect and applied immediately before such change shall have become effective until such request shall have been withdrawn or such provision amended in accordance herewith. Unless otherwise expressly provided, all financial covenants and defined financial terms shall be computed on a consolidated basis for the Parent and the Subsidiaries, in each case without duplication.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COMMITMENT AND BORROWING PROCEDURES</w:t>
      </w:r>
    </w:p>
    <w:p>
      <w:pPr>
        <w:spacing w:after="0" w:line="20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On the terms and subject to the conditions of this Agreement, each Lender severally agrees to make its portion of a term loan (the “</w:t>
      </w:r>
      <w:r>
        <w:rPr>
          <w:rFonts w:ascii="Times New Roman" w:cs="Times New Roman" w:eastAsia="Times New Roman" w:hAnsi="Times New Roman"/>
          <w:sz w:val="22"/>
          <w:szCs w:val="22"/>
          <w:u w:val="single" w:color="auto"/>
          <w:color w:val="auto"/>
        </w:rPr>
        <w:t>Initial Loan</w:t>
      </w:r>
      <w:r>
        <w:rPr>
          <w:rFonts w:ascii="Times New Roman" w:cs="Times New Roman" w:eastAsia="Times New Roman" w:hAnsi="Times New Roman"/>
          <w:sz w:val="22"/>
          <w:szCs w:val="22"/>
          <w:color w:val="auto"/>
        </w:rPr>
        <w:t>”) to the Borrower on the Closing Date in an amount equal to (but not less than) such Lender’s Initial Commitment Amount. On the terms and subject to the conditions of this Agreement, each Lender severally agrees to make its portion of a term loan (the “</w:t>
      </w:r>
      <w:r>
        <w:rPr>
          <w:rFonts w:ascii="Times New Roman" w:cs="Times New Roman" w:eastAsia="Times New Roman" w:hAnsi="Times New Roman"/>
          <w:sz w:val="22"/>
          <w:szCs w:val="22"/>
          <w:u w:val="single" w:color="auto"/>
          <w:color w:val="auto"/>
        </w:rPr>
        <w:t>First Delayed Draw Loan</w:t>
      </w:r>
      <w:r>
        <w:rPr>
          <w:rFonts w:ascii="Times New Roman" w:cs="Times New Roman" w:eastAsia="Times New Roman" w:hAnsi="Times New Roman"/>
          <w:sz w:val="22"/>
          <w:szCs w:val="22"/>
          <w:color w:val="auto"/>
        </w:rPr>
        <w:t xml:space="preserve">”) to the Borrower on the First Delayed Draw Closing Date in an amount equal to (but not less than) such Lender’s First Delayed Draw Commitment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funding of the First Delayed Draw Loan on the First Delayed Draw Closing Date, the First Delayed Draw Commitment Amount shall be reduced to $0. On the terms and subject to the conditions of this Agreement, each Lender severally agrees to make its portion of a term loan (the “</w:t>
      </w:r>
      <w:r>
        <w:rPr>
          <w:rFonts w:ascii="Times New Roman" w:cs="Times New Roman" w:eastAsia="Times New Roman" w:hAnsi="Times New Roman"/>
          <w:sz w:val="22"/>
          <w:szCs w:val="22"/>
          <w:u w:val="single" w:color="auto"/>
          <w:color w:val="auto"/>
        </w:rPr>
        <w:t>Second Delayed Draw Loan</w:t>
      </w:r>
      <w:r>
        <w:rPr>
          <w:rFonts w:ascii="Times New Roman" w:cs="Times New Roman" w:eastAsia="Times New Roman" w:hAnsi="Times New Roman"/>
          <w:sz w:val="22"/>
          <w:szCs w:val="22"/>
          <w:color w:val="auto"/>
        </w:rPr>
        <w:t xml:space="preserve">”) to the Borrower on the Second Delayed Draw Closing Date in an amount equal to (but not less than) such Lender’s Second Delayed Draw Commitment Amount designated on the Loan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funding of the Second Delayed Draw Loan on the Second Delayed Draw Closing Date, the Second Delayed Draw Commitment Amount shall be reduced to $0. No amounts paid or prepaid with respect to the Loans may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68" w:name="page169"/>
    <w:bookmarkEnd w:id="168"/>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Borrowing Procedure</w:t>
      </w:r>
      <w:r>
        <w:rPr>
          <w:rFonts w:ascii="Times New Roman" w:cs="Times New Roman" w:eastAsia="Times New Roman" w:hAnsi="Times New Roman"/>
          <w:sz w:val="22"/>
          <w:szCs w:val="22"/>
          <w:color w:val="auto"/>
        </w:rPr>
        <w:t>. The Borrower may irrevocably request that the Initial Loan be made by delivering to the Administrative Agent a Loan Request on or before 10:00 a.m. on a Business Day at least three Business Days prior to the proposed Closing Date. The Borrower may irrevocably request that the First Delayed Draw Loan be made by delivering to the Administrative Agent a Loan Request on or before 10:00 a.m. on a Business Day at least 12 Business Days prior to the proposed First Delayed Draw Closing Date. The Borrower may irrevocably request that the Second Delayed Draw Loan be made by delivering to the Administrative Agent a Loan Request on or before 10:00 a.m. on a Business Day at least 12 Business Days prior to the proposed Second Delayed Draw Closing Date.</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Funding</w:t>
      </w:r>
      <w:r>
        <w:rPr>
          <w:rFonts w:ascii="Times New Roman" w:cs="Times New Roman" w:eastAsia="Times New Roman" w:hAnsi="Times New Roman"/>
          <w:sz w:val="22"/>
          <w:szCs w:val="22"/>
          <w:color w:val="auto"/>
        </w:rPr>
        <w:t xml:space="preserve">. After receipt of the Loan Request for the Initial Loan, the Administrative Agent shall promptly notify each Lender of the amount of such Lender’s portion of the Initial Loan. Each Lender shall, on the Closing Date and subject to the terms and conditions hereof, make the requested proceeds of such Lender’s portion of the Initial Loan available to or as instructed by the Administrative Agent. After receipt of the Loan Request for a Delayed Draw Loan, the Administrative Agent shall promptly notify each Lender of the amount of such Lender’s portion of such Delayed Draw Loan. Each Lender shall, on the applicable Delayed Draw Closing Date and subject to the terms and conditions hereof, make the requested proceeds of such Lender’s portion of such Delayed Draw Loan available to or as instructed by the Administrative Agent. Upon satisfaction or waiver of the applicable conditions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the Administrative Agent shall make all funds so received available to the Borrower by wire transfer to the account the Borrower shall have specified in its Loan Request in an amount equal to (but not less than) the Lenders’ applicable Commitment Amount. It is understood that (i)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(ii) failure by a Lender to perform any of its obligations under any of the Loan Documents shall not release any Person from performance of its obligation under any Loan Document.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Reduction of the Commitment Amounts</w:t>
      </w:r>
      <w:r>
        <w:rPr>
          <w:rFonts w:ascii="Times New Roman" w:cs="Times New Roman" w:eastAsia="Times New Roman" w:hAnsi="Times New Roman"/>
          <w:sz w:val="22"/>
          <w:szCs w:val="22"/>
          <w:color w:val="auto"/>
        </w:rPr>
        <w:t>. The Initial Commitment Amount shall automatically and permanently be reduced to zero on the Closing Date (immediately after the making of the Initial Loan on such date). The First Delayed Draw Commitment Amount shall automatically and permanently be reduced to zero on the First Delayed Draw Commitment Termination Date. The Second Delayed Draw Commitment Amount shall automatically and permanently be reduced to zero on the Second Delayed Draw Commitment Termination Date.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REPAYMENTS, PREPAYMENTS, INTEREST AND FEES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Repayments and Prepayments; Application</w:t>
      </w:r>
      <w:r>
        <w:rPr>
          <w:rFonts w:ascii="Times New Roman" w:cs="Times New Roman" w:eastAsia="Times New Roman" w:hAnsi="Times New Roman"/>
          <w:sz w:val="22"/>
          <w:szCs w:val="22"/>
          <w:color w:val="auto"/>
        </w:rPr>
        <w:t xml:space="preserve">. The Borrower agrees that the Loans, and any fees or interest accrued or accruing thereon, shall be repaid and prepaid solely in U.S. dollars by wire transfer of immediately available funds pursuant to the terms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69" w:name="page170"/>
    <w:bookmarkEnd w:id="169"/>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3.2 </w:t>
      </w:r>
      <w:r>
        <w:rPr>
          <w:rFonts w:ascii="Times New Roman" w:cs="Times New Roman" w:eastAsia="Times New Roman" w:hAnsi="Times New Roman"/>
          <w:sz w:val="21"/>
          <w:szCs w:val="21"/>
          <w:u w:val="single" w:color="auto"/>
          <w:color w:val="auto"/>
        </w:rPr>
        <w:t>Amortization; Repayments and Prepayments</w:t>
      </w:r>
      <w:r>
        <w:rPr>
          <w:rFonts w:ascii="Times New Roman" w:cs="Times New Roman" w:eastAsia="Times New Roman" w:hAnsi="Times New Roman"/>
          <w:sz w:val="21"/>
          <w:szCs w:val="21"/>
          <w:color w:val="auto"/>
        </w:rPr>
        <w:t>. If, on the last day of any Fiscal Quarter set forth in the first column of the chart below (each such date, a “</w:t>
      </w:r>
      <w:r>
        <w:rPr>
          <w:rFonts w:ascii="Times New Roman" w:cs="Times New Roman" w:eastAsia="Times New Roman" w:hAnsi="Times New Roman"/>
          <w:sz w:val="21"/>
          <w:szCs w:val="21"/>
          <w:u w:val="single" w:color="auto"/>
          <w:color w:val="auto"/>
        </w:rPr>
        <w:t>Test Date</w:t>
      </w:r>
      <w:r>
        <w:rPr>
          <w:rFonts w:ascii="Times New Roman" w:cs="Times New Roman" w:eastAsia="Times New Roman" w:hAnsi="Times New Roman"/>
          <w:sz w:val="21"/>
          <w:szCs w:val="21"/>
          <w:color w:val="auto"/>
        </w:rPr>
        <w:t>”), the Product Revenue Base on a trailing 12-month basis does not equal or exceed the amount set forth in the second column of the chart below (in the corresponding row), then, commencing with the calendar month immediately following the applicable Test Date, the Borrower shall repay the outstanding principal amount of the Loans on the last day of each calendar month (provided that if such day is not a Business Day, then such repayment shall be made on the next succeeding Business Day) (each such date, an “</w:t>
      </w:r>
      <w:r>
        <w:rPr>
          <w:rFonts w:ascii="Times New Roman" w:cs="Times New Roman" w:eastAsia="Times New Roman" w:hAnsi="Times New Roman"/>
          <w:sz w:val="21"/>
          <w:szCs w:val="21"/>
          <w:u w:val="single" w:color="auto"/>
          <w:color w:val="auto"/>
        </w:rPr>
        <w:t>Amortization Payment Date</w:t>
      </w:r>
      <w:r>
        <w:rPr>
          <w:rFonts w:ascii="Times New Roman" w:cs="Times New Roman" w:eastAsia="Times New Roman" w:hAnsi="Times New Roman"/>
          <w:sz w:val="21"/>
          <w:szCs w:val="21"/>
          <w:color w:val="auto"/>
        </w:rPr>
        <w:t>”), in equal monthly installments calculated from the first Amortization Payment Date through the Maturity Date (each an “</w:t>
      </w:r>
      <w:r>
        <w:rPr>
          <w:rFonts w:ascii="Times New Roman" w:cs="Times New Roman" w:eastAsia="Times New Roman" w:hAnsi="Times New Roman"/>
          <w:sz w:val="21"/>
          <w:szCs w:val="21"/>
          <w:u w:val="single" w:color="auto"/>
          <w:color w:val="auto"/>
        </w:rPr>
        <w:t>Amortization Payment</w:t>
      </w:r>
      <w:r>
        <w:rPr>
          <w:rFonts w:ascii="Times New Roman" w:cs="Times New Roman" w:eastAsia="Times New Roman" w:hAnsi="Times New Roman"/>
          <w:sz w:val="21"/>
          <w:szCs w:val="21"/>
          <w:color w:val="auto"/>
        </w:rPr>
        <w:t>”), together with the applicable Repayment Premium and the Exit Fee, unless sooner required to be repaid pursuant to the terms of this Agreement.</w:t>
      </w:r>
    </w:p>
    <w:p>
      <w:pPr>
        <w:spacing w:after="0" w:line="177"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4200" w:type="dxa"/>
            <w:vAlign w:val="bottom"/>
            <w:vMerge w:val="restart"/>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Test Dates (Fiscal Quarter Ending)</w:t>
            </w:r>
          </w:p>
        </w:tc>
        <w:tc>
          <w:tcPr>
            <w:tcW w:w="4700" w:type="dxa"/>
            <w:vAlign w:val="bottom"/>
            <w:shd w:val="clear" w:color="auto" w:fill="D9D9D9"/>
          </w:tcPr>
          <w:p>
            <w:pPr>
              <w:ind w:left="140"/>
              <w:spacing w:after="0"/>
              <w:rPr>
                <w:sz w:val="20"/>
                <w:szCs w:val="20"/>
                <w:color w:val="auto"/>
              </w:rPr>
            </w:pPr>
            <w:r>
              <w:rPr>
                <w:rFonts w:ascii="Times New Roman" w:cs="Times New Roman" w:eastAsia="Times New Roman" w:hAnsi="Times New Roman"/>
                <w:sz w:val="22"/>
                <w:szCs w:val="22"/>
                <w:b w:val="1"/>
                <w:bCs w:val="1"/>
                <w:color w:val="auto"/>
              </w:rPr>
              <w:t>Product Revenue Base for the 12-month period</w:t>
            </w:r>
          </w:p>
        </w:tc>
        <w:tc>
          <w:tcPr>
            <w:tcW w:w="0" w:type="dxa"/>
            <w:vAlign w:val="bottom"/>
          </w:tcPr>
          <w:p>
            <w:pPr>
              <w:spacing w:after="0"/>
              <w:rPr>
                <w:sz w:val="1"/>
                <w:szCs w:val="1"/>
                <w:color w:val="auto"/>
              </w:rPr>
            </w:pPr>
          </w:p>
        </w:tc>
      </w:tr>
      <w:tr>
        <w:trPr>
          <w:trHeight w:val="188"/>
        </w:trPr>
        <w:tc>
          <w:tcPr>
            <w:tcW w:w="4200" w:type="dxa"/>
            <w:vAlign w:val="bottom"/>
            <w:vMerge w:val="continue"/>
            <w:shd w:val="clear" w:color="auto" w:fill="D9D9D9"/>
          </w:tcPr>
          <w:p>
            <w:pPr>
              <w:spacing w:after="0"/>
              <w:rPr>
                <w:sz w:val="16"/>
                <w:szCs w:val="16"/>
                <w:color w:val="auto"/>
              </w:rPr>
            </w:pPr>
          </w:p>
        </w:tc>
        <w:tc>
          <w:tcPr>
            <w:tcW w:w="4700" w:type="dxa"/>
            <w:vAlign w:val="bottom"/>
            <w:vMerge w:val="restart"/>
            <w:shd w:val="clear" w:color="auto" w:fill="D9D9D9"/>
          </w:tcPr>
          <w:p>
            <w:pPr>
              <w:ind w:left="140"/>
              <w:spacing w:after="0"/>
              <w:rPr>
                <w:sz w:val="20"/>
                <w:szCs w:val="20"/>
                <w:color w:val="auto"/>
              </w:rPr>
            </w:pPr>
            <w:r>
              <w:rPr>
                <w:rFonts w:ascii="Times New Roman" w:cs="Times New Roman" w:eastAsia="Times New Roman" w:hAnsi="Times New Roman"/>
                <w:sz w:val="22"/>
                <w:szCs w:val="22"/>
                <w:b w:val="1"/>
                <w:bCs w:val="1"/>
                <w:color w:val="auto"/>
              </w:rPr>
              <w:t>ending on such Test Date</w:t>
            </w:r>
          </w:p>
        </w:tc>
        <w:tc>
          <w:tcPr>
            <w:tcW w:w="0" w:type="dxa"/>
            <w:vAlign w:val="bottom"/>
          </w:tcPr>
          <w:p>
            <w:pPr>
              <w:spacing w:after="0"/>
              <w:rPr>
                <w:sz w:val="1"/>
                <w:szCs w:val="1"/>
                <w:color w:val="auto"/>
              </w:rPr>
            </w:pPr>
          </w:p>
        </w:tc>
      </w:tr>
      <w:tr>
        <w:trPr>
          <w:trHeight w:val="96"/>
        </w:trPr>
        <w:tc>
          <w:tcPr>
            <w:tcW w:w="4200" w:type="dxa"/>
            <w:vAlign w:val="bottom"/>
            <w:shd w:val="clear" w:color="auto" w:fill="D9D9D9"/>
          </w:tcPr>
          <w:p>
            <w:pPr>
              <w:spacing w:after="0"/>
              <w:rPr>
                <w:sz w:val="8"/>
                <w:szCs w:val="8"/>
                <w:color w:val="auto"/>
              </w:rPr>
            </w:pPr>
          </w:p>
        </w:tc>
        <w:tc>
          <w:tcPr>
            <w:tcW w:w="4700" w:type="dxa"/>
            <w:vAlign w:val="bottom"/>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September 30, 2024</w:t>
            </w:r>
          </w:p>
        </w:tc>
        <w:tc>
          <w:tcPr>
            <w:tcW w:w="470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December 31, 2024</w:t>
            </w:r>
          </w:p>
        </w:tc>
        <w:tc>
          <w:tcPr>
            <w:tcW w:w="470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4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March 31, 2025</w:t>
            </w:r>
          </w:p>
        </w:tc>
        <w:tc>
          <w:tcPr>
            <w:tcW w:w="470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4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June 30, 2025</w:t>
            </w:r>
          </w:p>
        </w:tc>
        <w:tc>
          <w:tcPr>
            <w:tcW w:w="470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1"/>
        </w:trPr>
        <w:tc>
          <w:tcPr>
            <w:tcW w:w="4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September 30, 2025</w:t>
            </w:r>
          </w:p>
        </w:tc>
        <w:tc>
          <w:tcPr>
            <w:tcW w:w="4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December 31, 2025</w:t>
            </w:r>
          </w:p>
        </w:tc>
        <w:tc>
          <w:tcPr>
            <w:tcW w:w="470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March 31, 2026</w:t>
            </w:r>
          </w:p>
        </w:tc>
        <w:tc>
          <w:tcPr>
            <w:tcW w:w="470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6"/>
        </w:trPr>
        <w:tc>
          <w:tcPr>
            <w:tcW w:w="4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June 30, 2026 and each Fiscal Quarter ending</w:t>
            </w:r>
          </w:p>
        </w:tc>
        <w:tc>
          <w:tcPr>
            <w:tcW w:w="470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4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thereafter</w:t>
            </w:r>
          </w:p>
        </w:tc>
        <w:tc>
          <w:tcPr>
            <w:tcW w:w="470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Borrower shall repay in full the unpaid principal amount of the Loans on the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any time prior to the Maturity Date, payments and prepayments of the Loans shall also be made as set forth below:</w:t>
      </w:r>
    </w:p>
    <w:p>
      <w:pPr>
        <w:spacing w:after="0" w:line="171" w:lineRule="exact"/>
        <w:rPr>
          <w:sz w:val="20"/>
          <w:szCs w:val="20"/>
          <w:color w:val="auto"/>
        </w:rPr>
      </w:pPr>
    </w:p>
    <w:p>
      <w:pPr>
        <w:jc w:val="both"/>
        <w:ind w:left="660" w:firstLine="644"/>
        <w:spacing w:after="0" w:line="250" w:lineRule="auto"/>
        <w:tabs>
          <w:tab w:leader="none" w:pos="1801"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the right, with at least three Business Days’ notice to the Administrative Agent, at any time and from time to time to prepay any unpaid principal amount of the Loans, in whole or in part, together with the applicable Repayment Premium and the Exit Fee;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notice may state that it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w:t>
      </w:r>
    </w:p>
    <w:p>
      <w:pPr>
        <w:spacing w:after="0" w:line="18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three Business Days of receipt by the Borrower or any Subsidiary of any (i) Net Casualty Proceeds or</w:t>
      </w:r>
    </w:p>
    <w:p>
      <w:pPr>
        <w:spacing w:after="0" w:line="39" w:lineRule="exact"/>
        <w:rPr>
          <w:rFonts w:ascii="Times New Roman" w:cs="Times New Roman" w:eastAsia="Times New Roman" w:hAnsi="Times New Roman"/>
          <w:sz w:val="21"/>
          <w:szCs w:val="21"/>
          <w:color w:val="auto"/>
        </w:rPr>
      </w:pPr>
    </w:p>
    <w:p>
      <w:pPr>
        <w:ind w:left="660" w:right="20" w:hanging="4"/>
        <w:spacing w:after="0" w:line="248" w:lineRule="auto"/>
        <w:tabs>
          <w:tab w:leader="none" w:pos="98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Asset Sales Proceeds, the Borrower shall notify the Administrative Agent and the Lenders thereof. If requested by the Lenders, the Borrower shall within three Business Days of such request make a mandatory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70" w:name="page171"/>
    <w:bookmarkEnd w:id="170"/>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xml:space="preserve">prepayment of the Loans, in an amount equal to 100% of such proceeds (or such lesser amount as the Lenders may specify on the date of such request), together with the applicable Repayment Premium and the Exit Fee, to be applied as set forth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left="660" w:firstLine="644"/>
        <w:spacing w:after="0" w:line="252" w:lineRule="auto"/>
        <w:tabs>
          <w:tab w:leader="none" w:pos="180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repay the Loans in full immediately upon any acceleration of the Maturity Date thereof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unless,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only a portion of the Loans is so accelerated (in which case the portion so accelerated shall be so repaid), in each case together with the applicable Repayment Premium and the Exit Fee.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Amounts repaid or prepaid in respect of the outstanding principal amount of the Loans pursuant to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shall be applied in the inverse order of maturity and pro rata to the Initial Loan, the First Delayed Draw Loan and the Second Delayed Draw Loan.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63" w:lineRule="auto"/>
        <w:tabs>
          <w:tab w:leader="none" w:pos="1797"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each Interest Period, interest payable in cash by the Borrower shall accrue on the Loans during such Interest Period at a rate per annum equal to the higher of (x) the SOFR Rate for such Interest Period and (y) 4.00%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in either case, the Applicable Margin;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notwithstanding anything herein to the contrary, during each Interest Period until the first full Interest Period following the 15-month anniversary of the Closing Date, 3.50% of the rate per annum applicable pursuant to this clause (a) shall be designated as paid-in-kind interest, which shall be added to the outstanding principal amount of the Loans on the last day of the applicable Interest Period (such capitalized interest, “</w:t>
      </w:r>
      <w:r>
        <w:rPr>
          <w:rFonts w:ascii="Times New Roman" w:cs="Times New Roman" w:eastAsia="Times New Roman" w:hAnsi="Times New Roman"/>
          <w:sz w:val="21"/>
          <w:szCs w:val="21"/>
          <w:u w:val="single" w:color="auto"/>
          <w:color w:val="auto"/>
        </w:rPr>
        <w:t>PIK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notwithstanding the preceding proviso, the Borrower may, upon written notice delivered to the Lender no later than ten Business Days prior to the last day of any applicable Interest Period, elect with respect to such Interest Period to pay all interest in cash, or to pay a percentage less than 3.50% as PIK Interest.</w:t>
      </w:r>
    </w:p>
    <w:p>
      <w:pPr>
        <w:spacing w:after="0" w:line="169" w:lineRule="exact"/>
        <w:rPr>
          <w:rFonts w:ascii="Times New Roman" w:cs="Times New Roman" w:eastAsia="Times New Roman" w:hAnsi="Times New Roman"/>
          <w:sz w:val="21"/>
          <w:szCs w:val="21"/>
          <w:color w:val="auto"/>
        </w:rPr>
      </w:pPr>
    </w:p>
    <w:p>
      <w:pPr>
        <w:ind w:left="660" w:right="20" w:firstLine="644"/>
        <w:spacing w:after="0" w:line="271" w:lineRule="auto"/>
        <w:tabs>
          <w:tab w:leader="none" w:pos="191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rate shall be recalculated and, if necessary, adjusted for each Interest Period, in each case pursuant to the terms hereof.</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At all times on and after the date any Event of Default occurs, until such Event of Default is no longer continuing, the Applicable Margin shall be increased by 4.00 % per annum.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 Interest accrued on the Loans shall be payable in cash, without duplication:</w:t>
      </w:r>
    </w:p>
    <w:p>
      <w:pPr>
        <w:spacing w:after="0" w:line="220" w:lineRule="exact"/>
        <w:rPr>
          <w:sz w:val="20"/>
          <w:szCs w:val="20"/>
          <w:color w:val="auto"/>
        </w:rPr>
      </w:pPr>
    </w:p>
    <w:p>
      <w:pPr>
        <w:ind w:left="1760" w:hanging="456"/>
        <w:spacing w:after="0"/>
        <w:tabs>
          <w:tab w:leader="none" w:pos="17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Maturity Date therefor;</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9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any payment or prepayment, in whole or in part, of principal outstanding on such Loan on the principal amount so paid or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71" w:name="page172"/>
    <w:bookmarkEnd w:id="171"/>
    <w:p>
      <w:pPr>
        <w:ind w:left="660" w:firstLine="644"/>
        <w:spacing w:after="0" w:line="271" w:lineRule="auto"/>
        <w:tabs>
          <w:tab w:leader="none" w:pos="185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with respect to PIK Interest, on the last day of each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day is not a Business Day, then such payment shall be made on the next succeeding Business Day;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that portion of the Loans that is accelerated pursuant to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immediately upon such</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acceleration.</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Interest accrued on the Loans or other monetary Obligations after the date such amount is due and payable (whether on the Maturity Date, upon acceleration or otherwise) shall be payable upon demand.</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Repayment Premium</w:t>
      </w:r>
      <w:r>
        <w:rPr>
          <w:rFonts w:ascii="Times New Roman" w:cs="Times New Roman" w:eastAsia="Times New Roman" w:hAnsi="Times New Roman"/>
          <w:sz w:val="22"/>
          <w:szCs w:val="22"/>
          <w:color w:val="auto"/>
        </w:rPr>
        <w:t xml:space="preserve">. Any repayment or prepayment of principal of all or any portion of any Loans pursuant to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9.2, Section 9.3</w:t>
      </w:r>
      <w:r>
        <w:rPr>
          <w:rFonts w:ascii="Times New Roman" w:cs="Times New Roman" w:eastAsia="Times New Roman" w:hAnsi="Times New Roman"/>
          <w:sz w:val="22"/>
          <w:szCs w:val="22"/>
          <w:color w:val="auto"/>
        </w:rPr>
        <w:t xml:space="preserve"> or otherwise (other than any repayments of principal made on the Maturity Date), shall be accompanied by the payment of the applicable Repayment Premium.</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Exit Fee</w:t>
      </w:r>
      <w:r>
        <w:rPr>
          <w:rFonts w:ascii="Times New Roman" w:cs="Times New Roman" w:eastAsia="Times New Roman" w:hAnsi="Times New Roman"/>
          <w:sz w:val="22"/>
          <w:szCs w:val="22"/>
          <w:color w:val="auto"/>
        </w:rPr>
        <w:t xml:space="preserve">. Upon the prepayment or repayment of principal of all or any portion of any Loans (or upon the date any such prepayment or repayment is required to be paid), whether on the Maturity Date, or pursuant to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or otherwise, the Borrower shall pay to the Administrative Agent for the account of each Lender, in cash, on the date on which such prepayment or repayment is paid or required to be paid, as the case may be, in addition to the other Obligations (including the Repayment Premium, if any) so prepaid, repaid or required to be prepaid or repaid, a fee (the “</w:t>
      </w:r>
      <w:r>
        <w:rPr>
          <w:rFonts w:ascii="Times New Roman" w:cs="Times New Roman" w:eastAsia="Times New Roman" w:hAnsi="Times New Roman"/>
          <w:sz w:val="22"/>
          <w:szCs w:val="22"/>
          <w:u w:val="single" w:color="auto"/>
          <w:color w:val="auto"/>
        </w:rPr>
        <w:t>Exit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Fee</w:t>
      </w:r>
      <w:r>
        <w:rPr>
          <w:rFonts w:ascii="Times New Roman" w:cs="Times New Roman" w:eastAsia="Times New Roman" w:hAnsi="Times New Roman"/>
          <w:sz w:val="22"/>
          <w:szCs w:val="22"/>
          <w:color w:val="auto"/>
        </w:rPr>
        <w:t>”) in an amount equal to four percent (4.00%) of the principal amount of the Loans prepaid, repaid or required to be prepaid or repaid, as the case may be, on such date.</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3.9 </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The Borrower agrees that (a) on the Closing Date, the Borrower shall pay a commitment fee (the “</w:t>
      </w:r>
      <w:r>
        <w:rPr>
          <w:rFonts w:ascii="Times New Roman" w:cs="Times New Roman" w:eastAsia="Times New Roman" w:hAnsi="Times New Roman"/>
          <w:sz w:val="22"/>
          <w:szCs w:val="22"/>
          <w:u w:val="single" w:color="auto"/>
          <w:color w:val="auto"/>
        </w:rPr>
        <w:t>Initial Commitment Fee</w:t>
      </w:r>
      <w:r>
        <w:rPr>
          <w:rFonts w:ascii="Times New Roman" w:cs="Times New Roman" w:eastAsia="Times New Roman" w:hAnsi="Times New Roman"/>
          <w:sz w:val="22"/>
          <w:szCs w:val="22"/>
          <w:color w:val="auto"/>
        </w:rPr>
        <w:t>”) to the Initial Lender, for its own account, in an aggregate amount equal to two percent (2.00%) of the Initial Commitment Amount (before giving effect to the funding of the Initial Loan), (b) on the First Delayed Draw Closing Date, the Borrower shall pay a commitment fee (the “</w:t>
      </w:r>
      <w:r>
        <w:rPr>
          <w:rFonts w:ascii="Times New Roman" w:cs="Times New Roman" w:eastAsia="Times New Roman" w:hAnsi="Times New Roman"/>
          <w:sz w:val="22"/>
          <w:szCs w:val="22"/>
          <w:u w:val="single" w:color="auto"/>
          <w:color w:val="auto"/>
        </w:rPr>
        <w:t>First Delayed Draw Commitment Fee</w:t>
      </w:r>
      <w:r>
        <w:rPr>
          <w:rFonts w:ascii="Times New Roman" w:cs="Times New Roman" w:eastAsia="Times New Roman" w:hAnsi="Times New Roman"/>
          <w:sz w:val="22"/>
          <w:szCs w:val="22"/>
          <w:color w:val="auto"/>
        </w:rPr>
        <w:t>”) to the Lenders advancing the First Delayed Draw Loan, for their own account, in an aggregate amount equal to two percent (2.00%) of the First Delayed Draw Commitment Amount (before giving effect to the funding of the First Delayed Draw Loan) and (c) on the Second Delayed Draw Closing Date, the Borrower shall pay a commitment fee (the “</w:t>
      </w:r>
      <w:r>
        <w:rPr>
          <w:rFonts w:ascii="Times New Roman" w:cs="Times New Roman" w:eastAsia="Times New Roman" w:hAnsi="Times New Roman"/>
          <w:sz w:val="22"/>
          <w:szCs w:val="22"/>
          <w:u w:val="single" w:color="auto"/>
          <w:color w:val="auto"/>
        </w:rPr>
        <w:t>Second Delayed Draw Commitment Fee</w:t>
      </w:r>
      <w:r>
        <w:rPr>
          <w:rFonts w:ascii="Times New Roman" w:cs="Times New Roman" w:eastAsia="Times New Roman" w:hAnsi="Times New Roman"/>
          <w:sz w:val="22"/>
          <w:szCs w:val="22"/>
          <w:color w:val="auto"/>
        </w:rPr>
        <w:t>” and, together with the Initial Commitment Fee and First Delayed Draw Commitment Fee, the “</w:t>
      </w:r>
      <w:r>
        <w:rPr>
          <w:rFonts w:ascii="Times New Roman" w:cs="Times New Roman" w:eastAsia="Times New Roman" w:hAnsi="Times New Roman"/>
          <w:sz w:val="22"/>
          <w:szCs w:val="22"/>
          <w:u w:val="single" w:color="auto"/>
          <w:color w:val="auto"/>
        </w:rPr>
        <w:t>Commitment Fees</w:t>
      </w:r>
      <w:r>
        <w:rPr>
          <w:rFonts w:ascii="Times New Roman" w:cs="Times New Roman" w:eastAsia="Times New Roman" w:hAnsi="Times New Roman"/>
          <w:sz w:val="22"/>
          <w:szCs w:val="22"/>
          <w:color w:val="auto"/>
        </w:rPr>
        <w:t>”) to the Lenders advancing the Second Delayed Draw Loan, for their own account, in an aggregate amount equal to two percent (2.00%) of the Second Delayed Draw Commitment Amount (before giving effect to the funding of the Second Delayed Draw Loan). The Commitment Fees shall be payable in cash, fully earned and nonrefundable under any circumstances and in addition to, and not creditable against, any other fee, cost or expense payable under the Investment Documents.</w:t>
      </w:r>
    </w:p>
    <w:p>
      <w:pPr>
        <w:spacing w:after="0" w:line="1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Undrawn Fee</w:t>
      </w:r>
      <w:r>
        <w:rPr>
          <w:rFonts w:ascii="Times New Roman" w:cs="Times New Roman" w:eastAsia="Times New Roman" w:hAnsi="Times New Roman"/>
          <w:sz w:val="22"/>
          <w:szCs w:val="22"/>
          <w:color w:val="auto"/>
        </w:rPr>
        <w:t>. The Borrower shall pay to the Administrative Agent for the account of each Lender, in cash, a fee (the “</w:t>
      </w:r>
      <w:r>
        <w:rPr>
          <w:rFonts w:ascii="Times New Roman" w:cs="Times New Roman" w:eastAsia="Times New Roman" w:hAnsi="Times New Roman"/>
          <w:sz w:val="22"/>
          <w:szCs w:val="22"/>
          <w:u w:val="single" w:color="auto"/>
          <w:color w:val="auto"/>
        </w:rPr>
        <w:t>Undrawn Fee</w:t>
      </w:r>
      <w:r>
        <w:rPr>
          <w:rFonts w:ascii="Times New Roman" w:cs="Times New Roman" w:eastAsia="Times New Roman" w:hAnsi="Times New Roman"/>
          <w:sz w:val="22"/>
          <w:szCs w:val="22"/>
          <w:color w:val="auto"/>
        </w:rPr>
        <w:t xml:space="preserve">”) in an amount equal to (x) [***]% per annum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(y) the sum of (i) prior to the First Delayed Draw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72" w:name="page173"/>
    <w:bookmarkEnd w:id="172"/>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Termination Date, the undrawn First Delayed Draw Commitment Amount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prior to the Second Delayed Draw Commitment Termination Date, the undrawn Second Delayed Draw Commitment Amount, which Undrawn Fee shall be payable on the last day of each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day is not a Business Day, then such Undrawn Fee shall be made on the next succeeding Business Day) until the Second Delayed Draw Commitment Termination Date (and if the First Delayed Draw Commitment Termination Date or the Second Delayed Draw Commitment Termination Date occurs on a date that is not the last day of a month, the amount of the fee for the corresponding month shall be a prorated amount for the portion of such month ending on the First Delayed Draw Commitment Termination Date or the Second Delayed Draw Commitment Termination Date, as applicable, and shall be paid on such date). For purposes of this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the Undrawn Fee shall be calculated on a daily basis. The Undrawn Fee shall be fully earned and nonrefundable under any circumstances and in addition to, and not creditable against, any other fee, cost or expense payable under the Investment Documents.</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Administration Fee</w:t>
      </w:r>
      <w:r>
        <w:rPr>
          <w:rFonts w:ascii="Times New Roman" w:cs="Times New Roman" w:eastAsia="Times New Roman" w:hAnsi="Times New Roman"/>
          <w:sz w:val="21"/>
          <w:szCs w:val="21"/>
          <w:color w:val="auto"/>
        </w:rPr>
        <w:t>. The Borrower will pay to the Administrative Agent for its own account a quarterly loan administration fee of $10,000 (the “</w:t>
      </w:r>
      <w:r>
        <w:rPr>
          <w:rFonts w:ascii="Times New Roman" w:cs="Times New Roman" w:eastAsia="Times New Roman" w:hAnsi="Times New Roman"/>
          <w:sz w:val="21"/>
          <w:szCs w:val="21"/>
          <w:u w:val="single" w:color="auto"/>
          <w:color w:val="auto"/>
        </w:rPr>
        <w:t>Administration Fee</w:t>
      </w:r>
      <w:r>
        <w:rPr>
          <w:rFonts w:ascii="Times New Roman" w:cs="Times New Roman" w:eastAsia="Times New Roman" w:hAnsi="Times New Roman"/>
          <w:sz w:val="21"/>
          <w:szCs w:val="21"/>
          <w:color w:val="auto"/>
        </w:rPr>
        <w:t xml:space="preserve">”) payable in advance, with the first payment due and payable upon the Closing Date prorated with respect to the Fiscal Quarter in which the Closing Date occurs and successive payments due and payable on the last day of each Fiscal Quarter (including the Fiscal Quarter in which the Closing Date occurs) for the succeeding Fiscal Quarter;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day is not a Business Day, then such payment shall be made on the next succeeding Business Day. Upon payment thereof, the Administration Fee shall be fully earned and nonrefundable under any circumstances, and in addition to, and not creditable against, any other fee, cost or expense payable under the Investment Documents.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SOFR RATE AND OTHER PROVISIONS</w:t>
      </w:r>
    </w:p>
    <w:p>
      <w:pPr>
        <w:spacing w:after="0" w:line="20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Increased Costs, Etc</w:t>
      </w:r>
      <w:r>
        <w:rPr>
          <w:rFonts w:ascii="Times New Roman" w:cs="Times New Roman" w:eastAsia="Times New Roman" w:hAnsi="Times New Roman"/>
          <w:sz w:val="22"/>
          <w:szCs w:val="22"/>
          <w:color w:val="auto"/>
        </w:rPr>
        <w:t xml:space="preserve">. The Borrower agrees to reimburse the Lenders for any increase in the cost to the Lenders of, or any reduction in the amount of any sum receivable by the Lenders in respect of, the Lenders’ Commitments and the making, continuation or maintaining of the Loans hereunder that may arise in connection with any Change in Law, except for such changes with respect to increased capital costs and Taxes which are governed by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respectively. The Administrative Agent shall notify the Borrower in writing of the occurrence of any such event, stating the reasons therefor and the additional amount required fully to compensate the Lenders for such increased cost or reduced amount. Such additional amounts shall be payable by the Borrower directly to the Administrative Agent for the accounts of the Lenders within five days of its receipt of such notice, and such notice shall, in the absence of manifest error, be conclusive and binding on the Borrower. The Borrower shall not be required to compensate the Lender pursuant to this Section for any increased costs or reductions incurred more than 180 days prior to the date that such Lender notifies the Borrower of the Change in Law giving rise to such increased costs or reductions and of such Lender’s intention to claim compensation thereof; provided further that, if the Change in Law giving rise to such increased costs or reductions is retroactive, then the 180 day period referred to above shall be extended to include the period of retroactive effect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73" w:name="page174"/>
    <w:bookmarkEnd w:id="173"/>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Increased Capital Costs</w:t>
      </w:r>
      <w:r>
        <w:rPr>
          <w:rFonts w:ascii="Times New Roman" w:cs="Times New Roman" w:eastAsia="Times New Roman" w:hAnsi="Times New Roman"/>
          <w:sz w:val="22"/>
          <w:szCs w:val="22"/>
          <w:color w:val="auto"/>
        </w:rPr>
        <w:t>. If any Change in Law affects or would affect the amount of capital required or expected to be maintained by any Lender or any Person controlling such Lender, and such Lender determines (in good faith but in its sole and absolute discretion) that the rate of return on its or such controlling Person’s capital as a consequence of the Commitments or the Loans made by it hereunder is reduced to a level below that which such Lender or such controlling Person could have achieved but for the occurrence of any such circumstance, then upon notice from time to time by such Lender to the Borrower, the Borrower shall within five days following receipt of such notice pay directly to the Administrative Agent for the account of such Lender additional amounts sufficient to compensate such Lender or such controlling Person for such reduction in rate of return. A statement of such Lender as to any such additional amount or amounts shall, in the absence of manifest error, be conclusive and binding on the Borrower. In determining such amount, such Lender may use any method of averaging and attribution that it (in its sole and absolute discretion) shall deem applicable.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53" w:lineRule="auto"/>
        <w:tabs>
          <w:tab w:leader="none" w:pos="176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payments by the Parent, the Borrower or any of the Subsidiaries under any Loan Document shall be made without deduction or withholding for or on account of, any Taxes, except as required by applicable Law. In the event that any Taxes are required to be deducted or withheld by applicable Law (as determined in the good faith discretion of the Withholding Agent) from any payment required to be made by the Parent, the Borrower or any of the Subsidiaries to or on behalf of a Lender under any Loan Document, then:</w:t>
      </w:r>
    </w:p>
    <w:p>
      <w:pPr>
        <w:spacing w:after="0" w:line="178" w:lineRule="exact"/>
        <w:rPr>
          <w:rFonts w:ascii="Times New Roman" w:cs="Times New Roman" w:eastAsia="Times New Roman" w:hAnsi="Times New Roman"/>
          <w:sz w:val="22"/>
          <w:szCs w:val="22"/>
          <w:color w:val="auto"/>
        </w:rPr>
      </w:pPr>
    </w:p>
    <w:p>
      <w:pPr>
        <w:jc w:val="both"/>
        <w:ind w:left="1300" w:right="20" w:firstLine="652"/>
        <w:spacing w:after="0" w:line="256" w:lineRule="auto"/>
        <w:tabs>
          <w:tab w:leader="none" w:pos="2462"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Taxes are Non-Excluded Taxes, the amount of such payment shall be increased as may be necessary so that such payment is made, after withholding or deduction for or on account of such Taxes, in an amount such that the applicable recipient receives an amount equal to the sum it would have received had no such withholding been made; and</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65"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Withholding Agent of such payment shall be entitled to make such withholding or deduction (as increased pursuant to </w:t>
      </w:r>
      <w:r>
        <w:rPr>
          <w:rFonts w:ascii="Times New Roman" w:cs="Times New Roman" w:eastAsia="Times New Roman" w:hAnsi="Times New Roman"/>
          <w:sz w:val="22"/>
          <w:szCs w:val="22"/>
          <w:u w:val="single" w:color="auto"/>
          <w:color w:val="auto"/>
        </w:rPr>
        <w:t>clause (a)(i)</w:t>
      </w:r>
      <w:r>
        <w:rPr>
          <w:rFonts w:ascii="Times New Roman" w:cs="Times New Roman" w:eastAsia="Times New Roman" w:hAnsi="Times New Roman"/>
          <w:sz w:val="22"/>
          <w:szCs w:val="22"/>
          <w:color w:val="auto"/>
        </w:rPr>
        <w:t>) and shall pay such amount to the Governmental Authority imposing such Taxes in accordance with applicable Law.</w:t>
      </w:r>
    </w:p>
    <w:p>
      <w:pPr>
        <w:spacing w:after="0" w:line="172" w:lineRule="exact"/>
        <w:rPr>
          <w:rFonts w:ascii="Times New Roman" w:cs="Times New Roman" w:eastAsia="Times New Roman" w:hAnsi="Times New Roman"/>
          <w:sz w:val="22"/>
          <w:szCs w:val="22"/>
          <w:color w:val="auto"/>
        </w:rPr>
      </w:pPr>
    </w:p>
    <w:p>
      <w:pPr>
        <w:ind w:left="660" w:firstLine="644"/>
        <w:spacing w:after="0" w:line="284" w:lineRule="auto"/>
        <w:tabs>
          <w:tab w:leader="none" w:pos="195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Borrower shall pay all Other Taxes imposed to the relevant Governmental Authority imposing such Other Taxes in accordance with applicable Law.</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6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promptly as practicable after the payment of any Taxes required to be paid by the Borrower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the Borrower shall furnish to the Administrative Agent a copy of an official receipt (or a certified copy thereof) evidencing the payment of such Taxes, a copy of the return reporting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74" w:name="page175"/>
    <w:bookmarkEnd w:id="174"/>
    <w:p>
      <w:pPr>
        <w:jc w:val="both"/>
        <w:ind w:left="-460" w:firstLine="644"/>
        <w:spacing w:after="0" w:line="260" w:lineRule="auto"/>
        <w:tabs>
          <w:tab w:leader="none" w:pos="71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indemnify the Administrative Agent or each Lender, as the case may be, for any Non-Excluded Taxes (including Non-Excluded Taxes imposed or asserted on or attributable to amounts payable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4.3(a)(i)</w:t>
      </w:r>
      <w:r>
        <w:rPr>
          <w:rFonts w:ascii="Times New Roman" w:cs="Times New Roman" w:eastAsia="Times New Roman" w:hAnsi="Times New Roman"/>
          <w:sz w:val="21"/>
          <w:szCs w:val="21"/>
          <w:color w:val="auto"/>
        </w:rPr>
        <w:t xml:space="preserve">) levied, imposed or assessed on the Administrative Agent or such Lender, or required to be withheld or deducted from a payment to the Administrative Agent or such Lender, as well as any reasonable expenses arising therefrom or with respect thereto, whether or not such Non-Excluded Taxes are correctly or legally asserted by the relevant Governmental Authority. The Borrower shall indemnify the Administrative Agent or each Lender for any incremental Taxes that may become payable by the Administrative Agent or such Lender as a result of any failure of the Borrower to pay any such Taxes when due to the appropriate Governmental Authority or to deliver to the Administrative Agent or such Lender, pursuant to clause (c), documentation evidencing the payment of Taxes. With respect to indemnification for Non-Excluded Taxes and Other Taxes actually paid by the Administrative Agent or a Lender or the indemnification provided in the immediately preceding sentence, such indemnification shall be made within 10 days after the date the Administrative Agent or such Lender makes written demand therefor. The Borrower acknowledges that any payment made to the Administrative Agent or a Lender in respect of the indemnification obligations of the Borrower provided in this clause shall constitute a payment in respect of which the provisions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and this clause shall apply.</w:t>
      </w:r>
    </w:p>
    <w:p>
      <w:pPr>
        <w:spacing w:after="0" w:line="185" w:lineRule="exact"/>
        <w:rPr>
          <w:rFonts w:ascii="Times New Roman" w:cs="Times New Roman" w:eastAsia="Times New Roman" w:hAnsi="Times New Roman"/>
          <w:sz w:val="21"/>
          <w:szCs w:val="21"/>
          <w:color w:val="auto"/>
        </w:rPr>
      </w:pPr>
    </w:p>
    <w:p>
      <w:pPr>
        <w:jc w:val="both"/>
        <w:ind w:left="-460" w:firstLine="644"/>
        <w:spacing w:after="0" w:line="252" w:lineRule="auto"/>
        <w:tabs>
          <w:tab w:leader="none" w:pos="79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are deemed to be made with original issue discount for U.S. federal income tax purposes. Requests for information regarding the issue price, amount of original issue discount, issue date and yield to maturity on the Loans shall be directed to the Borrower at: 2275 Half Day Road, Ste. 160, Bannockburn, IL 60015, Attn: Chief Financial Officer.</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48" w:lineRule="auto"/>
        <w:tabs>
          <w:tab w:leader="none" w:pos="69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Lenders and the Borrower agree that the Initial Loan is part of the investment units issued within the meaning of Section 1273(c)(2) of the Code, which also includes the Warrants. For all applicable income Tax purposes, the issue price of the investment units and the fair market value of the Warrants in connection with the Initial Loan of the Lenders shall be determined collectively by the Borrower and the Lenders, acting in good faith, at the time the Initial Loan is issued to the Borrower. The “issue price” for the interest in the Initial Loan of the Lenders issued pursuant to this Agreement (and any Note issued in connection therewith) shall equal (i) the issue price of the investment units (for the avoidance of doubt, adjusted for the payment of the Exit Fee and the Initial Commitment Fee to the Lenders), minus (ii) the fair market value of the Warrants issued in connection with the Lenders’ Initial Loan. The Lenders and the Borrower agree that the allocation determined pursuant to this </w:t>
      </w:r>
      <w:r>
        <w:rPr>
          <w:rFonts w:ascii="Times New Roman" w:cs="Times New Roman" w:eastAsia="Times New Roman" w:hAnsi="Times New Roman"/>
          <w:sz w:val="22"/>
          <w:szCs w:val="22"/>
          <w:u w:val="single" w:color="auto"/>
          <w:color w:val="auto"/>
        </w:rPr>
        <w:t>Section 4.3(f)</w:t>
      </w:r>
      <w:r>
        <w:rPr>
          <w:rFonts w:ascii="Times New Roman" w:cs="Times New Roman" w:eastAsia="Times New Roman" w:hAnsi="Times New Roman"/>
          <w:sz w:val="22"/>
          <w:szCs w:val="22"/>
          <w:color w:val="auto"/>
        </w:rPr>
        <w:t xml:space="preserve"> will be used for purposes of Section 1273(c)(2) of the Code. The Borrower and the Lenders agree to make any determinations under Treasury Regulations §1.1273-2(h)(2) consistent with the foregoing and to file all required tax returns consistently with the foregoing, as applicable, except as otherwise required by applicable Laws.</w:t>
      </w:r>
    </w:p>
    <w:p>
      <w:pPr>
        <w:spacing w:after="0" w:line="197" w:lineRule="exact"/>
        <w:rPr>
          <w:rFonts w:ascii="Times New Roman" w:cs="Times New Roman" w:eastAsia="Times New Roman" w:hAnsi="Times New Roman"/>
          <w:sz w:val="22"/>
          <w:szCs w:val="22"/>
          <w:color w:val="auto"/>
        </w:rPr>
      </w:pPr>
    </w:p>
    <w:p>
      <w:pPr>
        <w:ind w:left="-460" w:firstLine="644"/>
        <w:spacing w:after="0" w:line="271" w:lineRule="auto"/>
        <w:tabs>
          <w:tab w:leader="none" w:pos="81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that is entitled to an exemption from or reduction of withholding Tax with respect to payments made under any Loan Document shall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120"/>
          </w:cols>
          <w:pgMar w:left="1440" w:top="1422" w:right="339" w:bottom="1440" w:gutter="0" w:footer="0" w:header="0"/>
        </w:sectPr>
      </w:pPr>
    </w:p>
    <w:bookmarkStart w:id="175" w:name="page176"/>
    <w:bookmarkEnd w:id="175"/>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(g)(ii)(A), (ii)(B) and (ii)(D) of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9" w:lineRule="exact"/>
        <w:rPr>
          <w:sz w:val="20"/>
          <w:szCs w:val="20"/>
          <w:color w:val="auto"/>
        </w:rPr>
      </w:pPr>
    </w:p>
    <w:p>
      <w:pPr>
        <w:ind w:left="1760" w:hanging="468"/>
        <w:spacing w:after="0"/>
        <w:tabs>
          <w:tab w:leader="none" w:pos="1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19" w:lineRule="exact"/>
        <w:rPr>
          <w:rFonts w:ascii="Times New Roman" w:cs="Times New Roman" w:eastAsia="Times New Roman" w:hAnsi="Times New Roman"/>
          <w:sz w:val="22"/>
          <w:szCs w:val="22"/>
          <w:color w:val="auto"/>
        </w:rPr>
      </w:pPr>
    </w:p>
    <w:p>
      <w:pPr>
        <w:jc w:val="both"/>
        <w:ind w:left="2260" w:hanging="644"/>
        <w:spacing w:after="0" w:line="253" w:lineRule="auto"/>
        <w:tabs>
          <w:tab w:leader="none" w:pos="2233"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before about the date on which such Lender becomes a Lender under this Agreement (and from time to time thereafter upon the reasonable request of the Borrower or the Administrative Agent), executed copies of IRS Form W-9 (or any successor form) certifying that such Lender is exempt from U.S. federal backup withholding tax;</w:t>
      </w:r>
    </w:p>
    <w:p>
      <w:pPr>
        <w:spacing w:after="0" w:line="178" w:lineRule="exact"/>
        <w:rPr>
          <w:rFonts w:ascii="Times New Roman" w:cs="Times New Roman" w:eastAsia="Times New Roman" w:hAnsi="Times New Roman"/>
          <w:sz w:val="22"/>
          <w:szCs w:val="22"/>
          <w:color w:val="auto"/>
        </w:rPr>
      </w:pPr>
    </w:p>
    <w:p>
      <w:pPr>
        <w:ind w:left="2260" w:hanging="644"/>
        <w:spacing w:after="0" w:line="253" w:lineRule="auto"/>
        <w:tabs>
          <w:tab w:leader="none" w:pos="2145"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178" w:lineRule="exact"/>
        <w:rPr>
          <w:rFonts w:ascii="Times New Roman" w:cs="Times New Roman" w:eastAsia="Times New Roman" w:hAnsi="Times New Roman"/>
          <w:sz w:val="22"/>
          <w:szCs w:val="22"/>
          <w:color w:val="auto"/>
        </w:rPr>
      </w:pPr>
    </w:p>
    <w:p>
      <w:pPr>
        <w:ind w:left="2580" w:hanging="640"/>
        <w:spacing w:after="0" w:line="250" w:lineRule="auto"/>
        <w:tabs>
          <w:tab w:leader="none" w:pos="2485" w:val="left"/>
        </w:tabs>
        <w:numPr>
          <w:ilvl w:val="2"/>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copies of IRS Form W-8BEN or IRS Form W-8BEN-E (or any successor form) establishing an exemption from, or reduction of, U.S. federal withholding Tax pursuant to the “interest” article of such tax treaty and (y) with respect to any other applicable payments under any Loan Document, IRS Form W-8BEN or IRS Form W-8BEN-E (or any successor form) establishing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176" w:name="page177"/>
    <w:bookmarkEnd w:id="176"/>
    <w:p>
      <w:pPr>
        <w:ind w:left="2120" w:right="20"/>
        <w:spacing w:after="0" w:line="271" w:lineRule="auto"/>
        <w:rPr>
          <w:sz w:val="20"/>
          <w:szCs w:val="20"/>
          <w:color w:val="auto"/>
        </w:rPr>
      </w:pPr>
      <w:r>
        <w:rPr>
          <w:rFonts w:ascii="Times New Roman" w:cs="Times New Roman" w:eastAsia="Times New Roman" w:hAnsi="Times New Roman"/>
          <w:sz w:val="22"/>
          <w:szCs w:val="22"/>
          <w:color w:val="auto"/>
        </w:rPr>
        <w:t>exemption from, or reduction of, U.S. federal withholding Tax pursuant to the “business profits” or “other income” article of such tax treaty;</w:t>
      </w:r>
    </w:p>
    <w:p>
      <w:pPr>
        <w:spacing w:after="0" w:line="158" w:lineRule="exact"/>
        <w:rPr>
          <w:sz w:val="20"/>
          <w:szCs w:val="20"/>
          <w:color w:val="auto"/>
        </w:rPr>
      </w:pPr>
    </w:p>
    <w:p>
      <w:pPr>
        <w:ind w:left="1940" w:hanging="460"/>
        <w:spacing w:after="0"/>
        <w:tabs>
          <w:tab w:leader="none" w:pos="194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 or any successor form;</w:t>
      </w:r>
    </w:p>
    <w:p>
      <w:pPr>
        <w:spacing w:after="0" w:line="233" w:lineRule="exact"/>
        <w:rPr>
          <w:rFonts w:ascii="Times New Roman" w:cs="Times New Roman" w:eastAsia="Times New Roman" w:hAnsi="Times New Roman"/>
          <w:sz w:val="22"/>
          <w:szCs w:val="22"/>
          <w:color w:val="auto"/>
        </w:rPr>
      </w:pPr>
    </w:p>
    <w:p>
      <w:pPr>
        <w:jc w:val="right"/>
        <w:ind w:left="2120" w:hanging="640"/>
        <w:spacing w:after="0" w:line="262" w:lineRule="auto"/>
        <w:tabs>
          <w:tab w:leader="none" w:pos="200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(x) a certificate substantially in the form of Exhibit H-1 to the effect that such Foreign Lender is not a “bank” within the meaning of Section 881(c)</w:t>
      </w:r>
    </w:p>
    <w:p>
      <w:pPr>
        <w:spacing w:after="0" w:line="2" w:lineRule="exact"/>
        <w:rPr>
          <w:rFonts w:ascii="Times New Roman" w:cs="Times New Roman" w:eastAsia="Times New Roman" w:hAnsi="Times New Roman"/>
          <w:sz w:val="21"/>
          <w:szCs w:val="21"/>
          <w:color w:val="auto"/>
        </w:rPr>
      </w:pPr>
    </w:p>
    <w:p>
      <w:pPr>
        <w:jc w:val="both"/>
        <w:ind w:left="212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(3)(A) of the Code, a “10 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22"/>
          <w:szCs w:val="22"/>
          <w:u w:val="single" w:color="auto"/>
          <w:color w:val="auto"/>
        </w:rPr>
        <w:t>U.S. Tax 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and (y) executed copies of IRS Form W-8BEN or IRS Form W-8BEN-E (or any successor form); or</w:t>
      </w:r>
    </w:p>
    <w:p>
      <w:pPr>
        <w:spacing w:after="0" w:line="186" w:lineRule="exact"/>
        <w:rPr>
          <w:rFonts w:ascii="Times New Roman" w:cs="Times New Roman" w:eastAsia="Times New Roman" w:hAnsi="Times New Roman"/>
          <w:sz w:val="21"/>
          <w:szCs w:val="21"/>
          <w:color w:val="auto"/>
        </w:rPr>
      </w:pPr>
    </w:p>
    <w:p>
      <w:pPr>
        <w:ind w:left="2120" w:hanging="640"/>
        <w:spacing w:after="0" w:line="250" w:lineRule="auto"/>
        <w:tabs>
          <w:tab w:leader="none" w:pos="1997"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executed copies of IRS Form W-8IMY, accompanied by IRS Form W-8ECI, IRS Form W-8BEN, IRS Form W-8BEN-E (or, in each case, any successor form), a U.S. Tax Compliance Certificate substantially in the form of Exhibit H-2 or Exhibit H-3, IRS Form W-9 (or any successor form),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H-4 on behalf of each such direct and indirect partner;</w:t>
      </w:r>
    </w:p>
    <w:p>
      <w:pPr>
        <w:spacing w:after="0" w:line="179" w:lineRule="exact"/>
        <w:rPr>
          <w:rFonts w:ascii="Times New Roman" w:cs="Times New Roman" w:eastAsia="Times New Roman" w:hAnsi="Times New Roman"/>
          <w:sz w:val="22"/>
          <w:szCs w:val="22"/>
          <w:color w:val="auto"/>
        </w:rPr>
      </w:pPr>
    </w:p>
    <w:p>
      <w:pPr>
        <w:ind w:left="1800" w:hanging="644"/>
        <w:spacing w:after="0" w:line="250" w:lineRule="auto"/>
        <w:tabs>
          <w:tab w:leader="none" w:pos="168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120"/>
          </w:cols>
          <w:pgMar w:left="1440" w:top="1422" w:right="339" w:bottom="1440" w:gutter="0" w:footer="0" w:header="0"/>
        </w:sectPr>
      </w:pPr>
    </w:p>
    <w:bookmarkStart w:id="177" w:name="page178"/>
    <w:bookmarkEnd w:id="177"/>
    <w:p>
      <w:pPr>
        <w:ind w:left="2260"/>
        <w:spacing w:after="0" w:line="271" w:lineRule="auto"/>
        <w:rPr>
          <w:sz w:val="20"/>
          <w:szCs w:val="20"/>
          <w:color w:val="auto"/>
        </w:rPr>
      </w:pPr>
      <w:r>
        <w:rPr>
          <w:rFonts w:ascii="Times New Roman" w:cs="Times New Roman" w:eastAsia="Times New Roman" w:hAnsi="Times New Roman"/>
          <w:sz w:val="22"/>
          <w:szCs w:val="22"/>
          <w:color w:val="auto"/>
        </w:rPr>
        <w:t>may be prescribed by applicable law to permit the Borrower or the Administrative Agent to determine the withholding or deduction required to be made; and</w:t>
      </w:r>
    </w:p>
    <w:p>
      <w:pPr>
        <w:spacing w:after="0" w:line="158" w:lineRule="exact"/>
        <w:rPr>
          <w:sz w:val="20"/>
          <w:szCs w:val="20"/>
          <w:color w:val="auto"/>
        </w:rPr>
      </w:pPr>
    </w:p>
    <w:p>
      <w:pPr>
        <w:jc w:val="both"/>
        <w:ind w:left="2260" w:hanging="644"/>
        <w:spacing w:after="0" w:line="248" w:lineRule="auto"/>
        <w:tabs>
          <w:tab w:leader="none" w:pos="224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w:t>
      </w:r>
    </w:p>
    <w:p>
      <w:pPr>
        <w:spacing w:after="0" w:line="179" w:lineRule="exact"/>
        <w:rPr>
          <w:sz w:val="20"/>
          <w:szCs w:val="20"/>
          <w:color w:val="auto"/>
        </w:rPr>
      </w:pPr>
    </w:p>
    <w:p>
      <w:pPr>
        <w:jc w:val="both"/>
        <w:ind w:firstLine="644"/>
        <w:spacing w:after="0" w:line="248" w:lineRule="auto"/>
        <w:tabs>
          <w:tab w:leader="none" w:pos="12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2"/>
          <w:szCs w:val="22"/>
          <w:u w:val="single" w:color="auto"/>
          <w:color w:val="auto"/>
        </w:rPr>
        <w:t>Section 4.3(h)</w:t>
      </w:r>
      <w:r>
        <w:rPr>
          <w:rFonts w:ascii="Times New Roman" w:cs="Times New Roman" w:eastAsia="Times New Roman" w:hAnsi="Times New Roman"/>
          <w:sz w:val="22"/>
          <w:szCs w:val="22"/>
          <w:color w:val="auto"/>
        </w:rPr>
        <w:t xml:space="preserve"> (plus any penalties, interest or other charges imposed by the relevant Governmental Authority) in the event that such indemnified party is required to repay such refund to such Governmental Authority.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178" w:name="page179"/>
    <w:bookmarkEnd w:id="17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anything to the contrary in this </w:t>
      </w:r>
      <w:r>
        <w:rPr>
          <w:rFonts w:ascii="Times New Roman" w:cs="Times New Roman" w:eastAsia="Times New Roman" w:hAnsi="Times New Roman"/>
          <w:sz w:val="22"/>
          <w:szCs w:val="22"/>
          <w:u w:val="single" w:color="auto"/>
          <w:color w:val="auto"/>
        </w:rPr>
        <w:t>Section 4.3(h)</w:t>
      </w:r>
      <w:r>
        <w:rPr>
          <w:rFonts w:ascii="Times New Roman" w:cs="Times New Roman" w:eastAsia="Times New Roman" w:hAnsi="Times New Roman"/>
          <w:sz w:val="22"/>
          <w:szCs w:val="22"/>
          <w:color w:val="auto"/>
        </w:rPr>
        <w:t xml:space="preserve">, in no event will the indemnified party be required to pay any amount to an indemnifying party pursuant to this </w:t>
      </w:r>
      <w:r>
        <w:rPr>
          <w:rFonts w:ascii="Times New Roman" w:cs="Times New Roman" w:eastAsia="Times New Roman" w:hAnsi="Times New Roman"/>
          <w:sz w:val="22"/>
          <w:szCs w:val="22"/>
          <w:u w:val="single" w:color="auto"/>
          <w:color w:val="auto"/>
        </w:rPr>
        <w:t>Section 4.3(h)</w:t>
      </w:r>
      <w:r>
        <w:rPr>
          <w:rFonts w:ascii="Times New Roman" w:cs="Times New Roman" w:eastAsia="Times New Roman" w:hAnsi="Times New Roman"/>
          <w:sz w:val="22"/>
          <w:szCs w:val="22"/>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Payments, Computations; Proceeds of Collateral, Etc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4"/>
        <w:spacing w:after="0" w:line="248" w:lineRule="auto"/>
        <w:tabs>
          <w:tab w:leader="none" w:pos="117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expressly provided in a Loan Document, all payments by the Borrower pursuant to each Loan Document shall be made without setoff, deduction or counterclaim not later than 10:00 a.m. on the date due in same day or immediately available funds, marked for attention as indicated, or in such other manner or to such other account as the Administrative Agent may from time to time direct in writing. The Administrative Agent shall distribute any such payments received by it for the account of any other person to the appropriate Person promptly following receipt. Except as otherwise set forth herein, all repayments or prepayments of Loans and payment of fees and interest shall be made to the Lenders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in accordance with their respective Applicable Percentages. Funds received after 10:00 a.m. on any day shall be deemed to have been received on the next succeeding Business Day and any applicable interest or fee shall continue to accrue. All interest and fees shall be computed on the basis of the actual number of days occurring during the period for which such interest or fee is payable over a year comprised of 360 days. Payments due on other than a Business Day shall be made on the next succeeding Business Day and such extension of time shall be included in computing interest and fees in connection with that payment.</w:t>
      </w:r>
    </w:p>
    <w:p>
      <w:pPr>
        <w:spacing w:after="0" w:line="184" w:lineRule="exact"/>
        <w:rPr>
          <w:rFonts w:ascii="Times New Roman" w:cs="Times New Roman" w:eastAsia="Times New Roman" w:hAnsi="Times New Roman"/>
          <w:sz w:val="22"/>
          <w:szCs w:val="22"/>
          <w:color w:val="auto"/>
        </w:rPr>
      </w:pPr>
    </w:p>
    <w:p>
      <w:pPr>
        <w:jc w:val="both"/>
        <w:ind w:firstLine="644"/>
        <w:spacing w:after="0" w:line="257" w:lineRule="auto"/>
        <w:tabs>
          <w:tab w:leader="none" w:pos="11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received as a result of the exercise of remedies under the Loan Documents (including from the proceeds of collateral securing the Obligations) or under applicable Law shall be applied upon receipt to the Obligations in accordance with Section 9.4.</w:t>
      </w:r>
    </w:p>
    <w:p>
      <w:pPr>
        <w:spacing w:after="0" w:line="172" w:lineRule="exact"/>
        <w:rPr>
          <w:rFonts w:ascii="Times New Roman" w:cs="Times New Roman" w:eastAsia="Times New Roman" w:hAnsi="Times New Roman"/>
          <w:sz w:val="22"/>
          <w:szCs w:val="22"/>
          <w:color w:val="auto"/>
        </w:rPr>
      </w:pPr>
    </w:p>
    <w:p>
      <w:pPr>
        <w:jc w:val="both"/>
        <w:ind w:firstLine="644"/>
        <w:spacing w:after="0" w:line="253" w:lineRule="auto"/>
        <w:tabs>
          <w:tab w:leader="none" w:pos="113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the Lenders hereunder to make Loans and to make payments pursuant to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xml:space="preserve"> are several and not joint. The failure of any Lender to make any Loan or to make any payment under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44"/>
        <w:spacing w:after="0" w:line="263" w:lineRule="auto"/>
        <w:tabs>
          <w:tab w:leader="none" w:pos="118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179" w:name="page180"/>
    <w:bookmarkEnd w:id="179"/>
    <w:p>
      <w:pPr>
        <w:jc w:val="both"/>
        <w:ind w:left="660" w:firstLine="644"/>
        <w:spacing w:after="0" w:line="249" w:lineRule="auto"/>
        <w:tabs>
          <w:tab w:leader="none" w:pos="177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shall, by exercising any right of setoff or otherwise, obtain payment in respect of any principal of or interest on its portion of any of the Loans, any Exit Fee, the Commitment Fees, any Undrawn Fee or any Repayment Premium in connection therewith resulting in such Lender’s receiving payment of a proportion of the aggregate amount of the Loans and accrued interest thereon and any Exit Fee, the Commitment Fees, any Undrawn Fee or Repayment Premium in connection therewith greater than its Applicable Percentage thereof as provided herein, then such Lender shall (x) notify the Administrative Agent of such fact and (y) purchase (for cash at face value) participations in the portions of the Loans of the other Lenders, or make such other adjustments as shall be equitable, so that the benefit of all such payments shall be shared by the Lenders ratably in accordance with the aggregate amount of principal of, accrued interest on and any Exit Fee, the Commitment Fees, any Undrawn Fee or Repayment Premium in connection with their respective portions of the Loans and other amounts owing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3"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35"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28"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4.4(e)</w:t>
      </w:r>
      <w:r>
        <w:rPr>
          <w:rFonts w:ascii="Times New Roman" w:cs="Times New Roman" w:eastAsia="Times New Roman" w:hAnsi="Times New Roman"/>
          <w:sz w:val="22"/>
          <w:szCs w:val="22"/>
          <w:color w:val="auto"/>
        </w:rPr>
        <w:t xml:space="preserve"> shall not be construed to apply to (x) any payment made by or on behalf of the Borrower pursuant to and in accordance with the express terms of this Agreement or (y) any payment obtained by a Lender as consideration for the assignment of or sale of a participation in any of its portion of the Loans to any assignee or participant, other than an assignment to a Borrower or any Guarantor (as to which the provisions of this Section shall apply).</w:t>
      </w:r>
    </w:p>
    <w:p>
      <w:pPr>
        <w:spacing w:after="0" w:line="179"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The Borrower, on behalf of itself and the Guarantors, hereby consents to the foregoing and agrees, to the extent it may effectively do so under applicable Law, that any Lender acquiring a participation pursuant to the foregoing arrangements may exercise against the Borrower or such Guarantor rights of setoff and counterclaim with respect to such participation as fully as if such Lender were a direct creditor of the Borrower or such Guarantor in the amount of such participation.</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xml:space="preserve">. Each Lender shall, upon the occurrence and during the continuance of any Default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 xml:space="preserve"> or, upon the occurrence and during the continuance of any Event of Default, have the right to appropriate and apply to the payment of the Obligations owing to it (whether or not then due), and (as security for such Obligations) the Borrower hereby grants to each Lender a continuing security interest in, any and all balances, credits, deposits, accounts or moneys of the Borrower then or thereafter maintained with or on behalf of such Lender. Each Lender agrees promptly to notify the Borrower after any such appropriation and application made by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80" w:name="page181"/>
    <w:bookmarkEnd w:id="180"/>
    <w:p>
      <w:pPr>
        <w:spacing w:after="0" w:line="271" w:lineRule="auto"/>
        <w:rPr>
          <w:sz w:val="20"/>
          <w:szCs w:val="20"/>
          <w:color w:val="auto"/>
        </w:rPr>
      </w:pPr>
      <w:r>
        <w:rPr>
          <w:rFonts w:ascii="Times New Roman" w:cs="Times New Roman" w:eastAsia="Times New Roman" w:hAnsi="Times New Roman"/>
          <w:sz w:val="22"/>
          <w:szCs w:val="22"/>
          <w:color w:val="auto"/>
        </w:rPr>
        <w:t xml:space="preserve">of each Lender under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are in addition to other rights and remedies (including other rights of setoff under applicable Law or otherwise) which such Lender may have.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SOFR Rate Not Determinable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660" w:firstLine="644"/>
        <w:spacing w:after="0" w:line="248" w:lineRule="auto"/>
        <w:tabs>
          <w:tab w:leader="none" w:pos="177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prior to the commencement of any Interest Period for a Loan, the Administrative Agent determines (which determination shall be conclusive absent manifest error), or the Lenders notify the Administrative Agent that they have determined, that adequate and reasonable means do not exist for ascertaining the SOFR Rate for such Interest Period, then the Administrative Agent shall give notice thereof to the Borrower as promptly as practicable and, until the Administrative Agent notifies (if applicable, upon the instruction of the Lenders) the Borrower that the circumstances giving rise to such notice no longer exist, (i) the Loans shall bear interest calculated pursuant to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but using the Prime Rate instead of the SOFR Rate and (ii) the continuation of any outstanding Loan or the extension of a new Loan hereunder shall be made with interest calculated pursuant to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but using the Prime Rate instead of the SOFR Rate.</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785"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the Administrative Agent determines (which determination shall be conclusive absent manifest error), or the Lenders notify the Administrative Agent that they have determined, that (i) the circumstances set forth in </w:t>
      </w:r>
      <w:r>
        <w:rPr>
          <w:rFonts w:ascii="Times New Roman" w:cs="Times New Roman" w:eastAsia="Times New Roman" w:hAnsi="Times New Roman"/>
          <w:sz w:val="21"/>
          <w:szCs w:val="21"/>
          <w:u w:val="single" w:color="auto"/>
          <w:color w:val="auto"/>
        </w:rPr>
        <w:t>Section 4.6(a)</w:t>
      </w:r>
      <w:r>
        <w:rPr>
          <w:rFonts w:ascii="Times New Roman" w:cs="Times New Roman" w:eastAsia="Times New Roman" w:hAnsi="Times New Roman"/>
          <w:sz w:val="21"/>
          <w:szCs w:val="21"/>
          <w:color w:val="auto"/>
        </w:rPr>
        <w:t xml:space="preserve"> have arisen and such circumstances are unlikely to be temporary or (ii) the circumstances set forth in </w:t>
      </w:r>
      <w:r>
        <w:rPr>
          <w:rFonts w:ascii="Times New Roman" w:cs="Times New Roman" w:eastAsia="Times New Roman" w:hAnsi="Times New Roman"/>
          <w:sz w:val="21"/>
          <w:szCs w:val="21"/>
          <w:u w:val="single" w:color="auto"/>
          <w:color w:val="auto"/>
        </w:rPr>
        <w:t>Section 4.6(a)</w:t>
      </w:r>
      <w:r>
        <w:rPr>
          <w:rFonts w:ascii="Times New Roman" w:cs="Times New Roman" w:eastAsia="Times New Roman" w:hAnsi="Times New Roman"/>
          <w:sz w:val="21"/>
          <w:szCs w:val="21"/>
          <w:color w:val="auto"/>
        </w:rPr>
        <w:t xml:space="preserve"> have not arisen but the supervisor for the administrator of the SOFR Rate has made a public statement identifying a specific date after which the SOFR Rate shall no longer be used for determining interest rates for loans, then the Administrative Agent (at the direction of the Lenders) shall establish an alternate rate of interest to that based on the SOFR Rate that gives due consideration to the then-prevailing market convention for determining a rate of interest for loans in the United States at such time, and the Lenders and the Borrower shall enter into an amendment to this Agreement to reflect such alternate rate of interest and such other related changes as the Lenders may determine to be appropriate. Until an alternate rate of interest shall be determined in accordance with this </w:t>
      </w:r>
      <w:r>
        <w:rPr>
          <w:rFonts w:ascii="Times New Roman" w:cs="Times New Roman" w:eastAsia="Times New Roman" w:hAnsi="Times New Roman"/>
          <w:sz w:val="21"/>
          <w:szCs w:val="21"/>
          <w:u w:val="single" w:color="auto"/>
          <w:color w:val="auto"/>
        </w:rPr>
        <w:t>Section 4.6(b)</w:t>
      </w:r>
      <w:r>
        <w:rPr>
          <w:rFonts w:ascii="Times New Roman" w:cs="Times New Roman" w:eastAsia="Times New Roman" w:hAnsi="Times New Roman"/>
          <w:sz w:val="21"/>
          <w:szCs w:val="21"/>
          <w:color w:val="auto"/>
        </w:rPr>
        <w:t xml:space="preserve"> (but, in the case of the circumstances described in clause (ii) of the first sentence of this </w:t>
      </w:r>
      <w:r>
        <w:rPr>
          <w:rFonts w:ascii="Times New Roman" w:cs="Times New Roman" w:eastAsia="Times New Roman" w:hAnsi="Times New Roman"/>
          <w:sz w:val="21"/>
          <w:szCs w:val="21"/>
          <w:u w:val="single" w:color="auto"/>
          <w:color w:val="auto"/>
        </w:rPr>
        <w:t>Section 4.6(b)</w:t>
      </w:r>
      <w:r>
        <w:rPr>
          <w:rFonts w:ascii="Times New Roman" w:cs="Times New Roman" w:eastAsia="Times New Roman" w:hAnsi="Times New Roman"/>
          <w:sz w:val="21"/>
          <w:szCs w:val="21"/>
          <w:color w:val="auto"/>
        </w:rPr>
        <w:t xml:space="preserve">, only to the extent the SOFR Rate for such Interest Period is not available or published at such time on a current basis), </w:t>
      </w:r>
      <w:r>
        <w:rPr>
          <w:rFonts w:ascii="Times New Roman" w:cs="Times New Roman" w:eastAsia="Times New Roman" w:hAnsi="Times New Roman"/>
          <w:sz w:val="21"/>
          <w:szCs w:val="21"/>
          <w:u w:val="single" w:color="auto"/>
          <w:color w:val="auto"/>
        </w:rPr>
        <w:t>Section 4.6(a)</w:t>
      </w:r>
      <w:r>
        <w:rPr>
          <w:rFonts w:ascii="Times New Roman" w:cs="Times New Roman" w:eastAsia="Times New Roman" w:hAnsi="Times New Roman"/>
          <w:sz w:val="21"/>
          <w:szCs w:val="21"/>
          <w:color w:val="auto"/>
        </w:rPr>
        <w:t xml:space="preserve"> shall be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TO MAKING THE LOANS</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Credit Extensions</w:t>
      </w:r>
      <w:r>
        <w:rPr>
          <w:rFonts w:ascii="Times New Roman" w:cs="Times New Roman" w:eastAsia="Times New Roman" w:hAnsi="Times New Roman"/>
          <w:sz w:val="22"/>
          <w:szCs w:val="22"/>
          <w:color w:val="auto"/>
        </w:rPr>
        <w:t xml:space="preserve">. The obligation of each Lender to make its portion of the Initial Loan shall be subject to the execution and delivery of this Agreement by the parties hereto, the delivery of a Loan Request as requested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the satisfaction of each of the conditions precedent set forth below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Sections 5.18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5.19</w:t>
      </w:r>
      <w:r>
        <w:rPr>
          <w:rFonts w:ascii="Times New Roman" w:cs="Times New Roman" w:eastAsia="Times New Roman" w:hAnsi="Times New Roman"/>
          <w:sz w:val="22"/>
          <w:szCs w:val="22"/>
          <w:color w:val="auto"/>
        </w:rPr>
        <w:t xml:space="preserve">). The obligation of each Lender to make its portion of the First Delayed Draw Loan shall be subject to the prior making of the Initial Loan, the delivery of a Loan Request as requested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and the satisfaction of each of the conditions precedent set forth below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81" w:name="page182"/>
    <w:bookmarkEnd w:id="181"/>
    <w:p>
      <w:pPr>
        <w:jc w:val="both"/>
        <w:ind w:right="20"/>
        <w:spacing w:after="0" w:line="256" w:lineRule="auto"/>
        <w:rPr>
          <w:sz w:val="20"/>
          <w:szCs w:val="20"/>
          <w:color w:val="auto"/>
        </w:rPr>
      </w:pPr>
      <w:r>
        <w:rPr>
          <w:rFonts w:ascii="Times New Roman" w:cs="Times New Roman" w:eastAsia="Times New Roman" w:hAnsi="Times New Roman"/>
          <w:sz w:val="22"/>
          <w:szCs w:val="22"/>
          <w:u w:val="single" w:color="auto"/>
          <w:color w:val="auto"/>
        </w:rPr>
        <w:t>Sections 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5.19(a)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5.20</w:t>
      </w:r>
      <w:r>
        <w:rPr>
          <w:rFonts w:ascii="Times New Roman" w:cs="Times New Roman" w:eastAsia="Times New Roman" w:hAnsi="Times New Roman"/>
          <w:sz w:val="22"/>
          <w:szCs w:val="22"/>
          <w:color w:val="auto"/>
        </w:rPr>
        <w:t xml:space="preserve">. The obligation of each Lender to make its portion of the Second Delayed Draw Loan shall be subject to the prior making of the Initial Loan and the First Delayed Draw Loan, the delivery of a Loan Request as requested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the satisfaction of each of the conditions precedent set forth below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5.18(b)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5.19(b)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5.20</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Secretary’s Certificate, Etc</w:t>
      </w:r>
      <w:r>
        <w:rPr>
          <w:rFonts w:ascii="Times New Roman" w:cs="Times New Roman" w:eastAsia="Times New Roman" w:hAnsi="Times New Roman"/>
          <w:sz w:val="22"/>
          <w:szCs w:val="22"/>
          <w:color w:val="auto"/>
        </w:rPr>
        <w:t>. The Administrative Agent and the Lenders shall have received from the Parent, the Borrower and each Subsidiary party to an Investment Document, (i) a copy of a good standing certificate, dated as of a date reasonably close to the Closing Date, for each such Person and (ii) a certificate, dated as of the Closing Date, duly executed and delivered by such Person’s Secretary or Assistant Secretary, managing member or general partner, or other Authorized Officer, as applicable, as to:</w:t>
      </w:r>
    </w:p>
    <w:p>
      <w:pPr>
        <w:spacing w:after="0" w:line="179" w:lineRule="exact"/>
        <w:rPr>
          <w:sz w:val="20"/>
          <w:szCs w:val="20"/>
          <w:color w:val="auto"/>
        </w:rPr>
      </w:pPr>
    </w:p>
    <w:p>
      <w:pPr>
        <w:jc w:val="both"/>
        <w:ind w:left="660" w:firstLine="644"/>
        <w:spacing w:after="0" w:line="250" w:lineRule="auto"/>
        <w:tabs>
          <w:tab w:leader="none" w:pos="193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of each such Person’s board of directors or a duly authorized committee thereof (or other managing body, in the case of a Person other than a corporation) and any other corporate resolutions required by applicable Law or pursuant to such Person’s Organic Documents, each of which shall be then in full force and effect authorizing the execution, delivery and performance of each Investment Document to be executed by such Person and the transactions contemplated hereby and thereby;</w:t>
      </w:r>
    </w:p>
    <w:p>
      <w:pPr>
        <w:spacing w:after="0" w:line="194" w:lineRule="exact"/>
        <w:rPr>
          <w:rFonts w:ascii="Times New Roman" w:cs="Times New Roman" w:eastAsia="Times New Roman" w:hAnsi="Times New Roman"/>
          <w:sz w:val="22"/>
          <w:szCs w:val="22"/>
          <w:color w:val="auto"/>
        </w:rPr>
      </w:pPr>
    </w:p>
    <w:p>
      <w:pPr>
        <w:ind w:left="660" w:firstLine="644"/>
        <w:spacing w:after="0" w:line="271" w:lineRule="auto"/>
        <w:tabs>
          <w:tab w:leader="none" w:pos="184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incumbency and signatures of those of its officers, managers, managing member or general partner, as applicable, authorized to act with respect to each Investment Document to be executed by such Person; and</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force and validity of each Organic Document of such Person and copies thereof;</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upon which certificates the Administrative Agent and each Lender may conclusively rely until it shall have received a further certificate of the Secretary, Assistant Secretary, managing member or general partner, as applicable, of any such Person canceling or amending the prior certificate of such Person.</w:t>
      </w:r>
    </w:p>
    <w:p>
      <w:pPr>
        <w:spacing w:after="0" w:line="16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Closing Date Certificates</w:t>
      </w:r>
      <w:r>
        <w:rPr>
          <w:rFonts w:ascii="Times New Roman" w:cs="Times New Roman" w:eastAsia="Times New Roman" w:hAnsi="Times New Roman"/>
          <w:sz w:val="22"/>
          <w:szCs w:val="22"/>
          <w:color w:val="auto"/>
        </w:rPr>
        <w:t>. The Administrative Agent and each Lender shall have received a Closing Date Certificate, dated as of the Closing Date, the First Delayed Draw Closing Date or the Second Delayed Draw Closing Date, as the case may be, and duly executed and delivered by an Authorized Officer of the Parent and the Borrower, in which certificate the Parent and the Borrower shall certify that (i) the representations and warranties set forth in each Loan Document shall, in each case, be true and correct in all material respects (except with respect to any representation or warranty qualified by materiality or Material Adverse Effect, each of which representation or warranty shall be true and correct in all respects) as of such date (except to the extent that they relate specifically to an earlier specified date, in which case they shall be true and correct in all material respects (except with respect to any representation or warranty qualified by materiality or Material Adverse Effect, each of which representation or warranty shall be true and correct in all respects) on and as of such earlier date), (ii) no Default shall have then occurred and be continuing, or would result from the Loans to be advanced on the Closing Date, the First Delayed Draw Closing Date or the Second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82" w:name="page183"/>
    <w:bookmarkEnd w:id="182"/>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Draw Closing Date, as the case may be, and (iii) all of the conditions set forth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required to be satisfied as of such date have been satisfied.</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Payment of Outstanding Indebtedness, Etc</w:t>
      </w:r>
      <w:r>
        <w:rPr>
          <w:rFonts w:ascii="Times New Roman" w:cs="Times New Roman" w:eastAsia="Times New Roman" w:hAnsi="Times New Roman"/>
          <w:sz w:val="22"/>
          <w:szCs w:val="22"/>
          <w:color w:val="auto"/>
        </w:rPr>
        <w:t xml:space="preserve">. All Indebtedness identified in </w:t>
      </w:r>
      <w:r>
        <w:rPr>
          <w:rFonts w:ascii="Times New Roman" w:cs="Times New Roman" w:eastAsia="Times New Roman" w:hAnsi="Times New Roman"/>
          <w:sz w:val="22"/>
          <w:szCs w:val="22"/>
          <w:u w:val="single" w:color="auto"/>
          <w:color w:val="auto"/>
        </w:rPr>
        <w:t>Schedule 8.2(a)</w:t>
      </w:r>
      <w:r>
        <w:rPr>
          <w:rFonts w:ascii="Times New Roman" w:cs="Times New Roman" w:eastAsia="Times New Roman" w:hAnsi="Times New Roman"/>
          <w:sz w:val="22"/>
          <w:szCs w:val="22"/>
          <w:color w:val="auto"/>
        </w:rPr>
        <w:t xml:space="preserve"> of the Disclosure Letter, together with all interest, all prepayment premiums and all other amounts due and payable with respect thereto, shall have been paid in full from the proceeds of the Initial Loan and the commitments in respect of such Indebtedness shall have been terminated, and all Liens securing payment of any such Indebtedness shall have been released and the Administrative Agent shall have received all UCC Form UCC-3 termination statements or other instruments (including customary payoff letters) as may be suitable or appropriate in connection therewith.</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Delivery of Note</w:t>
      </w:r>
      <w:r>
        <w:rPr>
          <w:rFonts w:ascii="Times New Roman" w:cs="Times New Roman" w:eastAsia="Times New Roman" w:hAnsi="Times New Roman"/>
          <w:sz w:val="22"/>
          <w:szCs w:val="22"/>
          <w:color w:val="auto"/>
        </w:rPr>
        <w:t>. Each Lender shall have received a Note duly executed and delivered by an Authorized Officer of the Borrower.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Financial Information, Etc</w:t>
      </w:r>
      <w:r>
        <w:rPr>
          <w:rFonts w:ascii="Times New Roman" w:cs="Times New Roman" w:eastAsia="Times New Roman" w:hAnsi="Times New Roman"/>
          <w:sz w:val="22"/>
          <w:szCs w:val="22"/>
          <w:color w:val="auto"/>
        </w:rPr>
        <w:t>. The Administrative Agent and each Lender shall have received:</w:t>
      </w:r>
    </w:p>
    <w:p>
      <w:pPr>
        <w:spacing w:after="0" w:line="220" w:lineRule="exact"/>
        <w:rPr>
          <w:sz w:val="20"/>
          <w:szCs w:val="20"/>
          <w:color w:val="auto"/>
        </w:rPr>
      </w:pPr>
    </w:p>
    <w:p>
      <w:pPr>
        <w:ind w:left="660" w:firstLine="644"/>
        <w:spacing w:after="0" w:line="271" w:lineRule="auto"/>
        <w:tabs>
          <w:tab w:leader="none" w:pos="18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audited consolidated financial statements of the Parent and the Subsidiaries for each of the Fiscal Years ended December 31, 2021, December 31, 2022, and December 31, 2023;</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7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estimated or projected “flash numbers” with respect to the cash balance and financial information of the Parent and its Subsidiaries for the Fiscal Quarter ended March 31, 2024;</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0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financial information as to the Parent and the Subsidiaries and their respective businesses, assets and liabilities as the Administrative Agent may reasonably request.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The Administrative Agent and the Lenders shall have received an initial Compliance Certificate on a pro forma basis as if the Initial Loan had been made as of December 31, 2023 and as to such items therein as the Administrative Agent or any Lender reasonably requests, dated the Closing Date, duly executed (and with all schedules thereto duly completed) and delivered by the chief financial or accounting Authorized Officer of the Borrower.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Solvency, Etc</w:t>
      </w:r>
      <w:r>
        <w:rPr>
          <w:rFonts w:ascii="Times New Roman" w:cs="Times New Roman" w:eastAsia="Times New Roman" w:hAnsi="Times New Roman"/>
          <w:sz w:val="22"/>
          <w:szCs w:val="22"/>
          <w:color w:val="auto"/>
        </w:rPr>
        <w:t>. The Administrative Agent and the Lenders shall have received a solvency certificate duly executed and delivered by the chief financial or accounting Authorized Officer of the Parent and the Borrower, dated as of the Closing Date, the First Delayed Draw Closing Date or the Second Delayed Draw Closing Date, as the case may be, in form and substance satisfactory to the Administrative Agent and the Lenders.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Administrative Agent and the Lenders shall have received executed counterparts of the Guarantee, dated as of the date hereof, duly executed and delivered by each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83" w:name="page184"/>
    <w:bookmarkEnd w:id="183"/>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Security Agreements</w:t>
      </w:r>
      <w:r>
        <w:rPr>
          <w:rFonts w:ascii="Times New Roman" w:cs="Times New Roman" w:eastAsia="Times New Roman" w:hAnsi="Times New Roman"/>
          <w:sz w:val="22"/>
          <w:szCs w:val="22"/>
          <w:color w:val="auto"/>
        </w:rPr>
        <w:t>. The Administrative Agent and the Lenders shall have received executed counterparts of the Security Agreement, dated as of the date hereof, duly executed and delivered by the Parent, the Borrower and each Guarantor, together with:</w:t>
      </w:r>
    </w:p>
    <w:p>
      <w:pPr>
        <w:spacing w:after="0" w:line="186" w:lineRule="exact"/>
        <w:rPr>
          <w:sz w:val="20"/>
          <w:szCs w:val="20"/>
          <w:color w:val="auto"/>
        </w:rPr>
      </w:pPr>
    </w:p>
    <w:p>
      <w:pPr>
        <w:jc w:val="both"/>
        <w:ind w:left="660" w:firstLine="644"/>
        <w:spacing w:after="0" w:line="250" w:lineRule="auto"/>
        <w:tabs>
          <w:tab w:leader="none" w:pos="178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(in the case of Capital Securities that are securities (as defined in the UCC)) evidencing all of the issued and outstanding Capital Securities owned by the Parent, the Borrower or any Guarantor in any Subsidiary of the Parent, which certificates in each case shall be accompanied by undated instruments of transfer duly executed in blank, or, in the case of Capital Securities that are uncertificated securities (as defined in the UCC), confirmation and evidence satisfactory to the Administrative Agent that the security interest therein has been transferred to and perfected by the Administrative Agent in accordance with Articles 8 and 9 of the UCC and all laws otherwise applicable to the perfection of the pledge of such Capital Securities;</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43"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 statements suitable in form for naming the Parent, the Borrower and each Guarantor as a debtor and the Administrative Agent as the secured party, or other similar instruments or documents to be filed under the UCC of all jurisdictions as may be necessary or, in the opinion of the Administrative Agent, desirable to perfect the security interests of the Secured Parties pursuant to the Security Agreement;</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8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UCC Form UCC-3 termination statements, if any, necessary to release all Liens and other rights of any Person (i) in any assets of the Parent, the Borrower or any Subsidiary, or (ii) securing any of the Indebtedness identified in </w:t>
      </w:r>
      <w:r>
        <w:rPr>
          <w:rFonts w:ascii="Times New Roman" w:cs="Times New Roman" w:eastAsia="Times New Roman" w:hAnsi="Times New Roman"/>
          <w:sz w:val="22"/>
          <w:szCs w:val="22"/>
          <w:u w:val="single" w:color="auto"/>
          <w:color w:val="auto"/>
        </w:rPr>
        <w:t>Schedule 8.2(a)</w:t>
      </w:r>
      <w:r>
        <w:rPr>
          <w:rFonts w:ascii="Times New Roman" w:cs="Times New Roman" w:eastAsia="Times New Roman" w:hAnsi="Times New Roman"/>
          <w:sz w:val="22"/>
          <w:szCs w:val="22"/>
          <w:color w:val="auto"/>
        </w:rPr>
        <w:t xml:space="preserve"> of the Disclosure Letter, together with such other UCC Form UCC-3 termination statements as the Administrative Agent and the Lenders may reasonably request from the Parent, the Borrower or any Subsidiary;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03"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landlord access agreements in form and substance satisfactory to the Administrative Agent and the Lenders with respect to each leased location as of the Closing Date where any books and records of the Loan Parties, or more than $[***] of other Collateral, is stored, as of the Closing Date;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5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evidence that all deposit accounts, lockboxes, disbursement accounts, investment accounts or other similar accounts of the Parent, the Borrower and each Guarantor are Controlled Accounts (other than Excluded Accounts).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Intellectual Property Security Agreements</w:t>
      </w:r>
      <w:r>
        <w:rPr>
          <w:rFonts w:ascii="Times New Roman" w:cs="Times New Roman" w:eastAsia="Times New Roman" w:hAnsi="Times New Roman"/>
          <w:sz w:val="22"/>
          <w:szCs w:val="22"/>
          <w:color w:val="auto"/>
        </w:rPr>
        <w:t>. The Administrative Agent and the Lenders shall have received a Patent Security Agreement, a Copyright Security Agreement and a Trademark Security Agreement, as applicable, each dated as of the Closing Date, duly executed and delivered by the Parent, the Borrower or any Guarantor that, pursuant to the Security Agreement, is required to provide such intellectual property security agreements to the Administrative Agent for the benefit of the Secured Parties.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 Each Lender shall have received, on the Closing Date and on each Delayed Draw Closing Date, in a pro rata amount in accordance with its Applicable Percentage, executed counterparts of the Warrants and the other Investment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color w:val="auto"/>
        </w:rPr>
        <w:t>executed and delivered by an Authorized Officer of the Borrower and each other party to such Investment Documents.</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The Administrative Agent and the Lenders shall have received an opinion, dated the Closing Date and addressed to the Administrative Agent and the Lenders, from Cooley LLP, counsel to the Parent, the Borrower and the Guarantors, in form and substance satisfactory to the Administrative Agent and the Lenders.</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Administrative Agent and the Lenders shall have received certified copies of the insurance policies (or binders in respect thereof), from one or more insurance companies satisfactory to the Administrative Agent, evidencing coverage required to be maintained pursuant to each Loan Document, with the Administrative Agent named as loss payee or additional insured, as applicable.</w:t>
      </w:r>
    </w:p>
    <w:p>
      <w:pPr>
        <w:spacing w:after="0" w:line="1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5.15 </w:t>
      </w:r>
      <w:r>
        <w:rPr>
          <w:rFonts w:ascii="Times New Roman" w:cs="Times New Roman" w:eastAsia="Times New Roman" w:hAnsi="Times New Roman"/>
          <w:sz w:val="21"/>
          <w:szCs w:val="21"/>
          <w:u w:val="single" w:color="auto"/>
          <w:color w:val="auto"/>
        </w:rPr>
        <w:t>Closing Fees, Expenses, Etc</w:t>
      </w:r>
      <w:r>
        <w:rPr>
          <w:rFonts w:ascii="Times New Roman" w:cs="Times New Roman" w:eastAsia="Times New Roman" w:hAnsi="Times New Roman"/>
          <w:sz w:val="21"/>
          <w:szCs w:val="21"/>
          <w:color w:val="auto"/>
        </w:rPr>
        <w:t xml:space="preserve">. The Administrative Agent and each Lender, as applicable, shall have received for its own account (i) all fees, costs and expenses due and payable pursuant to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(ii) solely as a condition to the Initial Loan, the Initial Commitment Fee, (iii) solely as a condition to the Initial Loan, the initial Administration Fee as set forth in </w:t>
      </w:r>
      <w:r>
        <w:rPr>
          <w:rFonts w:ascii="Times New Roman" w:cs="Times New Roman" w:eastAsia="Times New Roman" w:hAnsi="Times New Roman"/>
          <w:sz w:val="21"/>
          <w:szCs w:val="21"/>
          <w:u w:val="single" w:color="auto"/>
          <w:color w:val="auto"/>
        </w:rPr>
        <w:t>Section 3.11</w:t>
      </w:r>
      <w:r>
        <w:rPr>
          <w:rFonts w:ascii="Times New Roman" w:cs="Times New Roman" w:eastAsia="Times New Roman" w:hAnsi="Times New Roman"/>
          <w:sz w:val="21"/>
          <w:szCs w:val="21"/>
          <w:color w:val="auto"/>
        </w:rPr>
        <w:t>, (iv) solely as a condition to the First Delayed Draw Closing Date, the First Delayed Draw Commitment Fee, and (v) solely as a condition to the Second Delayed Draw Closing Date, the Second Delayed Draw Commitment Fee.</w:t>
      </w:r>
    </w:p>
    <w:p>
      <w:pPr>
        <w:spacing w:after="0" w:line="16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 xml:space="preserve">SECTION 5.16 </w:t>
      </w:r>
      <w:r>
        <w:rPr>
          <w:rFonts w:ascii="Times New Roman" w:cs="Times New Roman" w:eastAsia="Times New Roman" w:hAnsi="Times New Roman"/>
          <w:sz w:val="21"/>
          <w:szCs w:val="21"/>
          <w:u w:val="single" w:color="auto"/>
          <w:color w:val="auto"/>
        </w:rPr>
        <w:t>Anti-Terrorism Laws</w:t>
      </w:r>
      <w:r>
        <w:rPr>
          <w:rFonts w:ascii="Times New Roman" w:cs="Times New Roman" w:eastAsia="Times New Roman" w:hAnsi="Times New Roman"/>
          <w:sz w:val="21"/>
          <w:szCs w:val="21"/>
          <w:color w:val="auto"/>
        </w:rPr>
        <w:t>. The Administrative Agent and each Lender, as applicable, shall have received, as applicable, all documentation and other information required by bank regulatory authorities under applicable “know your customer” and anti-money laundering rules and regulations, including the U.S.A. Patriot Act and any other foreign or local Laws.</w:t>
      </w:r>
    </w:p>
    <w:p>
      <w:pPr>
        <w:spacing w:after="0" w:line="1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u w:val="single" w:color="auto"/>
          <w:color w:val="auto"/>
        </w:rPr>
        <w:t>Satisfactory Legal Form</w:t>
      </w:r>
      <w:r>
        <w:rPr>
          <w:rFonts w:ascii="Times New Roman" w:cs="Times New Roman" w:eastAsia="Times New Roman" w:hAnsi="Times New Roman"/>
          <w:sz w:val="22"/>
          <w:szCs w:val="22"/>
          <w:color w:val="auto"/>
        </w:rPr>
        <w:t>. All documents executed or submitted pursuant hereto by or on behalf of the Parent, the Borrower or any Subsidiary shall be satisfactory in form and substance to the Administrative Agent and the Lenders, and the Administrative Agent and the Lenders shall have received all information, approvals, resolutions, opinions, documents or instruments as the Administrative Agent or any Lender may reasonably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Product Revenue Base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57" w:lineRule="auto"/>
        <w:tabs>
          <w:tab w:leader="none" w:pos="185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as a condition to the First Delayed Draw Closing Date, the Administrative Agent and the Lenders shall be satisfied that Product Revenue Base for the trailing 12-months ending on the last day of the month immediately prior to the First Delayed Draw Closing Date was at least $[***].</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as a condition to the Second Delayed Draw Closing Date, the Administrative Agent and the Lenders shall be satisfied that Product Revenue Base for the trailing 12-months ending on the last day of the month immediately prior to the Second Delayed Draw Closing Date was at least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63" w:lineRule="auto"/>
        <w:tabs>
          <w:tab w:leader="none" w:pos="179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prior to the First Delayed Draw Closing Date, the Borrower shall deliver to the Administrative Agent updates to </w:t>
      </w:r>
      <w:r>
        <w:rPr>
          <w:rFonts w:ascii="Times New Roman" w:cs="Times New Roman" w:eastAsia="Times New Roman" w:hAnsi="Times New Roman"/>
          <w:sz w:val="22"/>
          <w:szCs w:val="22"/>
          <w:u w:val="single" w:color="auto"/>
          <w:color w:val="auto"/>
        </w:rPr>
        <w:t>Schedules 6.15(a)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6.22</w:t>
      </w:r>
      <w:r>
        <w:rPr>
          <w:rFonts w:ascii="Times New Roman" w:cs="Times New Roman" w:eastAsia="Times New Roman" w:hAnsi="Times New Roman"/>
          <w:sz w:val="22"/>
          <w:szCs w:val="22"/>
          <w:color w:val="auto"/>
        </w:rPr>
        <w:t xml:space="preserve"> of the Disclosure Letter, each such updated Schedule to be complete and accurate as of the First Delayed Draw Closing Date.</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5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prior to the Second Delayed Draw Closing Date, the Borrower shall deliver to the Administrative Agent updates to </w:t>
      </w:r>
      <w:r>
        <w:rPr>
          <w:rFonts w:ascii="Times New Roman" w:cs="Times New Roman" w:eastAsia="Times New Roman" w:hAnsi="Times New Roman"/>
          <w:sz w:val="22"/>
          <w:szCs w:val="22"/>
          <w:u w:val="single" w:color="auto"/>
          <w:color w:val="auto"/>
        </w:rPr>
        <w:t>Schedules 6.15(a)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6.22</w:t>
      </w:r>
      <w:r>
        <w:rPr>
          <w:rFonts w:ascii="Times New Roman" w:cs="Times New Roman" w:eastAsia="Times New Roman" w:hAnsi="Times New Roman"/>
          <w:sz w:val="22"/>
          <w:szCs w:val="22"/>
          <w:color w:val="auto"/>
        </w:rPr>
        <w:t xml:space="preserve"> of the Disclosure Letter, each such updated Schedule to be complete and accurate as of the Second Delayed Draw Closing Date.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5.20 </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From December 31, 2023 until the Closing Date or the applicable Delayed Draw Closing Date, no event, change, circumstance, effect or other matter shall have occurred that could reasonably be expected to have a Material Adverse Effect.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5.21 [***]</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In order to induce the Administrative Agent and the Lenders to enter into this Agreement and to make the Loans hereunder, each of the Parent and the Borrower represents and warrants to the Administrative Agent and the Lenders that:</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Organization, Etc</w:t>
      </w:r>
      <w:r>
        <w:rPr>
          <w:rFonts w:ascii="Times New Roman" w:cs="Times New Roman" w:eastAsia="Times New Roman" w:hAnsi="Times New Roman"/>
          <w:sz w:val="22"/>
          <w:szCs w:val="22"/>
          <w:color w:val="auto"/>
        </w:rPr>
        <w:t xml:space="preserve"> The Parent, the Borrower and each Subsidiary (a) is validly organized and existing and in good standing under the laws of the jurisdiction of its incorporation or organization, is duly qualified to do business and is in good standing as a foreign entity in each jurisdiction where the nature of its business requires such qualification (unless the failure to so qualify as a foreign entity would not, individually or in the aggregate, reasonably be expected to have a Material Adverse Effect), and (b) has full power and authority and holds all requisite material governmental licenses, permits and other approvals required (i) to enter into and perform its obligations under each Investment Document to which it is a party, and (ii) to own and hold under lease its property and to conduct its business substantially as currently conducted by it.</w:t>
      </w:r>
    </w:p>
    <w:p>
      <w:pPr>
        <w:spacing w:after="0" w:line="180"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Due Authorization, Non-Contravention, Etc</w:t>
      </w:r>
      <w:r>
        <w:rPr>
          <w:rFonts w:ascii="Times New Roman" w:cs="Times New Roman" w:eastAsia="Times New Roman" w:hAnsi="Times New Roman"/>
          <w:sz w:val="22"/>
          <w:szCs w:val="22"/>
          <w:color w:val="auto"/>
        </w:rPr>
        <w:t>. The execution, delivery and performance by the Parent, the Borrower and each Subsidiary of each Investment Document executed or to be executed by it are in each case within such Person’s corporate or organizational powers, have been duly authorized by all necessary corporate or organizational action, and do not:</w:t>
      </w:r>
    </w:p>
    <w:p>
      <w:pPr>
        <w:spacing w:after="0" w:line="176" w:lineRule="exact"/>
        <w:rPr>
          <w:sz w:val="20"/>
          <w:szCs w:val="20"/>
          <w:color w:val="auto"/>
        </w:rPr>
      </w:pPr>
    </w:p>
    <w:p>
      <w:pPr>
        <w:ind w:left="660" w:firstLine="644"/>
        <w:spacing w:after="0" w:line="271" w:lineRule="auto"/>
        <w:tabs>
          <w:tab w:leader="none" w:pos="180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contravene (i) the Parent’s, the Borrower’s or any Subsidiary’s Organic Documents, (ii) any court decree or order binding on or affecting the Parent,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86" w:name="page187"/>
    <w:bookmarkEnd w:id="186"/>
    <w:p>
      <w:pPr>
        <w:ind w:left="660"/>
        <w:spacing w:after="0" w:line="271" w:lineRule="auto"/>
        <w:rPr>
          <w:sz w:val="20"/>
          <w:szCs w:val="20"/>
          <w:color w:val="auto"/>
        </w:rPr>
      </w:pPr>
      <w:r>
        <w:rPr>
          <w:rFonts w:ascii="Times New Roman" w:cs="Times New Roman" w:eastAsia="Times New Roman" w:hAnsi="Times New Roman"/>
          <w:sz w:val="22"/>
          <w:szCs w:val="22"/>
          <w:color w:val="auto"/>
        </w:rPr>
        <w:t>Borrower or any Subsidiary or (iii) any Law or governmental regulation binding on or affecting the Parent, the Borrower or any Subsidiary; or</w:t>
      </w:r>
    </w:p>
    <w:p>
      <w:pPr>
        <w:spacing w:after="0" w:line="158" w:lineRule="exact"/>
        <w:rPr>
          <w:sz w:val="20"/>
          <w:szCs w:val="20"/>
          <w:color w:val="auto"/>
        </w:rPr>
      </w:pPr>
    </w:p>
    <w:p>
      <w:pPr>
        <w:jc w:val="both"/>
        <w:ind w:left="660" w:firstLine="644"/>
        <w:spacing w:after="0" w:line="263" w:lineRule="auto"/>
        <w:tabs>
          <w:tab w:leader="none" w:pos="194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(i) or require the creation or imposition of any Lien on the Parent’s, the Borrower’s or any Subsidiary’s properties (except as permitted by this Agreement) or (ii) a default under any material contract, agreement, or instrument binding on or affecting the Parent, the Borrower or any Subsidiary.</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Government Approval, Regulation, Etc</w:t>
      </w:r>
      <w:r>
        <w:rPr>
          <w:rFonts w:ascii="Times New Roman" w:cs="Times New Roman" w:eastAsia="Times New Roman" w:hAnsi="Times New Roman"/>
          <w:sz w:val="22"/>
          <w:szCs w:val="22"/>
          <w:color w:val="auto"/>
        </w:rPr>
        <w:t>. No authorization or approval or other action by, and no notice to or filing with, any Governmental Authority or other Person (other than those that have been, or on the Closing Date will be, duly obtained or made and which are, or on the Closing Date will be, in full force and effect) is required for the due execution, delivery or performance by the Parent, the Borrower or any Subsidiary of any Investment Document to which it is a party.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Validity, Etc</w:t>
      </w:r>
      <w:r>
        <w:rPr>
          <w:rFonts w:ascii="Times New Roman" w:cs="Times New Roman" w:eastAsia="Times New Roman" w:hAnsi="Times New Roman"/>
          <w:sz w:val="22"/>
          <w:szCs w:val="22"/>
          <w:color w:val="auto"/>
        </w:rPr>
        <w:t>. Each Investment Document to which the Parent, the Borrower or any Subsidiary is a party constitutes the legal, valid and binding obligations of such Person enforceable against such Person in accordance with its respective terms (except, in any case, as such enforceability may be limited by applicable bankruptcy, insolvency, reorganization or similar laws affecting creditors’ rights generally and by principles of equity).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Financial Information</w:t>
      </w:r>
      <w:r>
        <w:rPr>
          <w:rFonts w:ascii="Times New Roman" w:cs="Times New Roman" w:eastAsia="Times New Roman" w:hAnsi="Times New Roman"/>
          <w:sz w:val="22"/>
          <w:szCs w:val="22"/>
          <w:color w:val="auto"/>
        </w:rPr>
        <w:t xml:space="preserve">. The consolidated financial statements of the Parent and the Subsidiaries furnished to the Administrative Agent and the Lenders pursuant to </w:t>
      </w:r>
      <w:r>
        <w:rPr>
          <w:rFonts w:ascii="Times New Roman" w:cs="Times New Roman" w:eastAsia="Times New Roman" w:hAnsi="Times New Roman"/>
          <w:sz w:val="22"/>
          <w:szCs w:val="22"/>
          <w:u w:val="single" w:color="auto"/>
          <w:color w:val="auto"/>
        </w:rPr>
        <w:t>Sections 5.6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7.1</w:t>
      </w:r>
      <w:r>
        <w:rPr>
          <w:rFonts w:ascii="Times New Roman" w:cs="Times New Roman" w:eastAsia="Times New Roman" w:hAnsi="Times New Roman"/>
          <w:sz w:val="22"/>
          <w:szCs w:val="22"/>
          <w:color w:val="auto"/>
        </w:rPr>
        <w:t xml:space="preserve"> have been prepared in accordance with GAAP, consistently applied, subject to changes resulting from normal, year-end audit adjustments, and present fairly in all material respects the consolidated financial condition of the Persons covered thereby as at the dates thereof and the results of their operations for the periods then ended.</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6.6 </w:t>
      </w: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Since December 31, 2023, there has been no event, change, circumstance, effect or other matter that has had a Material Adverse Effect.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u w:val="single" w:color="auto"/>
          <w:color w:val="auto"/>
        </w:rPr>
        <w:t>Litigation, Labor Matters and Environmental Matters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51" w:lineRule="auto"/>
        <w:tabs>
          <w:tab w:leader="none" w:pos="177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described on </w:t>
      </w:r>
      <w:r>
        <w:rPr>
          <w:rFonts w:ascii="Times New Roman" w:cs="Times New Roman" w:eastAsia="Times New Roman" w:hAnsi="Times New Roman"/>
          <w:sz w:val="22"/>
          <w:szCs w:val="22"/>
          <w:u w:val="single" w:color="auto"/>
          <w:color w:val="auto"/>
        </w:rPr>
        <w:t>Schedule 6.7(a)</w:t>
      </w:r>
      <w:r>
        <w:rPr>
          <w:rFonts w:ascii="Times New Roman" w:cs="Times New Roman" w:eastAsia="Times New Roman" w:hAnsi="Times New Roman"/>
          <w:sz w:val="22"/>
          <w:szCs w:val="22"/>
          <w:color w:val="auto"/>
        </w:rPr>
        <w:t xml:space="preserve"> of the Disclosure Letter, there are no actions, suits or proceedings by or before any arbitrator or Governmental Authority pending against or, to the knowledge of the Parent or the Borrower, threatened against or affecting the Parent, the Borrower or any Subsidiary (i) as to which there is a reasonable likelihood of an adverse determination and that, if adversely determined, would reasonably be expected, individually or in the aggregate, to result in liabilities in excess of $[***] or (ii) that would reasonably be likely to adversely affect this Agreement or the transactions contemplated hereby.</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78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labor controversies pending against or, to the knowledge of the Parent or the Borrower, threatened against or affecting the Parent, the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87" w:name="page188"/>
    <w:bookmarkEnd w:id="187"/>
    <w:p>
      <w:pPr>
        <w:jc w:val="both"/>
        <w:ind w:left="660" w:firstLine="644"/>
        <w:spacing w:after="0" w:line="253" w:lineRule="auto"/>
        <w:tabs>
          <w:tab w:leader="none" w:pos="178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Parent, the Borrower or any Subsidiary (i) has failed to comply with any Environmental Law or to obtain, maintain or comply with any Permit under or in connection with any Environmental Law (“</w:t>
      </w:r>
      <w:r>
        <w:rPr>
          <w:rFonts w:ascii="Times New Roman" w:cs="Times New Roman" w:eastAsia="Times New Roman" w:hAnsi="Times New Roman"/>
          <w:sz w:val="22"/>
          <w:szCs w:val="22"/>
          <w:u w:val="single" w:color="auto"/>
          <w:color w:val="auto"/>
        </w:rPr>
        <w:t>Environmental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(ii) is or has been subject to any Environmental Liability, (iii) has received written notice of any Environmental Liability, or (iv) knows of any basis for any Environmental Liability, in each case of clauses (i) through (iv) above, which would reasonably be expected to result in a Material Adverse Effect.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The Parent has no Subsidiaries except those Subsidiaries which are identified in </w:t>
      </w:r>
      <w:r>
        <w:rPr>
          <w:rFonts w:ascii="Times New Roman" w:cs="Times New Roman" w:eastAsia="Times New Roman" w:hAnsi="Times New Roman"/>
          <w:sz w:val="22"/>
          <w:szCs w:val="22"/>
          <w:u w:val="single" w:color="auto"/>
          <w:color w:val="auto"/>
        </w:rPr>
        <w:t>Schedule 6.8</w:t>
      </w:r>
      <w:r>
        <w:rPr>
          <w:rFonts w:ascii="Times New Roman" w:cs="Times New Roman" w:eastAsia="Times New Roman" w:hAnsi="Times New Roman"/>
          <w:sz w:val="22"/>
          <w:szCs w:val="22"/>
          <w:color w:val="auto"/>
        </w:rPr>
        <w:t xml:space="preserve"> of the Disclosure Letter (which Schedule also identifies the direct and indirect owners of the Capital Securities of such Subsidiaries) or which are permitted to have been organized or acquired after the Closing Date in accordance with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6.9 </w:t>
      </w:r>
      <w:r>
        <w:rPr>
          <w:rFonts w:ascii="Times New Roman" w:cs="Times New Roman" w:eastAsia="Times New Roman" w:hAnsi="Times New Roman"/>
          <w:sz w:val="22"/>
          <w:szCs w:val="22"/>
          <w:u w:val="single" w:color="auto"/>
          <w:color w:val="auto"/>
        </w:rPr>
        <w:t>Ownership of Properties</w:t>
      </w:r>
      <w:r>
        <w:rPr>
          <w:rFonts w:ascii="Times New Roman" w:cs="Times New Roman" w:eastAsia="Times New Roman" w:hAnsi="Times New Roman"/>
          <w:sz w:val="22"/>
          <w:szCs w:val="22"/>
          <w:color w:val="auto"/>
        </w:rPr>
        <w:t xml:space="preserve">. The Parent, the Borrower and each Subsidiary owns (i) in the case of owned real property, good and marketable fee title to, and (ii) in the case of owned personal property, good and valid title to, or, in the case of leased real or personal property, valid and enforceable leasehold interests (as the case may be) in, all of its properties and assets, tangible and intangible, of any nature whatsoever, free and clear in each case of all Liens or claims, except for Liens permitted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of the Parent, the Borrower and each Subsidiary has filed all material tax returns and reports required by Law to have been filed by it and has paid all material Taxes due and owing, except any such Taxes which are being diligently contested in good faith by appropriate proceedings and for which adequate reserves in accordance with GAAP shall have been set aside on its books.</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Identified Benefit Plans, Etc</w:t>
      </w:r>
      <w:r>
        <w:rPr>
          <w:rFonts w:ascii="Times New Roman" w:cs="Times New Roman" w:eastAsia="Times New Roman" w:hAnsi="Times New Roman"/>
          <w:sz w:val="22"/>
          <w:szCs w:val="22"/>
          <w:color w:val="auto"/>
        </w:rPr>
        <w:t>. None of the Parent, the Borrower or any of the Subsidiaries or any of their respective ERISA Affiliates, sponsors, maintains, contributes to, is required to contribute to, or has any actual or potential material liability with respect to, any Identified Benefit Plan. None of the Parent, the Borrower or any of the Subsidiaries is a party to any collective bargaining agreement, and none of the employees of the Parent, the Borrower or any of the Subsidiaries are subject to any collective bargaining agreement with respect to their employment with the Parent, the Borrower, any of the Subsidiaries, or any of their respective ERISA Affiliates. Each “employee benefit plan” as defined in section 3(3) of ERISA that provides retirement benefits, is sponsored by the Parent, the Borrower or any of their ERISA Affiliates, and is intended to be tax qualified under section 401 of the Code has a determination letter or opinion letter from the Internal Revenue Service on which it remains entitled to rely. Each employee benefit plan, program or arrangement sponsored, maintained, contributed to or required to be contributed to by the Parent, the Borrower or any Subsidiary has complied, both in form and in operation, in all material respects with its terms and applicable law. Each employee benefit plan as defined in Section 3(3) of ERISA that provides medical insurance, life insurance, or long-term disability benefits is either fully insured by a third-party insurance company or covered by a stop-loss policy with a third-party insurance company that provides commercially reasonable limits on the Parent’s and the Borrower’s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88" w:name="page189"/>
    <w:bookmarkEnd w:id="188"/>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Accuracy of Information</w:t>
      </w:r>
      <w:r>
        <w:rPr>
          <w:rFonts w:ascii="Times New Roman" w:cs="Times New Roman" w:eastAsia="Times New Roman" w:hAnsi="Times New Roman"/>
          <w:sz w:val="22"/>
          <w:szCs w:val="22"/>
          <w:color w:val="auto"/>
        </w:rPr>
        <w:t>. None of the information heretofore or contemporaneously furnished in writing to the Administrative Agent or any Lender by or on behalf of the Parent, the Borrower or any Subsidiary in connection with any Investment Document or any transaction contemplated hereby contains any untrue statement of a material fact, or omits to state any material fact necessary to make any information not misleading in light of the circumstances under which they were made; provided, that, with respect to projected financial information, each of the Parent and the Borrower represents only that such information was prepared in good faith based upon assumptions believed to be reasonable at the time.</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Regulations U and X</w:t>
      </w:r>
      <w:r>
        <w:rPr>
          <w:rFonts w:ascii="Times New Roman" w:cs="Times New Roman" w:eastAsia="Times New Roman" w:hAnsi="Times New Roman"/>
          <w:sz w:val="22"/>
          <w:szCs w:val="22"/>
          <w:color w:val="auto"/>
        </w:rPr>
        <w:t>. None of the Parent, the Borrower or any Subsidiary is engaged in the business of extending credit for the purpose of buying or carrying margin stock, and no proceeds of the Loans will be used to purchase or carry margin stock or otherwise for a purpose which violates, or would be inconsistent with, F.R.S. Board Regulation U or Regulation X. Terms for which meanings are provided in F.R.S. Board Regulation U or Regulation X or any regulations substituted therefor, as from time to time in effect, are used in this Section with such meanings.</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Parent, individually, and the Parent and its Subsidiaries (including the Borrower) taken as a whole, on a consolidated basis, both before and after giving effect to the Loans, are Solvent.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6.15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660" w:firstLine="644"/>
        <w:spacing w:after="0" w:line="247" w:lineRule="auto"/>
        <w:tabs>
          <w:tab w:leader="none" w:pos="180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6.15(a)</w:t>
      </w:r>
      <w:r>
        <w:rPr>
          <w:rFonts w:ascii="Times New Roman" w:cs="Times New Roman" w:eastAsia="Times New Roman" w:hAnsi="Times New Roman"/>
          <w:sz w:val="22"/>
          <w:szCs w:val="22"/>
          <w:color w:val="auto"/>
        </w:rPr>
        <w:t xml:space="preserve"> of the Disclosure Letter sets forth a complete and accurate list as of the Closing Date, the First Delayed Draw Closing Date or the Second Delayed Draw Closing Date, as the case may be, of all (i) Patents (including any patent applications); (ii) registered Trademarks (including domain names) and any pending applications for Trademarks; and (iii) registered Copyrights, in each case (i) through (iii), owned by (solely or jointly with others), purportedly owned by or exclusively licensed to the Parent, the Borrower or any of the Subsidiaries. For each item of Intellectual Property listed on </w:t>
      </w:r>
      <w:r>
        <w:rPr>
          <w:rFonts w:ascii="Times New Roman" w:cs="Times New Roman" w:eastAsia="Times New Roman" w:hAnsi="Times New Roman"/>
          <w:sz w:val="22"/>
          <w:szCs w:val="22"/>
          <w:u w:val="single" w:color="auto"/>
          <w:color w:val="auto"/>
        </w:rPr>
        <w:t>Schedule 6.15(a)</w:t>
      </w:r>
      <w:r>
        <w:rPr>
          <w:rFonts w:ascii="Times New Roman" w:cs="Times New Roman" w:eastAsia="Times New Roman" w:hAnsi="Times New Roman"/>
          <w:sz w:val="22"/>
          <w:szCs w:val="22"/>
          <w:color w:val="auto"/>
        </w:rPr>
        <w:t xml:space="preserve"> of the Disclosure Letter, the Borrower has, where relevant, indicated (A) the countries in each case in which such item is registered, (B) the application numbers, (C) the registration or patent numbers, (D) with respect to the Patents, the expected expiration date of the issued Patents, (E) the owner of such item of Intellectual Property and (F) with respect to Intellectual Property owned by any Third Party, the agreement pursuant to which that Intellectual Property is licensed to the Parent, the Borrower or any Subsidiary.</w:t>
      </w:r>
    </w:p>
    <w:p>
      <w:pPr>
        <w:spacing w:after="0" w:line="204"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4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Owned Intellectual Property and Licensed Intellectual Property together constitute all Intellectual Property necessary for the operation of the business of the Parent, the Borrower and the Subsidiaries as currently conducted and as currently proposed to be conducted by the Parent, the Borrower and the Subsidiaries.</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07"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the Borrower and each Subsidiary owns or has a valid license or rights in any other form to all rights associated with the Owned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89" w:name="page190"/>
    <w:bookmarkEnd w:id="189"/>
    <w:p>
      <w:pPr>
        <w:spacing w:after="0" w:line="271" w:lineRule="auto"/>
        <w:rPr>
          <w:sz w:val="20"/>
          <w:szCs w:val="20"/>
          <w:color w:val="auto"/>
        </w:rPr>
      </w:pPr>
      <w:r>
        <w:rPr>
          <w:rFonts w:ascii="Times New Roman" w:cs="Times New Roman" w:eastAsia="Times New Roman" w:hAnsi="Times New Roman"/>
          <w:sz w:val="22"/>
          <w:szCs w:val="22"/>
          <w:color w:val="auto"/>
        </w:rPr>
        <w:t xml:space="preserve">and Licensed Intellectual Property, as applicable, free and clear of any and all Liens other than Liens permitted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644"/>
        <w:spacing w:after="0" w:line="309" w:lineRule="auto"/>
        <w:tabs>
          <w:tab w:leader="none" w:pos="1133"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the Borrower or a Subsidiary, as applicable, is the sole and exclusive owner of all right, title and interest in and to all Owned Intellectual Property, unless otherwise indicated in Schedule 6.15(a) of the Disclosure Letter.</w:t>
      </w:r>
    </w:p>
    <w:p>
      <w:pPr>
        <w:spacing w:after="0" w:line="120" w:lineRule="exact"/>
        <w:rPr>
          <w:rFonts w:ascii="Times New Roman" w:cs="Times New Roman" w:eastAsia="Times New Roman" w:hAnsi="Times New Roman"/>
          <w:sz w:val="21"/>
          <w:szCs w:val="21"/>
          <w:color w:val="auto"/>
        </w:rPr>
      </w:pPr>
    </w:p>
    <w:p>
      <w:pPr>
        <w:ind w:firstLine="644"/>
        <w:spacing w:after="0" w:line="271" w:lineRule="auto"/>
        <w:tabs>
          <w:tab w:leader="none" w:pos="116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Owned Intellectual Property and, to the Borrower’s knowledge, all Licensed Intellectual Property is in full force and effect, and has not expired, lapsed or been forfeited, cancelled or abandoned unless permitted hereunder.</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19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Parent, the Borrower and each Subsidiary, as applicable, has taken commercially reasonable actions to maintain and protect all Owned Intellectual Property, and all Licensed Intellectual Property that is exclusively licensed, and there are no unpaid maintenance or renewal fees payable by the Parent, the Borrower or any of the Subsidiaries that are currently unextendably overdue for any of such registered Intellectual Property.</w:t>
      </w:r>
    </w:p>
    <w:p>
      <w:pPr>
        <w:spacing w:after="0" w:line="176" w:lineRule="exact"/>
        <w:rPr>
          <w:rFonts w:ascii="Times New Roman" w:cs="Times New Roman" w:eastAsia="Times New Roman" w:hAnsi="Times New Roman"/>
          <w:sz w:val="22"/>
          <w:szCs w:val="22"/>
          <w:color w:val="auto"/>
        </w:rPr>
      </w:pPr>
    </w:p>
    <w:p>
      <w:pPr>
        <w:jc w:val="both"/>
        <w:ind w:firstLine="644"/>
        <w:spacing w:after="0" w:line="251" w:lineRule="auto"/>
        <w:tabs>
          <w:tab w:leader="none" w:pos="123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actual or threatened (in writing or, to the knowledge of the Parent or the Borrower, orally) proceeding challenging the ownership, validity or enforceability of any Owned Intellectual Property or Licensed Intellectual Property, none of the Parent, the Borrower or any of the Subsidiaries is involved in any proceeding challenging the ownership, validity or enforceability of any Intellectual Property of any Person and, without limiting the foregoing, none of the Owned Intellectual Property or Licensed Intellectual Property is the subject of any Other Administrative Proceeding.</w:t>
      </w:r>
    </w:p>
    <w:p>
      <w:pPr>
        <w:spacing w:after="0" w:line="181" w:lineRule="exact"/>
        <w:rPr>
          <w:rFonts w:ascii="Times New Roman" w:cs="Times New Roman" w:eastAsia="Times New Roman" w:hAnsi="Times New Roman"/>
          <w:sz w:val="22"/>
          <w:szCs w:val="22"/>
          <w:color w:val="auto"/>
        </w:rPr>
      </w:pPr>
    </w:p>
    <w:p>
      <w:pPr>
        <w:jc w:val="both"/>
        <w:ind w:firstLine="644"/>
        <w:spacing w:after="0" w:line="256" w:lineRule="auto"/>
        <w:tabs>
          <w:tab w:leader="none" w:pos="115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All Owned Intellectual Property and, to the Borrower’s knowledge, all Licensed Intellectual Property is subsisting and, to the Parent’s and the Borrower’s knowledge, enforceable and valid, and (B) no event has occurred and, to the Parent’s and the Borrower’s knowledge, nothing has been done or omitted to have been done, that would affect the validity or enforceability of any such Intellectual Property.</w:t>
      </w:r>
    </w:p>
    <w:p>
      <w:pPr>
        <w:spacing w:after="0" w:line="176" w:lineRule="exact"/>
        <w:rPr>
          <w:rFonts w:ascii="Times New Roman" w:cs="Times New Roman" w:eastAsia="Times New Roman" w:hAnsi="Times New Roman"/>
          <w:sz w:val="22"/>
          <w:szCs w:val="22"/>
          <w:color w:val="auto"/>
        </w:rPr>
      </w:pPr>
    </w:p>
    <w:p>
      <w:pPr>
        <w:jc w:val="both"/>
        <w:ind w:firstLine="644"/>
        <w:spacing w:after="0" w:line="253" w:lineRule="auto"/>
        <w:tabs>
          <w:tab w:leader="none" w:pos="108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6.15(i) of the Disclosure Letter: (i) there are no claims pending or threatened in writing that have been brought by the Parent, the Borrower or any Subsidiary against any Person alleging Infringement of any Owned Intellectual Property or Licensed Intellectual Property; and (ii) to the knowledge of the Parent and the Borrower, no Third Party is committing any act of Infringement of any Owned Intellectual Property or Licensed Intellectual Property that is material to the Parent’s and the Borrower’s business.</w:t>
      </w:r>
    </w:p>
    <w:p>
      <w:pPr>
        <w:spacing w:after="0" w:line="178" w:lineRule="exact"/>
        <w:rPr>
          <w:rFonts w:ascii="Times New Roman" w:cs="Times New Roman" w:eastAsia="Times New Roman" w:hAnsi="Times New Roman"/>
          <w:sz w:val="22"/>
          <w:szCs w:val="22"/>
          <w:color w:val="auto"/>
        </w:rPr>
      </w:pPr>
    </w:p>
    <w:p>
      <w:pPr>
        <w:jc w:val="both"/>
        <w:ind w:firstLine="644"/>
        <w:spacing w:after="0" w:line="250" w:lineRule="auto"/>
        <w:tabs>
          <w:tab w:leader="none" w:pos="109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6.15(j)</w:t>
      </w:r>
      <w:r>
        <w:rPr>
          <w:rFonts w:ascii="Times New Roman" w:cs="Times New Roman" w:eastAsia="Times New Roman" w:hAnsi="Times New Roman"/>
          <w:sz w:val="22"/>
          <w:szCs w:val="22"/>
          <w:color w:val="auto"/>
        </w:rPr>
        <w:t xml:space="preserve"> of the Disclosure Letter, (i) none of the Parent, the Borrower nor any Subsidiary has granted any licenses under any Owned Intellectual Property to Third Parties; and (ii) the Parent, the Borrower and its Subsidiaries are not a party to any contract with any Person that limits or restricts the use of the Owned Intellectual Property. With respect to each license agreement listed on </w:t>
      </w:r>
      <w:r>
        <w:rPr>
          <w:rFonts w:ascii="Times New Roman" w:cs="Times New Roman" w:eastAsia="Times New Roman" w:hAnsi="Times New Roman"/>
          <w:sz w:val="22"/>
          <w:szCs w:val="22"/>
          <w:u w:val="single" w:color="auto"/>
          <w:color w:val="auto"/>
        </w:rPr>
        <w:t>Schedule 6.15(a)</w:t>
      </w:r>
      <w:r>
        <w:rPr>
          <w:rFonts w:ascii="Times New Roman" w:cs="Times New Roman" w:eastAsia="Times New Roman" w:hAnsi="Times New Roman"/>
          <w:sz w:val="22"/>
          <w:szCs w:val="22"/>
          <w:color w:val="auto"/>
        </w:rPr>
        <w:t xml:space="preserve"> of the Disclosure Letter, such license agreement (i) is in full force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190" w:name="page191"/>
    <w:bookmarkEnd w:id="190"/>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effect and is binding upon and enforceable against the Parent, the Borrower and the Subsidiaries party thereto and, to the Parent’s and the Borrower’s knowledge, all other parties thereto in accordance with its terms, (ii) has not been amended or otherwise modified, except as set forth on </w:t>
      </w:r>
      <w:r>
        <w:rPr>
          <w:rFonts w:ascii="Times New Roman" w:cs="Times New Roman" w:eastAsia="Times New Roman" w:hAnsi="Times New Roman"/>
          <w:sz w:val="22"/>
          <w:szCs w:val="22"/>
          <w:u w:val="single" w:color="auto"/>
          <w:color w:val="auto"/>
        </w:rPr>
        <w:t>Schedule 6.15(a)</w:t>
      </w:r>
      <w:r>
        <w:rPr>
          <w:rFonts w:ascii="Times New Roman" w:cs="Times New Roman" w:eastAsia="Times New Roman" w:hAnsi="Times New Roman"/>
          <w:sz w:val="22"/>
          <w:szCs w:val="22"/>
          <w:color w:val="auto"/>
        </w:rPr>
        <w:t xml:space="preserve"> of the Disclosure Letter, and (iii) has not suffered a material default or breach thereunder. None of the Parent, the Borrower or any of the Subsidiaries has taken or omitted to take any action that would permit any other Person that is a party to any such license agreement to terminate such license agreement (except to the extent such license is terminated or otherwise cancelled pursuant to the terms thereof and not as a result of a breach by the Parent, the Borrower or any Subsidiary thereunder or pursuant to the Parent’s and the Borrower’s reasonable judgment).</w:t>
      </w:r>
    </w:p>
    <w:p>
      <w:pPr>
        <w:spacing w:after="0" w:line="195" w:lineRule="exact"/>
        <w:rPr>
          <w:sz w:val="20"/>
          <w:szCs w:val="20"/>
          <w:color w:val="auto"/>
        </w:rPr>
      </w:pPr>
    </w:p>
    <w:p>
      <w:pPr>
        <w:jc w:val="both"/>
        <w:ind w:firstLine="644"/>
        <w:spacing w:after="0" w:line="248" w:lineRule="auto"/>
        <w:tabs>
          <w:tab w:leader="none" w:pos="113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Parent, the Borrower or any of the Subsidiaries has received written notice or, to the knowledge of the Parent or the Borrower, any other communications from any Third Party alleging the use or exploitation by the Parent, the Borrower or any of the Subsidiaries of any Owned Intellectual Property or Licensed Intellectual Property or that the conduct of the business of the Parent, the Borrower or any of the Subsidiaries (including the development, manufacture, use, distribution, sale or other commercialization or exploitation of any Product) Infringes any Intellectual Property of that Third Party. To the knowledge of the Parent and the Borrower, the conduct of the business of the Parent, the Borrower and the Subsidiaries (including the development, manufacture, use, distribution, sale or other commercialization or exploitation of any Product) does not Infringe any Intellectual Property of any Third Party. Without limiting the foregoing, to the knowledge of the Parent and the Borrower, the making, having made, use, offer for sale, sale, importation or other exploitation of any Product by or on behalf of the Parent, the Borrower or any of the Subsidiaries (or use of any Product in accordance with its intended use) does not Infringe any Intellectual Property of any Third Party.</w:t>
      </w:r>
    </w:p>
    <w:p>
      <w:pPr>
        <w:spacing w:after="0" w:line="184" w:lineRule="exact"/>
        <w:rPr>
          <w:rFonts w:ascii="Times New Roman" w:cs="Times New Roman" w:eastAsia="Times New Roman" w:hAnsi="Times New Roman"/>
          <w:sz w:val="22"/>
          <w:szCs w:val="22"/>
          <w:color w:val="auto"/>
        </w:rPr>
      </w:pPr>
    </w:p>
    <w:p>
      <w:pPr>
        <w:jc w:val="both"/>
        <w:ind w:firstLine="644"/>
        <w:spacing w:after="0" w:line="248" w:lineRule="auto"/>
        <w:tabs>
          <w:tab w:leader="none" w:pos="109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the Borrower and the Subsidiaries have used commercially reasonable efforts and precautions to protect their (i) rights in, and with respect to, Confidential Business Information, and maintain the confidentiality of, their respective Owned Intellectual Property and (ii) respective commercially significant unregistered Intellectual Property. All current and former employees of the Parent, the Borrower and each Subsidiary, and all other Persons with access to any Confidential Business Information, are subject to written agreements that include customary confidentiality terms and restriction on use terms sufficient to maintain the confidential status and limit the use of such Confidential Business Information. No trade secret of the Parent, the Borrower or any of their Subsidiaries with respect to any Product has been published or disclosed to any Person, except pursuant to a written agreement requiring such Person to keep such trade secret confidential.</w:t>
      </w:r>
    </w:p>
    <w:p>
      <w:pPr>
        <w:spacing w:after="0" w:line="185" w:lineRule="exact"/>
        <w:rPr>
          <w:rFonts w:ascii="Times New Roman" w:cs="Times New Roman" w:eastAsia="Times New Roman" w:hAnsi="Times New Roman"/>
          <w:sz w:val="22"/>
          <w:szCs w:val="22"/>
          <w:color w:val="auto"/>
        </w:rPr>
      </w:pPr>
    </w:p>
    <w:p>
      <w:pPr>
        <w:jc w:val="both"/>
        <w:ind w:firstLine="644"/>
        <w:spacing w:after="0" w:line="263" w:lineRule="auto"/>
        <w:tabs>
          <w:tab w:leader="none" w:pos="1203"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US Patents listed in Schedule 6.15(m) of the Disclosure Letter (the “</w:t>
      </w:r>
      <w:r>
        <w:rPr>
          <w:rFonts w:ascii="Times New Roman" w:cs="Times New Roman" w:eastAsia="Times New Roman" w:hAnsi="Times New Roman"/>
          <w:sz w:val="22"/>
          <w:szCs w:val="22"/>
          <w:u w:val="single" w:color="auto"/>
          <w:color w:val="auto"/>
        </w:rPr>
        <w:t>TriSalus Product Patents</w:t>
      </w:r>
      <w:r>
        <w:rPr>
          <w:rFonts w:ascii="Times New Roman" w:cs="Times New Roman" w:eastAsia="Times New Roman" w:hAnsi="Times New Roman"/>
          <w:sz w:val="22"/>
          <w:szCs w:val="22"/>
          <w:color w:val="auto"/>
        </w:rPr>
        <w:t>”) is fully owned by a Loan Party and each of the TriSalus Product Patents is valid and enforceable and will remain so for the term of such TriSalus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191" w:name="page192"/>
    <w:bookmarkEnd w:id="191"/>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Product Patent. The inventors listed on the face of each TriSalus Product Patent are the sole and only inventors of the invention claimed in each patent and each such inventor has fully assigned his or her patent rights to a Loan Party, and there are no other inventors of the TriSalus Product Patents. One or more claims in each of the TriSalus Product Patents covers the current commercial version of TriNav or certain uses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6.16 </w:t>
      </w:r>
      <w:r>
        <w:rPr>
          <w:rFonts w:ascii="Times New Roman" w:cs="Times New Roman" w:eastAsia="Times New Roman" w:hAnsi="Times New Roman"/>
          <w:sz w:val="22"/>
          <w:szCs w:val="22"/>
          <w:u w:val="single" w:color="auto"/>
          <w:color w:val="auto"/>
        </w:rPr>
        <w:t>Material Agreements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61" w:lineRule="auto"/>
        <w:tabs>
          <w:tab w:leader="none" w:pos="1771"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Set forth on </w:t>
      </w:r>
      <w:r>
        <w:rPr>
          <w:rFonts w:ascii="Times New Roman" w:cs="Times New Roman" w:eastAsia="Times New Roman" w:hAnsi="Times New Roman"/>
          <w:sz w:val="21"/>
          <w:szCs w:val="21"/>
          <w:u w:val="single" w:color="auto"/>
          <w:color w:val="auto"/>
        </w:rPr>
        <w:t>Schedule 6.16</w:t>
      </w:r>
      <w:r>
        <w:rPr>
          <w:rFonts w:ascii="Times New Roman" w:cs="Times New Roman" w:eastAsia="Times New Roman" w:hAnsi="Times New Roman"/>
          <w:sz w:val="21"/>
          <w:szCs w:val="21"/>
          <w:color w:val="auto"/>
        </w:rPr>
        <w:t xml:space="preserve"> of the Disclosure Letter is a complete and accurate list as of the Closing Date, the First Delayed Draw Closing Date or the Second Delayed Draw Closing Date, as the case may be, of all Material Agreements of the Parent, the Borrower or any of the Subsidiaries, with an adequate description of the parties thereto, subject matter thereof and amendments and modifications thereto. As of such dates, respectively, each such Material Agreement (i) is in full force and effect and is legal, valid and binding upon and enforceable against the Parent, the Borrower and the Subsidiaries party thereto and all other parties thereto in accordance with its terms, (ii) has not been amended or otherwise modified and (iii) has not suffered a material default or breach by any parties thereto thereunder. As of such dates, respectively, none of the Parent, the Borrower or any of the Subsidiaries has taken or omitted to take any action that would permit any other Person party to any such Material Agreement to terminate such Material Agreement.</w:t>
      </w:r>
    </w:p>
    <w:p>
      <w:pPr>
        <w:spacing w:after="0" w:line="187" w:lineRule="exact"/>
        <w:rPr>
          <w:rFonts w:ascii="Times New Roman" w:cs="Times New Roman" w:eastAsia="Times New Roman" w:hAnsi="Times New Roman"/>
          <w:sz w:val="21"/>
          <w:szCs w:val="21"/>
          <w:color w:val="auto"/>
        </w:rPr>
      </w:pPr>
    </w:p>
    <w:p>
      <w:pPr>
        <w:ind w:left="660" w:firstLine="644"/>
        <w:spacing w:after="0" w:line="271" w:lineRule="auto"/>
        <w:tabs>
          <w:tab w:leader="none" w:pos="178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provided to the Administrative Agent and the Lenders full, complete and correct copies of all Material Agreements (including all exhibits and schedules thereto).</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6.17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The Parent, the Borrower and the Subsidiaries have all Permits, including Key Permits and Environmental Permits, necessary or required for the ownership, operation and conduct of their business and the testing and distribution of the Products. All such Permits are validly held and there are no material defaults thereunder.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6.18 </w:t>
      </w:r>
      <w:r>
        <w:rPr>
          <w:rFonts w:ascii="Times New Roman" w:cs="Times New Roman" w:eastAsia="Times New Roman" w:hAnsi="Times New Roman"/>
          <w:sz w:val="22"/>
          <w:szCs w:val="22"/>
          <w:u w:val="single" w:color="auto"/>
          <w:color w:val="auto"/>
        </w:rPr>
        <w:t>Regulatory Matters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50" w:lineRule="auto"/>
        <w:tabs>
          <w:tab w:leader="none" w:pos="178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of the Parent, the Borrower and the Subsidiaries has been, and currently is, being conducted in material compliance with all applicable U.S. federal, state, and local laws, as well as all applicable ordinances, rules, regulations, guidances, judgments, orders, injunctions, decrees, arbitration awards and Key Permits (collectively,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including, without limitation, the FD&amp;C Act, the Public Health Service Act (PHSA), and Privacy Laws, as well as similar Laws in any foreign jurisdiction. The Products of the Parent, the Borrower and the Subsidiaries are not, and have not been, “adulterated” or “misbranded” within the meaning of the FD&amp;C Act, nor do any such Products constitute an article prohibited from introduction into interstate commerce under the FD&amp;C Act.</w:t>
      </w:r>
    </w:p>
    <w:p>
      <w:pPr>
        <w:spacing w:after="0" w:line="180"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9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Products have been researched, developed, tested, manufactured, packaged, labeled, distributed, imported, exported, marketed or sold in compliance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92" w:name="page193"/>
    <w:bookmarkEnd w:id="192"/>
    <w:p>
      <w:pPr>
        <w:jc w:val="both"/>
        <w:spacing w:after="0" w:line="253" w:lineRule="auto"/>
        <w:rPr>
          <w:sz w:val="20"/>
          <w:szCs w:val="20"/>
          <w:color w:val="auto"/>
        </w:rPr>
      </w:pPr>
      <w:r>
        <w:rPr>
          <w:rFonts w:ascii="Times New Roman" w:cs="Times New Roman" w:eastAsia="Times New Roman" w:hAnsi="Times New Roman"/>
          <w:sz w:val="22"/>
          <w:szCs w:val="22"/>
          <w:color w:val="auto"/>
        </w:rPr>
        <w:t>material respects with all applicable requirements under the FD&amp;C Act and the regulations of the FDA promulgated thereunder and similar Laws in any foreign jurisdiction having authority over the Products, including those relating to investigational use, premarket approval or clearance, registration and listing, good manufacturing practices, quality systems regulations and requirements, ISO requirements, good clinical practices, good laboratory practices, labeling, advertising, record keeping and filing of required reports.</w:t>
      </w:r>
    </w:p>
    <w:p>
      <w:pPr>
        <w:spacing w:after="0" w:line="179" w:lineRule="exact"/>
        <w:rPr>
          <w:sz w:val="20"/>
          <w:szCs w:val="20"/>
          <w:color w:val="auto"/>
        </w:rPr>
      </w:pPr>
    </w:p>
    <w:p>
      <w:pPr>
        <w:jc w:val="both"/>
        <w:ind w:firstLine="644"/>
        <w:spacing w:after="0" w:line="248" w:lineRule="auto"/>
        <w:tabs>
          <w:tab w:leader="none" w:pos="123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the Borrower and the Subsidiaries own, free and clear of all Liens, except those permitted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all Key Permits, including all authorizations under the FD&amp;C Act and state Laws, necessary for the research, development and commercialization of the Products and to carry on the Parent’s, the Borrower’s and Subsidiaries’ businesses, as applicable. All such Key Permits are valid, and in full force and effect and the Parent, the Borrower and the Subsidiaries are in compliance in all material respects with all terms and conditions of such Key Permits. None of the Parent, the Borrower or any Subsidiary has received any written notice that any Key Permits have been or are being revoked, withdrawn, suspended, limited or challenged, and, to the Parent’s and the Borrower’s knowledge, there is no factual basis for any Governmental Authority to initiate a process that might result in any Key Permit being revoked, withdrawn, suspended, limited or challenged.</w:t>
      </w:r>
    </w:p>
    <w:p>
      <w:pPr>
        <w:spacing w:after="0" w:line="198" w:lineRule="exact"/>
        <w:rPr>
          <w:rFonts w:ascii="Times New Roman" w:cs="Times New Roman" w:eastAsia="Times New Roman" w:hAnsi="Times New Roman"/>
          <w:sz w:val="22"/>
          <w:szCs w:val="22"/>
          <w:color w:val="auto"/>
        </w:rPr>
      </w:pPr>
    </w:p>
    <w:p>
      <w:pPr>
        <w:jc w:val="both"/>
        <w:ind w:firstLine="644"/>
        <w:spacing w:after="0" w:line="247" w:lineRule="auto"/>
        <w:tabs>
          <w:tab w:leader="none" w:pos="112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made available to the Administrative Agent and the Lenders copies of all Key Permits and material correspondence submitted to or received from the FDA or other Governmental Authority (including minutes and official contact reports relating to any material communications with any Governmental Authority) in the Parent’s, the Borrower’s or any Subsidiary’s possession or control as requested by the Administrative Agent or any Lender. There has been no material untrue statement of fact and no fraudulent statement made by the Parent, the Borrower, any of the Subsidiaries, or any of their respective agents or representatives to the FDA or any other Governmental Authority, and there has been no failure to disclose any material fact required to be disclosed to the FDA or any other Governmental Authority. All applications, notifications, product reports, submissions, information, claims, reports and statistics, and other data and conclusions derived therefrom, utilized as the basis for or submitted in connection with any and all requests for Key Permits from any Governmental Authority, were truthful, complete and accurate in all material respects as of the date of submission and as of the date of the grant of such Key Permit. All necessary or required changes, supplements, amendments, modifications, updates, or corrections to such applications, notifications, submissions, information and data have been submitted to the applicable Governmental Authority.</w:t>
      </w:r>
    </w:p>
    <w:p>
      <w:pPr>
        <w:spacing w:after="0" w:line="192" w:lineRule="exact"/>
        <w:rPr>
          <w:rFonts w:ascii="Times New Roman" w:cs="Times New Roman" w:eastAsia="Times New Roman" w:hAnsi="Times New Roman"/>
          <w:sz w:val="22"/>
          <w:szCs w:val="22"/>
          <w:color w:val="auto"/>
        </w:rPr>
      </w:pPr>
    </w:p>
    <w:p>
      <w:pPr>
        <w:jc w:val="both"/>
        <w:ind w:firstLine="644"/>
        <w:spacing w:after="0" w:line="256" w:lineRule="auto"/>
        <w:tabs>
          <w:tab w:leader="none" w:pos="1223"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Parent, the Borrower or any Subsidiary has had any Product or Product manufacturing site (whether owned by the Parent, the Borrower, a Subsidiary or a contract manufacturer) subject to a Governmental Authority shutdown or import or export prohibition, nor received any notice of inspectional observations, “warning letters,” “untitled letters” or similar correspondence relating to Product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193" w:name="page194"/>
    <w:bookmarkEnd w:id="193"/>
    <w:p>
      <w:pPr>
        <w:jc w:val="both"/>
        <w:spacing w:after="0" w:line="253" w:lineRule="auto"/>
        <w:rPr>
          <w:sz w:val="20"/>
          <w:szCs w:val="20"/>
          <w:color w:val="auto"/>
        </w:rPr>
      </w:pPr>
      <w:r>
        <w:rPr>
          <w:rFonts w:ascii="Times New Roman" w:cs="Times New Roman" w:eastAsia="Times New Roman" w:hAnsi="Times New Roman"/>
          <w:sz w:val="22"/>
          <w:szCs w:val="22"/>
          <w:color w:val="auto"/>
        </w:rPr>
        <w:t>processes or procedures and asserting material noncompliance with any applicable Law or Permit and, to the knowledge of the Parent or Borrower, no Governmental Authority is considering such action. None of the Parent, the Borrower or any Subsidiary has had any Product manufacturing site (whether owned by the Parent, the Borrower, a Subsidiary or a contract manufacturer) subject to a material production slowdown or shutdown for reasons other than the order or request of a Governmental Authority.</w:t>
      </w:r>
    </w:p>
    <w:p>
      <w:pPr>
        <w:spacing w:after="0" w:line="179" w:lineRule="exact"/>
        <w:rPr>
          <w:sz w:val="20"/>
          <w:szCs w:val="20"/>
          <w:color w:val="auto"/>
        </w:rPr>
      </w:pPr>
    </w:p>
    <w:p>
      <w:pPr>
        <w:jc w:val="both"/>
        <w:ind w:firstLine="644"/>
        <w:spacing w:after="0" w:line="249" w:lineRule="auto"/>
        <w:tabs>
          <w:tab w:leader="none" w:pos="110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not and have not been any recalls, corrections, removals, field notifications, product replacements, seizures, market withdrawals, warnings, inquiries, “dear doctor” letters, investigator notices, safety alerts, or notices of any action or court order relating to an alleged lack of safety or regulatory compliance of the Products (“</w:t>
      </w:r>
      <w:r>
        <w:rPr>
          <w:rFonts w:ascii="Times New Roman" w:cs="Times New Roman" w:eastAsia="Times New Roman" w:hAnsi="Times New Roman"/>
          <w:sz w:val="22"/>
          <w:szCs w:val="22"/>
          <w:u w:val="single" w:color="auto"/>
          <w:color w:val="auto"/>
        </w:rPr>
        <w:t>Safety Notices</w:t>
      </w:r>
      <w:r>
        <w:rPr>
          <w:rFonts w:ascii="Times New Roman" w:cs="Times New Roman" w:eastAsia="Times New Roman" w:hAnsi="Times New Roman"/>
          <w:sz w:val="22"/>
          <w:szCs w:val="22"/>
          <w:color w:val="auto"/>
        </w:rPr>
        <w:t>”), or (ii) material product complaints associated with the Product. To the knowledge of the Parent or the Borrower, there are no facts that would be reasonably likely to result in (x) a material Safety Notice with respect to its products, (y) a material change in the labeling of any of its products, or (z) a termination or suspension of developing and testing of any of its products. All adverse events and malfunctions have been reported to applicable Governmental Authorities in accordance with Law.</w:t>
      </w:r>
    </w:p>
    <w:p>
      <w:pPr>
        <w:spacing w:after="0" w:line="181" w:lineRule="exact"/>
        <w:rPr>
          <w:rFonts w:ascii="Times New Roman" w:cs="Times New Roman" w:eastAsia="Times New Roman" w:hAnsi="Times New Roman"/>
          <w:sz w:val="22"/>
          <w:szCs w:val="22"/>
          <w:color w:val="auto"/>
        </w:rPr>
      </w:pPr>
    </w:p>
    <w:p>
      <w:pPr>
        <w:jc w:val="both"/>
        <w:ind w:firstLine="644"/>
        <w:spacing w:after="0" w:line="263" w:lineRule="auto"/>
        <w:tabs>
          <w:tab w:leader="none" w:pos="1121"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Parent’s and the Borrower’s knowledge, no investigation by any Governmental Authority with respect to the Parent, the Borrower or any of the Subsidiaries is pending or has been threatened in writing that would reasonably be expected to materially adversely affect the Parent, the Borrower and the Subsidiaries. None of the Parent, the Borrower or any Subsidiary has received any written communication from any Person (including any Governmental Authority) of any material noncompliance with any Laws or any written communication from any Governmental Authority or accrediting organization of any material issues, problems, or concerns regarding the quality or performance of the Products, or the practices of the Parent, the Borrower or any of the Subsidiaries with respect to advertising, promoting, or otherwise commercializing the Products, and to the knowledge of the Parent or the Borrower, there is no basis for any adverse and material regulatory action against the Parent, the Borrower or any of the Subsidiaries.</w:t>
      </w:r>
    </w:p>
    <w:p>
      <w:pPr>
        <w:spacing w:after="0" w:line="169" w:lineRule="exact"/>
        <w:rPr>
          <w:rFonts w:ascii="Times New Roman" w:cs="Times New Roman" w:eastAsia="Times New Roman" w:hAnsi="Times New Roman"/>
          <w:sz w:val="21"/>
          <w:szCs w:val="21"/>
          <w:color w:val="auto"/>
        </w:rPr>
      </w:pPr>
    </w:p>
    <w:p>
      <w:pPr>
        <w:jc w:val="both"/>
        <w:ind w:firstLine="644"/>
        <w:spacing w:after="0" w:line="253" w:lineRule="auto"/>
        <w:tabs>
          <w:tab w:leader="none" w:pos="119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right of the Parent, the Borrower or any of its Subsidiaries to receive reimbursements pursuant to any government program or private program has ever been terminated or otherwise materially adversely affected as a result of any investigation or enforcement action, whether by any Governmental Authority or other Third Party, and none of the Parent, the Borrower or any of the Subsidiaries is the subject of any inspection, investigation, or audit, by any Governmental Authority in connection with any alleged improper activity.</w:t>
      </w:r>
    </w:p>
    <w:p>
      <w:pPr>
        <w:spacing w:after="0" w:line="178" w:lineRule="exact"/>
        <w:rPr>
          <w:rFonts w:ascii="Times New Roman" w:cs="Times New Roman" w:eastAsia="Times New Roman" w:hAnsi="Times New Roman"/>
          <w:sz w:val="22"/>
          <w:szCs w:val="22"/>
          <w:color w:val="auto"/>
        </w:rPr>
      </w:pPr>
    </w:p>
    <w:p>
      <w:pPr>
        <w:jc w:val="both"/>
        <w:ind w:firstLine="644"/>
        <w:spacing w:after="0" w:line="256" w:lineRule="auto"/>
        <w:tabs>
          <w:tab w:leader="none" w:pos="113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arrangement relating to the Parent, the Borrower or the Subsidiaries providing for any rebates, kickbacks or other forms of compensation that are unlawful to be paid to any Person in return for the purchase or use of any of the Products or for the referral of business or for the arrangement for recommendation of such referrals. All billings by the Parent, the Borrower and its Subsidiaries for its services,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194" w:name="page195"/>
    <w:bookmarkEnd w:id="194"/>
    <w:p>
      <w:pPr>
        <w:jc w:val="both"/>
        <w:spacing w:after="0" w:line="257" w:lineRule="auto"/>
        <w:rPr>
          <w:sz w:val="20"/>
          <w:szCs w:val="20"/>
          <w:color w:val="auto"/>
        </w:rPr>
      </w:pPr>
      <w:r>
        <w:rPr>
          <w:rFonts w:ascii="Times New Roman" w:cs="Times New Roman" w:eastAsia="Times New Roman" w:hAnsi="Times New Roman"/>
          <w:sz w:val="22"/>
          <w:szCs w:val="22"/>
          <w:color w:val="auto"/>
        </w:rPr>
        <w:t>any, have been true and correct in all material respects (other than any inadvertent errors corrected in the ordinary course of business) and, to the Parent’s and the Borrower’s knowledge, are in compliance in all material respects with all applicable Laws, including the Federal False Claims Act or any applicable state false claim or fraud Law.</w:t>
      </w:r>
    </w:p>
    <w:p>
      <w:pPr>
        <w:spacing w:after="0" w:line="186" w:lineRule="exact"/>
        <w:rPr>
          <w:sz w:val="20"/>
          <w:szCs w:val="20"/>
          <w:color w:val="auto"/>
        </w:rPr>
      </w:pPr>
    </w:p>
    <w:p>
      <w:pPr>
        <w:jc w:val="both"/>
        <w:ind w:firstLine="644"/>
        <w:spacing w:after="0" w:line="259" w:lineRule="auto"/>
        <w:tabs>
          <w:tab w:leader="none" w:pos="1078"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Parent, the Borrower or any of the Subsidiaries nor, to the Parent’s or the Borrower’s knowledge, any individual who is an officer, director, manager, employee, stockholder, agent or managing agent of the Parent, the Borrower or any of the Subsidiaries has been convicted of, charged with or, to the Parent’s or the Borrower’s knowledge, investigated for any federal or state health program-related offense or any other offense related to healthcare or been excluded or suspended from participation in any such program; or, to the Parent’s or the Borrower’s knowledge, has been convicted of, charged with or, to the Parent’s or the Borrower’s knowledge, investigated for a violation of Laws related to fraud, theft, embezzlement, breach of fiduciary responsibility, financial misconduct, obstruction of an investigation or controlled substances, or has been subject to any judgment, stipulation, order or decree of, or criminal or civil fine or penalty imposed by, any Governmental Authority related to fraud, theft, embezzlement, breach of fiduciary responsibility, financial misconduct, obstruction of an investigation or controlled substances. None of the Parent, the Borrower or any of the Subsidiaries nor, to the Parent’s or the Borrower’s knowledge, any individual who is an officer, director, manager, employee, stockholder, agent or managing agent of the Parent, the Borrower or any of the Subsidiaries has been convicted of any crime or engaged in any conduct that has resulted or would reasonably be expected to result in a debarment or exclusion under (i) 21 U.S.C. Section 335a, (ii) Section 1128 of the Social Security Act or (iii) any similar applicable Law. No debarment proceedings or investigations in respect of the business of the Parent, the Borrower or any of the Subsidiaries, are pending or, to the Parent’s or the Borrower’s knowledge, threatened in writing against the Parent, the Borrower, any of the Subsidiaries or any individual who is an officer, director, manager or employee of, or, to the Parent’s or the Borrower’s knowledge, an agent or managing agent of, the Parent, the Borrower or any of the Subsidiaries.</w:t>
      </w:r>
    </w:p>
    <w:p>
      <w:pPr>
        <w:spacing w:after="0" w:line="182" w:lineRule="exact"/>
        <w:rPr>
          <w:rFonts w:ascii="Times New Roman" w:cs="Times New Roman" w:eastAsia="Times New Roman" w:hAnsi="Times New Roman"/>
          <w:sz w:val="21"/>
          <w:szCs w:val="21"/>
          <w:color w:val="auto"/>
        </w:rPr>
      </w:pPr>
    </w:p>
    <w:p>
      <w:pPr>
        <w:jc w:val="both"/>
        <w:ind w:firstLine="644"/>
        <w:spacing w:after="0" w:line="249" w:lineRule="auto"/>
        <w:tabs>
          <w:tab w:leader="none" w:pos="1127"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Products were researched, developed, designed and validated in compliance in all material respects with all applicable Laws, including the FD&amp;C Act, Privacy Laws and state laws. All studies, tests and preclinical and clinical trials conducted relating to the Products, by or on behalf of the Parent, the Borrower and the Subsidiaries and, to the knowledge of the Parent and the Borrower, their respective licensees, licensors and Third Party services providers and consultants, have been conducted, and are currently being conducted, in compliance in all material respects with all applicable Laws, procedures and controls pursuant to, where applicable, current good clinical practices and current good laboratory practices. All results of such studies, tests and trials, and all other material information related to such studies, tests and trials, have been made available to the Administrative Agent or any Lender as requested by it. To the extent required by applicable Law, the Parent, the Borrower and the Subsidiaries have obtained all necessary Regulatory Authorizations, including an investigational device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195" w:name="page196"/>
    <w:bookmarkEnd w:id="195"/>
    <w:p>
      <w:pPr>
        <w:ind w:left="660" w:right="20"/>
        <w:spacing w:after="0" w:line="271" w:lineRule="auto"/>
        <w:rPr>
          <w:sz w:val="20"/>
          <w:szCs w:val="20"/>
          <w:color w:val="auto"/>
        </w:rPr>
      </w:pPr>
      <w:r>
        <w:rPr>
          <w:rFonts w:ascii="Times New Roman" w:cs="Times New Roman" w:eastAsia="Times New Roman" w:hAnsi="Times New Roman"/>
          <w:sz w:val="22"/>
          <w:szCs w:val="22"/>
          <w:color w:val="auto"/>
        </w:rPr>
        <w:t>exemption (IDE) for the conduct of any clinical investigations conducted by or on behalf of the Parent, the Borrower or any of the Subsidiaries.</w:t>
      </w:r>
    </w:p>
    <w:p>
      <w:pPr>
        <w:spacing w:after="0" w:line="158" w:lineRule="exact"/>
        <w:rPr>
          <w:sz w:val="20"/>
          <w:szCs w:val="20"/>
          <w:color w:val="auto"/>
        </w:rPr>
      </w:pPr>
    </w:p>
    <w:p>
      <w:pPr>
        <w:jc w:val="both"/>
        <w:ind w:left="660" w:firstLine="644"/>
        <w:spacing w:after="0" w:line="250" w:lineRule="auto"/>
        <w:tabs>
          <w:tab w:leader="none" w:pos="191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Parent’s and the Borrower’s knowledge, none of the clinical investigators in any clinical trial conducted by or on behalf of the Parent, the Borrower or any Subsidiary has been or is disqualified or otherwise sanctioned by the FDA, the Department of Health and Human Services, or any other Governmental Authority and, to the Parent’s and the Borrower’s knowledge, no such disqualification, or other sanction of any such clinical investigator is pending or threatened in writing. None of the Parent, the Borrower or any of the Subsidiaries has received from the FDA or other applicable Governmental Authority any written notices or correspondence requiring or threatening the termination, suspension, material modification or clinical hold of any clinical trials conducted by, or on behalf of, the Parent, the Borrower or any of the Subsidiaries.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6.19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None of the Parent, the Borrower or any Subsidiary has entered into, renewed, extended or been a party to, any transaction (including the purchase, sale, lease, transfer or exchange of property or assets of any kind or the rendering of services of any kind) with any of its Affiliates during the three-year period immediately prior to the Closing Date, and, except as would be permitted under Section 8.10, during the three-year period immediately prior to the First Delayed Draw Closing Date or the Delayed Draw Closing Date.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6.20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None of the Parent, the Borrower or any Subsidiary is an “investment company” or is “controlled” by an “investment company,” as such terms are defined in, or subject to regulation under, the Investment Company Act of 1940, as amended.</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SECTION 6.21 </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None of the Parent, the Borrower, any Subsidiary or, to the knowledge of the Parent or the Borrower, any Related Party (a) is currently the subject of any Sanctions, (b) is located, organized or residing in any Designated Jurisdiction, or (c) is or has been (within the previous five years) engaged in any transaction with any Person who is now or was then the subject of Sanctions or who is located, organized or residing in any Designated Jurisdiction. No Loan, nor the proceeds from any Loan, has been or will be used, directly or indirectly, to lend, contribute or provide to, or has been or will be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the Administrative Agent, any Lender and its Affiliates) of Sanctions.</w:t>
      </w:r>
    </w:p>
    <w:p>
      <w:pPr>
        <w:spacing w:after="0" w:line="1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6.22 </w:t>
      </w:r>
      <w:r>
        <w:rPr>
          <w:rFonts w:ascii="Times New Roman" w:cs="Times New Roman" w:eastAsia="Times New Roman" w:hAnsi="Times New Roman"/>
          <w:sz w:val="22"/>
          <w:szCs w:val="22"/>
          <w:u w:val="single" w:color="auto"/>
          <w:color w:val="auto"/>
        </w:rPr>
        <w:t>Deposit and Disbursement Accounts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6.22</w:t>
      </w:r>
      <w:r>
        <w:rPr>
          <w:rFonts w:ascii="Times New Roman" w:cs="Times New Roman" w:eastAsia="Times New Roman" w:hAnsi="Times New Roman"/>
          <w:sz w:val="22"/>
          <w:szCs w:val="22"/>
          <w:color w:val="auto"/>
        </w:rPr>
        <w:t xml:space="preserve"> of the Disclosure Letter is a complete and accurate list as of the Closing Date, the First Delayed Draw Closing Date or the Second Delayed Draw Closing Date, as the case may be, of all banks and other financial institutions at which the Parent, the Borrower or any Subsidiary maintains deposit accounts, lockboxes, disbursement accounts, investment accounts or other similar accounts, such Schedule correctly identifies the name, address and telephone number of each bank or financial institution, the name in which each such account is held, the type of each such account,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96" w:name="page197"/>
    <w:bookmarkEnd w:id="196"/>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complete account number for each such account, and each such account (other than Excluded Accounts) is a Controlled Account to the extent required pursuant to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6.23 </w:t>
      </w:r>
      <w:r>
        <w:rPr>
          <w:rFonts w:ascii="Times New Roman" w:cs="Times New Roman" w:eastAsia="Times New Roman" w:hAnsi="Times New Roman"/>
          <w:sz w:val="22"/>
          <w:szCs w:val="22"/>
          <w:u w:val="single" w:color="auto"/>
          <w:color w:val="auto"/>
        </w:rPr>
        <w:t>Data Privacy and Information Security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660" w:firstLine="644"/>
        <w:spacing w:after="0" w:line="248" w:lineRule="auto"/>
        <w:tabs>
          <w:tab w:leader="none" w:pos="1855"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the Borrower and the Subsidiaries maintain appropriate data security policies, processes, and controls and an appropriate, comprehensive privacy program, all of which meet or exceed any requirements of applicable Law. None of the Parent’s, the Borrower’s or any Subsidiary’s privacy statements or disclosures have been or are misleading or deceptive, and the contemplated transactions to be consummated hereunder as of the Closing Date will not violate any privacy statements, other consumer-facing disclosures or Laws. There is not currently pending and there has not been in the past five years any action, proceeding, suit or claim against the Parent, the Borrower or the Subsidiaries with respect to privacy or data security, and, to the knowledge of the Parent and the Borrower, none of the Parent, the Borrower or any Subsidiary or any Products have experienced any security incident in which an unauthorized party accessed or acquired Personal Data or Confidential Business Information.</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64" w:lineRule="auto"/>
        <w:tabs>
          <w:tab w:leader="none" w:pos="1772"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the Borrower and the Subsidiaries have contractually obligated all Data Processors to appropriate contractual terms relating to the protection and use of Personal Data and IT Assets, including without limitation obligations to (i) comply with applicable Privacy Laws, (ii) implement an appropriate information security program that includes reasonable administrative, technical, and physical safeguards to protect the applicable data and/or systems,</w:t>
      </w:r>
    </w:p>
    <w:p>
      <w:pPr>
        <w:jc w:val="both"/>
        <w:ind w:left="660" w:hanging="4"/>
        <w:spacing w:after="0" w:line="249" w:lineRule="auto"/>
        <w:tabs>
          <w:tab w:leader="none" w:pos="1055"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 processing of Personal Data to those authorized or required under the servicing, outsourcing, processing, or similar arrangement, and (iv) certify or guarantee the return or adequate disposal or destruction of Personal Data. The Parent, the Borrower and the Subsidiaries have taken reasonable measures to ensure that all Data Processors have complied with their contractual obligations.</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0" w:lineRule="auto"/>
        <w:tabs>
          <w:tab w:leader="none" w:pos="1816"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IT Assets are sufficient and operate and perform as is necessary to conduct the business of the Parent, the Borrower and the Subsidiaries as currently conducted and as currently proposed to be conducted by the Parent, the Borrower and the Subsidiaries. Neither the IT Assets nor any Products contain any “virus,” “spyware,” “malware,” “worm,” “Trojan horse” (as such terms are commonly understood in the software industry), disabling codes or instructions, or other similar code or software routines or components that are designed or intended to delete, destroy, disable, interfere with, perform unauthorized modifications to, or provide unauthorized access to any data, files, software, system, network, or other device. The Parent, the Borrower and the Subsidiaries have established, implemented and tested backup and disaster recovery policies, procedures and systems consistent with generally accepted industry standards, and sufficient to reasonably maintain the operation of the business of the Parent, the Borrower and the Subsidiaries as currently conducted and as currently proposed to be conducted by the Parent, the Borrower and the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97" w:name="page198"/>
    <w:bookmarkEnd w:id="197"/>
    <w:p>
      <w:pPr>
        <w:jc w:val="both"/>
        <w:ind w:left="660" w:firstLine="644"/>
        <w:spacing w:after="0" w:line="250" w:lineRule="auto"/>
        <w:tabs>
          <w:tab w:leader="none" w:pos="190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the Borrower, the Subsidiaries, and any Data Processors have implemented and maintained reasonable and appropriate organizational, physical, administrative and technical measures consistent with the state of the art for the industry in which the Parent, the Borrower or any Subsidiary operates to protect the operation, confidentiality, integrity, and security of all Confidential Business Information, Personal Data and IT Assets (including, for clarity, all information and transactions stored or contained therein or transmitted thereby) against unauthorized access, acquisition, interruption, alteration, modification, or use. No Person has obtained unauthorized access to or use of any Confidential Business Information, Personal Data and IT Assets.</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78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the Borrower and the Subsidiaries have taken or caused to be taken all reasonable precautions to ensure that all IT Assets (i) are free from any defect, bug, virus or programming, design or documentation error or corruption or other defect, and (ii) are fully functional and operate and run in a reasonable and efficient business manner. None of the IT Assets have malfunctioned or failed or have experienced any breakdowns or continued substandard performance in the past 24 months that has caused substantial disruption or substantial interruption in the Parent’s, the Borrower’s or any Subsidiary’s use thereof or to the business of the Parent, the Borrower and the Subsidiaries.</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6.24 </w:t>
      </w:r>
      <w:r>
        <w:rPr>
          <w:rFonts w:ascii="Times New Roman" w:cs="Times New Roman" w:eastAsia="Times New Roman" w:hAnsi="Times New Roman"/>
          <w:sz w:val="22"/>
          <w:szCs w:val="22"/>
          <w:u w:val="single" w:color="auto"/>
          <w:color w:val="auto"/>
        </w:rPr>
        <w:t>HIPAA</w:t>
      </w:r>
      <w:r>
        <w:rPr>
          <w:rFonts w:ascii="Times New Roman" w:cs="Times New Roman" w:eastAsia="Times New Roman" w:hAnsi="Times New Roman"/>
          <w:sz w:val="22"/>
          <w:szCs w:val="22"/>
          <w:color w:val="auto"/>
        </w:rPr>
        <w:t>. None of the Parent, the Borrower and the Subsidiaries (i) operates as a Covered Entity or a Business Associate, as those terms are defined in 45 C.F.R. § 160.103; or (ii) is a party to a business associate contract, as described in 45 C.F.R. § 164.504(e)(2).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Each of the Parent and the Borrower covenants and agrees with the Administrative Agent and the Lenders that until the Termination Date has occurred, the Parent and the Borrower, as applicable, will, and will cause the Subsidiaries to, perform or cause to be performed the obligations set forth below.</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Financial Information, Reports, Notices, Etc</w:t>
      </w:r>
      <w:r>
        <w:rPr>
          <w:rFonts w:ascii="Times New Roman" w:cs="Times New Roman" w:eastAsia="Times New Roman" w:hAnsi="Times New Roman"/>
          <w:sz w:val="22"/>
          <w:szCs w:val="22"/>
          <w:color w:val="auto"/>
        </w:rPr>
        <w:t>. The Borrower will furnish the Administrative Agent for further delivery to the Lenders copies of the following financial statements, reports, notices and information:</w:t>
      </w:r>
    </w:p>
    <w:p>
      <w:pPr>
        <w:spacing w:after="0" w:line="158" w:lineRule="exact"/>
        <w:rPr>
          <w:sz w:val="20"/>
          <w:szCs w:val="20"/>
          <w:color w:val="auto"/>
        </w:rPr>
      </w:pPr>
    </w:p>
    <w:p>
      <w:pPr>
        <w:jc w:val="both"/>
        <w:ind w:left="660" w:firstLine="644"/>
        <w:spacing w:after="0" w:line="250" w:lineRule="auto"/>
        <w:tabs>
          <w:tab w:leader="none" w:pos="176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30 days after the end of each calendar month, beginning with the month ending April 30, 2024, in each case with supporting detail and certified as complete and correct by the chief financial or accounting Authorized Officer of the Borrower (subject to normal year-end audit adjustments), unaudited reports of (A) the Product Revenue Base for such calendar month, for the year-to-date portion of the applicable Fiscal Year and for the trailing 12-month period ending as of the last day of such calendar month, and including in comparative form the figures for the corresponding calendar month in, and the year-to-date portion of, and for the trailing 12-month period ending as of the last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198" w:name="page199"/>
    <w:bookmarkEnd w:id="198"/>
    <w:p>
      <w:pPr>
        <w:jc w:val="both"/>
        <w:spacing w:after="0" w:line="253" w:lineRule="auto"/>
        <w:rPr>
          <w:sz w:val="20"/>
          <w:szCs w:val="20"/>
          <w:color w:val="auto"/>
        </w:rPr>
      </w:pPr>
      <w:r>
        <w:rPr>
          <w:rFonts w:ascii="Times New Roman" w:cs="Times New Roman" w:eastAsia="Times New Roman" w:hAnsi="Times New Roman"/>
          <w:sz w:val="22"/>
          <w:szCs w:val="22"/>
          <w:color w:val="auto"/>
        </w:rPr>
        <w:t>corresponding month in, the immediately preceding Fiscal Year, (B) the Liquidity at the end of such calendar month, and at the end of the corresponding calendar month in the preceding Fiscal Year, (C) the number of employees as of the last day of such calendar month, (D) units of TriNav sold during such calendar month, including comparative figures against the Parent’s projections and budget, and (E) the Borrower-prepared monthly dashboard, substantially in the form shared with the Administrative Agent prior to the Closing Date;</w:t>
      </w:r>
    </w:p>
    <w:p>
      <w:pPr>
        <w:spacing w:after="0" w:line="179" w:lineRule="exact"/>
        <w:rPr>
          <w:sz w:val="20"/>
          <w:szCs w:val="20"/>
          <w:color w:val="auto"/>
        </w:rPr>
      </w:pPr>
    </w:p>
    <w:p>
      <w:pPr>
        <w:jc w:val="both"/>
        <w:ind w:firstLine="644"/>
        <w:spacing w:after="0" w:line="248" w:lineRule="auto"/>
        <w:tabs>
          <w:tab w:leader="none" w:pos="113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45 days after the end of each Fiscal Quarter of each Fiscal Year, beginning with the Fiscal Quarter ending March 31, 2024, an unaudited consolidated balance sheet of the Parent and the Subsidiaries as of the end of such Fiscal Quarter and consolidated statements of operations and cash flows of the Parent and the Subsidiaries for such Fiscal Quarter and for the period commencing at the end of the previous Fiscal Year and ending with the end of such Fiscal Quarter, and including (in each case) in comparative form the figures for the corresponding Fiscal Quarter in, the year-to-date portion of, and the trailing 12-month period ending as of the last day of the corresponding Fiscal Quarter in, the immediately preceding Fiscal Year, certified as complete and correct by the chief financial or accounting Authorized Officer of the Parent (subject to normal year-end audit adjustments and the absence of footnotes);</w:t>
      </w:r>
    </w:p>
    <w:p>
      <w:pPr>
        <w:spacing w:after="0" w:line="198" w:lineRule="exact"/>
        <w:rPr>
          <w:rFonts w:ascii="Times New Roman" w:cs="Times New Roman" w:eastAsia="Times New Roman" w:hAnsi="Times New Roman"/>
          <w:sz w:val="22"/>
          <w:szCs w:val="22"/>
          <w:color w:val="auto"/>
        </w:rPr>
      </w:pPr>
    </w:p>
    <w:p>
      <w:pPr>
        <w:jc w:val="both"/>
        <w:ind w:firstLine="644"/>
        <w:spacing w:after="0" w:line="250" w:lineRule="auto"/>
        <w:tabs>
          <w:tab w:leader="none" w:pos="117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90 days after the end of each Fiscal Year beginning with the Fiscal Year ended December 31, 2024, (i) a copy of the consolidated balance sheet of the Parent and the Subsidiaries, and the related consolidated statements of operations, cash flows and stockholders’ equity (or deficit) of the Parent and the Subsidiaries for such Fiscal Year, setting forth in comparative form the figures for the immediately preceding Fiscal Year, audited (without any Impermissible Qualification) by independent public accountants reasonably acceptable to the Lenders, it being understood that KPMG LLP are the current auditors of the Parent and are deemed acceptable to the Lender;</w:t>
      </w:r>
    </w:p>
    <w:p>
      <w:pPr>
        <w:spacing w:after="0" w:line="180" w:lineRule="exact"/>
        <w:rPr>
          <w:rFonts w:ascii="Times New Roman" w:cs="Times New Roman" w:eastAsia="Times New Roman" w:hAnsi="Times New Roman"/>
          <w:sz w:val="22"/>
          <w:szCs w:val="22"/>
          <w:color w:val="auto"/>
        </w:rPr>
      </w:pPr>
    </w:p>
    <w:p>
      <w:pPr>
        <w:jc w:val="both"/>
        <w:ind w:firstLine="644"/>
        <w:spacing w:after="0" w:line="261" w:lineRule="auto"/>
        <w:tabs>
          <w:tab w:leader="none" w:pos="1135"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concurrently with the delivery of the financial information pursuant to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 Compliance Certificate, executed by the chief financial or accounting Authorized Officer of the Borrower, (i) showing compliance with the financial covenant set forth in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and stating that no Default has occurred and is continuing (or, if a Default has occurred, specifying the details of such Default and the action that the Parent, the Borrower or any of the Subsidiaries has taken or proposes to take with respect thereto), (ii) stating that no Subsidiary (other than any Excluded Subsidiary) has been formed or acquired since the delivery of the last Compliance Certificate (or, if a Subsidiary has been formed or acquired since the delivery of the last Compliance Certificate, a statement that such Subsidiary has complied with </w:t>
      </w:r>
      <w:r>
        <w:rPr>
          <w:rFonts w:ascii="Times New Roman" w:cs="Times New Roman" w:eastAsia="Times New Roman" w:hAnsi="Times New Roman"/>
          <w:sz w:val="21"/>
          <w:szCs w:val="21"/>
          <w:u w:val="single" w:color="auto"/>
          <w:color w:val="auto"/>
        </w:rPr>
        <w:t>Section 7.8</w:t>
      </w:r>
      <w:r>
        <w:rPr>
          <w:rFonts w:ascii="Times New Roman" w:cs="Times New Roman" w:eastAsia="Times New Roman" w:hAnsi="Times New Roman"/>
          <w:sz w:val="21"/>
          <w:szCs w:val="21"/>
          <w:color w:val="auto"/>
        </w:rPr>
        <w:t xml:space="preserve">), (iii) stating that no real property has been acquired by the Parent, the Borrower or any of the Subsidiaries since the delivery of the last Compliance Certificate (or, if any real property has been acquired since the delivery of the last Compliance Certificate, a statement that the Parent, the Borrower or such Subsidiary has complied with </w:t>
      </w:r>
      <w:r>
        <w:rPr>
          <w:rFonts w:ascii="Times New Roman" w:cs="Times New Roman" w:eastAsia="Times New Roman" w:hAnsi="Times New Roman"/>
          <w:sz w:val="21"/>
          <w:szCs w:val="21"/>
          <w:u w:val="single" w:color="auto"/>
          <w:color w:val="auto"/>
        </w:rPr>
        <w:t>Section 7.8</w:t>
      </w:r>
      <w:r>
        <w:rPr>
          <w:rFonts w:ascii="Times New Roman" w:cs="Times New Roman" w:eastAsia="Times New Roman" w:hAnsi="Times New Roman"/>
          <w:sz w:val="21"/>
          <w:szCs w:val="21"/>
          <w:color w:val="auto"/>
        </w:rPr>
        <w:t xml:space="preserve"> with respect to such real property), and (iv) stating that no rental payments on any 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199" w:name="page200"/>
    <w:bookmarkEnd w:id="199"/>
    <w:p>
      <w:pPr>
        <w:jc w:val="both"/>
        <w:spacing w:after="0" w:line="275" w:lineRule="auto"/>
        <w:rPr>
          <w:sz w:val="20"/>
          <w:szCs w:val="20"/>
          <w:color w:val="auto"/>
        </w:rPr>
      </w:pPr>
      <w:r>
        <w:rPr>
          <w:rFonts w:ascii="Times New Roman" w:cs="Times New Roman" w:eastAsia="Times New Roman" w:hAnsi="Times New Roman"/>
          <w:sz w:val="21"/>
          <w:szCs w:val="21"/>
          <w:color w:val="auto"/>
        </w:rPr>
        <w:t>real property of the Parent, the Borrower and its Subsidiaries are more than 30 days past due (or if any rental payments are more than 30 days past due, specifying the payment amounts that are past due, the amount of days such payments are past due and the action that the Parent, the Borrower or such Subsidiary has taken or proposes to take with respect thereto;</w:t>
      </w:r>
    </w:p>
    <w:p>
      <w:pPr>
        <w:spacing w:after="0" w:line="169" w:lineRule="exact"/>
        <w:rPr>
          <w:sz w:val="20"/>
          <w:szCs w:val="20"/>
          <w:color w:val="auto"/>
        </w:rPr>
      </w:pPr>
    </w:p>
    <w:p>
      <w:pPr>
        <w:jc w:val="both"/>
        <w:ind w:firstLine="644"/>
        <w:spacing w:after="0" w:line="252" w:lineRule="auto"/>
        <w:tabs>
          <w:tab w:leader="none" w:pos="118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possible and in any event within three Business Days after the Parent or the Borrower obtains knowledge of the occurrence of a Default, a statement of an Authorized Officer of the Borrower setting forth details of such Default and the action which the Parent, the Borrower or any of the Subsidiaries has taken or proposes to take with respect thereto;</w:t>
      </w:r>
    </w:p>
    <w:p>
      <w:pPr>
        <w:spacing w:after="0" w:line="179" w:lineRule="exact"/>
        <w:rPr>
          <w:rFonts w:ascii="Times New Roman" w:cs="Times New Roman" w:eastAsia="Times New Roman" w:hAnsi="Times New Roman"/>
          <w:sz w:val="22"/>
          <w:szCs w:val="22"/>
          <w:color w:val="auto"/>
        </w:rPr>
      </w:pPr>
    </w:p>
    <w:p>
      <w:pPr>
        <w:jc w:val="both"/>
        <w:ind w:firstLine="644"/>
        <w:spacing w:after="0" w:line="253" w:lineRule="auto"/>
        <w:tabs>
          <w:tab w:leader="none" w:pos="116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possible and in any event within three Business Days after the Parent or the Borrower obtains knowledge of (i) the occurrence of any material adverse development with respect to any litigation, action, proceeding or labor controversy described in </w:t>
      </w:r>
      <w:r>
        <w:rPr>
          <w:rFonts w:ascii="Times New Roman" w:cs="Times New Roman" w:eastAsia="Times New Roman" w:hAnsi="Times New Roman"/>
          <w:sz w:val="22"/>
          <w:szCs w:val="22"/>
          <w:u w:val="single" w:color="auto"/>
          <w:color w:val="auto"/>
        </w:rPr>
        <w:t>Schedule 6.7(a)</w:t>
      </w:r>
      <w:r>
        <w:rPr>
          <w:rFonts w:ascii="Times New Roman" w:cs="Times New Roman" w:eastAsia="Times New Roman" w:hAnsi="Times New Roman"/>
          <w:sz w:val="22"/>
          <w:szCs w:val="22"/>
          <w:color w:val="auto"/>
        </w:rPr>
        <w:t xml:space="preserve"> of the Disclosure Letter or (ii) the commencement of any litigation, action, proceeding or labor controversy of the type and materiality described in </w:t>
      </w:r>
      <w:r>
        <w:rPr>
          <w:rFonts w:ascii="Times New Roman" w:cs="Times New Roman" w:eastAsia="Times New Roman" w:hAnsi="Times New Roman"/>
          <w:sz w:val="22"/>
          <w:szCs w:val="22"/>
          <w:u w:val="single" w:color="auto"/>
          <w:color w:val="auto"/>
        </w:rPr>
        <w:t>Section 6.7</w:t>
      </w:r>
      <w:r>
        <w:rPr>
          <w:rFonts w:ascii="Times New Roman" w:cs="Times New Roman" w:eastAsia="Times New Roman" w:hAnsi="Times New Roman"/>
          <w:sz w:val="22"/>
          <w:szCs w:val="22"/>
          <w:color w:val="auto"/>
        </w:rPr>
        <w:t>, notice thereof and, to the extent the Administrative Agent or any Lender requests, copies of all documentation relating thereto;</w:t>
      </w:r>
    </w:p>
    <w:p>
      <w:pPr>
        <w:spacing w:after="0" w:line="178" w:lineRule="exact"/>
        <w:rPr>
          <w:rFonts w:ascii="Times New Roman" w:cs="Times New Roman" w:eastAsia="Times New Roman" w:hAnsi="Times New Roman"/>
          <w:sz w:val="22"/>
          <w:szCs w:val="22"/>
          <w:color w:val="auto"/>
        </w:rPr>
      </w:pPr>
    </w:p>
    <w:p>
      <w:pPr>
        <w:ind w:right="20" w:firstLine="644"/>
        <w:spacing w:after="0" w:line="271" w:lineRule="auto"/>
        <w:tabs>
          <w:tab w:leader="none" w:pos="119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possible and in any event within three Business Days after the Parent or the Borrower obtains knowledge of any return, recovery, dispute or claim related to Product or inventory that involves more than $[***];</w:t>
      </w:r>
    </w:p>
    <w:p>
      <w:pPr>
        <w:spacing w:after="0" w:line="171" w:lineRule="exact"/>
        <w:rPr>
          <w:rFonts w:ascii="Times New Roman" w:cs="Times New Roman" w:eastAsia="Times New Roman" w:hAnsi="Times New Roman"/>
          <w:sz w:val="22"/>
          <w:szCs w:val="22"/>
          <w:color w:val="auto"/>
        </w:rPr>
      </w:pPr>
    </w:p>
    <w:p>
      <w:pPr>
        <w:jc w:val="both"/>
        <w:ind w:firstLine="644"/>
        <w:spacing w:after="0" w:line="251" w:lineRule="auto"/>
        <w:tabs>
          <w:tab w:leader="none" w:pos="119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possible and in any event within three Business Days after the Parent or the Borrower obtains knowledge of (i) any claim that the Parent, the Borrower, any of the Subsidiaries or one of their ERISA Affiliates has actual or potential liability under an Identified Benefit Plan that would be expected to result in a liability in excess of $[***], (ii) any effort to unionize the employees of the Parent, the Borrower or any Subsidiary, or (iii) non-routine correspondence with the Internal Revenue Service regarding the qualification of a retirement plan under Section 401(a) of the Code.</w:t>
      </w:r>
    </w:p>
    <w:p>
      <w:pPr>
        <w:spacing w:after="0" w:line="181" w:lineRule="exact"/>
        <w:rPr>
          <w:rFonts w:ascii="Times New Roman" w:cs="Times New Roman" w:eastAsia="Times New Roman" w:hAnsi="Times New Roman"/>
          <w:sz w:val="22"/>
          <w:szCs w:val="22"/>
          <w:color w:val="auto"/>
        </w:rPr>
      </w:pPr>
    </w:p>
    <w:p>
      <w:pPr>
        <w:jc w:val="both"/>
        <w:ind w:firstLine="644"/>
        <w:spacing w:after="0" w:line="257" w:lineRule="auto"/>
        <w:tabs>
          <w:tab w:leader="none" w:pos="1194"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three Business Days, after the sending or filing thereof, copies of all reports, notices, prospectuses and registration statements which the Parent, the Borrower or any of the Subsidiaries files with the SEC or any national securities exchange;</w:t>
      </w:r>
    </w:p>
    <w:p>
      <w:pPr>
        <w:spacing w:after="0" w:line="172" w:lineRule="exact"/>
        <w:rPr>
          <w:rFonts w:ascii="Times New Roman" w:cs="Times New Roman" w:eastAsia="Times New Roman" w:hAnsi="Times New Roman"/>
          <w:sz w:val="22"/>
          <w:szCs w:val="22"/>
          <w:color w:val="auto"/>
        </w:rPr>
      </w:pPr>
    </w:p>
    <w:p>
      <w:pPr>
        <w:jc w:val="both"/>
        <w:ind w:firstLine="644"/>
        <w:spacing w:after="0" w:line="250" w:lineRule="auto"/>
        <w:tabs>
          <w:tab w:leader="none" w:pos="1192"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delivery thereof to the board of directors of the Parent or any committees thereof, all notices and any materials delivered to the board of directors of the Parent or any committees thereof in connection with a meeting of such board or committee, or with any action to be taken by written consent, including drafts of any material resolutions or actions proposed to be adopted by written consent, and all minutes of any such meetings promptly following such meetings;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Parent may withhold any such information and materials to the extent: (i) access thereto would adversely affect the attorney-client privilege between the Parent and its counsel; or (ii) the Parent’s board of directors, in the exercise of its fiduciary obligations and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200" w:name="page201"/>
    <w:bookmarkEnd w:id="200"/>
    <w:p>
      <w:pPr>
        <w:jc w:val="both"/>
        <w:spacing w:after="0" w:line="253" w:lineRule="auto"/>
        <w:rPr>
          <w:sz w:val="20"/>
          <w:szCs w:val="20"/>
          <w:color w:val="auto"/>
        </w:rPr>
      </w:pPr>
      <w:r>
        <w:rPr>
          <w:rFonts w:ascii="Times New Roman" w:cs="Times New Roman" w:eastAsia="Times New Roman" w:hAnsi="Times New Roman"/>
          <w:sz w:val="22"/>
          <w:szCs w:val="22"/>
          <w:color w:val="auto"/>
        </w:rPr>
        <w:t>advice of counsel, determines that it is in the best interest of the Parent to do so because any Lender or any of its Affiliates has an interest in the subject matter under discussion, and so long as, with respect to any such information withheld pursuant to this proviso, the Parent shall (A) notify the Administrative Agent in writing that information is being withheld and (B) use commercially reasonable efforts to communicate the relevant information in a way that does not violate such attorney-client privilege or violate the board of directors’ fiduciary obligations;</w:t>
      </w:r>
    </w:p>
    <w:p>
      <w:pPr>
        <w:spacing w:after="0" w:line="179" w:lineRule="exact"/>
        <w:rPr>
          <w:sz w:val="20"/>
          <w:szCs w:val="20"/>
          <w:color w:val="auto"/>
        </w:rPr>
      </w:pPr>
    </w:p>
    <w:p>
      <w:pPr>
        <w:jc w:val="both"/>
        <w:ind w:firstLine="644"/>
        <w:spacing w:after="0" w:line="257" w:lineRule="auto"/>
        <w:tabs>
          <w:tab w:leader="none" w:pos="1162"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and in any event within three Business Days of, receipt thereof, copies of all “management letters” (or equivalent) submitted to the Parent, the Borrower or any of the Subsidiaries by the independent public accountants referred to in clause (c) in connection with each audit made by such accountants;</w:t>
      </w:r>
    </w:p>
    <w:p>
      <w:pPr>
        <w:spacing w:after="0" w:line="186" w:lineRule="exact"/>
        <w:rPr>
          <w:rFonts w:ascii="Times New Roman" w:cs="Times New Roman" w:eastAsia="Times New Roman" w:hAnsi="Times New Roman"/>
          <w:sz w:val="22"/>
          <w:szCs w:val="22"/>
          <w:color w:val="auto"/>
        </w:rPr>
      </w:pPr>
    </w:p>
    <w:p>
      <w:pPr>
        <w:jc w:val="both"/>
        <w:ind w:firstLine="644"/>
        <w:spacing w:after="0" w:line="250" w:lineRule="auto"/>
        <w:tabs>
          <w:tab w:leader="none" w:pos="113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within 45 days after the end of each Fiscal Quarter, a report listing (A) all Material Agreements, if any, entered into by the Parent, the Borrower or any Subsidiary during such Fiscal Quarter and (B) all existing Material Agreements amended or terminated (except termination resulting from expiration by such Material Agreement’s terms) during such Fiscal Quarter; and (ii) promptly, after the Administrative Agent or any Lender so requests, copies of any such new Material Agreement or amendment to a Material Agreement;</w:t>
      </w:r>
    </w:p>
    <w:p>
      <w:pPr>
        <w:spacing w:after="0" w:line="180"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firstLine="644"/>
        <w:spacing w:after="0" w:line="257" w:lineRule="auto"/>
        <w:tabs>
          <w:tab w:leader="none" w:pos="123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not later than the last day of February of each calendar year, the Parent’s consolidated financial and business projections and budget for such year, with evidence of approval thereof by the Parent’s board of directors; and</w:t>
      </w:r>
    </w:p>
    <w:p>
      <w:pPr>
        <w:spacing w:after="0" w:line="172" w:lineRule="exact"/>
        <w:rPr>
          <w:rFonts w:ascii="Times New Roman" w:cs="Times New Roman" w:eastAsia="Times New Roman" w:hAnsi="Times New Roman"/>
          <w:sz w:val="22"/>
          <w:szCs w:val="22"/>
          <w:color w:val="auto"/>
        </w:rPr>
      </w:pPr>
    </w:p>
    <w:p>
      <w:pPr>
        <w:jc w:val="both"/>
        <w:ind w:firstLine="644"/>
        <w:spacing w:after="0" w:line="263" w:lineRule="auto"/>
        <w:tabs>
          <w:tab w:leader="none" w:pos="113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financial and other information as the Administrative Agent or any Lender may from time to time reasonably request (including information and reports in such detail as the Administrative Agent or such Lender may request with respect to the terms of and information provided pursuant to the Compliance Certificate).</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Notwithstanding anything to the contrary (including herein or in any Investment Document), at any time following the Closing Date, any Lender may, by providing prompt written notice to the Borrower, instruct the Borrower that if any notice, report or other information required to be furnished pursuant to this Agreement contains material non-public information with respect to the Parent, the Borrower or its Affiliates, or the respective securities of any of the foregoing (any such notice, an “</w:t>
      </w:r>
      <w:r>
        <w:rPr>
          <w:rFonts w:ascii="Times New Roman" w:cs="Times New Roman" w:eastAsia="Times New Roman" w:hAnsi="Times New Roman"/>
          <w:sz w:val="22"/>
          <w:szCs w:val="22"/>
          <w:u w:val="single" w:color="auto"/>
          <w:color w:val="auto"/>
        </w:rPr>
        <w:t>MNPI Notice</w:t>
      </w:r>
      <w:r>
        <w:rPr>
          <w:rFonts w:ascii="Times New Roman" w:cs="Times New Roman" w:eastAsia="Times New Roman" w:hAnsi="Times New Roman"/>
          <w:sz w:val="22"/>
          <w:szCs w:val="22"/>
          <w:color w:val="auto"/>
        </w:rPr>
        <w:t xml:space="preserve">”), the Borrower shall notify the Administrative Agent (or such other Person as specified by the Administrative Agent in writing from time to time) that the Borrower desires to deliver to the Administrative Agent and the Lenders an MNPI Notice (and the Borrower may exclude any information it deems necessary to ensure compliance with applicable securities laws). Within five (5) Business Days of receipt of such notification, the Administrative Agent or a Lender may either (i) refuse the delivery of such MNPI Notice, in which case the Borrower’s obligations under this Agreement, including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201" w:name="page202"/>
    <w:bookmarkEnd w:id="201"/>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with respect to such MNPI Notice shall be deemed satisfied as to the Administrative Agent or such Lender, as applicable, or (ii) direct the delivery of such MNPI Notice to the Administrative Agent or such Lender pursuant to procedures acceptable to the Administrative Agent or such Lender (which may be designed to comply with the internal procedures of the Administrative Agent or such Lender regarding the use of material non-public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or such Lender shall be deemed to have elected the option under clause (i) of this sentence if the option under clause (ii) of this sentence is not elected within such five (5) Business Day period. If the Administrative Agent or such Lender elects the option under clause (ii) of the preceding sentence, the Borrower shall promptly deliver to the Administrative Agent or such Lender the information subject to such MNPI Notice.</w:t>
      </w:r>
    </w:p>
    <w:p>
      <w:pPr>
        <w:spacing w:after="0" w:line="22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1"/>
          <w:szCs w:val="21"/>
          <w:color w:val="auto"/>
        </w:rPr>
        <w:t xml:space="preserve">Any documents required to be delivered pursuant to this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may be delivered electronically and shall be deemed to have been delivered on the date on which (I) (A) the Parent files or furnishes such documents with the SEC or the Parent posts such documents, or provides a link thereto, on its website on the internet at its website address, (B) such documents are posted on the Parent’s behalf on the internet or an intranet website, if any, to which the Administrative Agent and the Lenders have access, or (C) the Parent posts such documents on an electronic data room to which the Administrative Agent and/or the Lenders have sole access and the contents of which the Administrative Agent and/or the Lenders have unrestricted ability to view, download and print and (II) the Borrower has notified the Administrative Agent in writing of the availability of each such document, including a detailed description of the location of such document and which specific provision(s) and/or requirement(s) of this Agreement such document relates.</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Maintenance of Existence; Compliance with Contracts, Laws, Etc</w:t>
      </w:r>
      <w:r>
        <w:rPr>
          <w:rFonts w:ascii="Times New Roman" w:cs="Times New Roman" w:eastAsia="Times New Roman" w:hAnsi="Times New Roman"/>
          <w:sz w:val="22"/>
          <w:szCs w:val="22"/>
          <w:color w:val="auto"/>
        </w:rPr>
        <w:t xml:space="preserve">. The Parent, the Borrower and each Subsidiary will preserve and maintain its legal existence (except as otherwise permitted by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perform in all material respects its obligations under Material Agreements to which the Parent, the Borrower or any of the Subsidiaries is a party (with exception for action or inaction taken in Parent’s or Borrower’s good faith business judgment, which could not reasonably be expected to have a Material Adverse Effect and which is approved in advance in writing by Administrative Agent, such approval not to be unreasonably withheld, delayed or conditioned), and comply in all material respects with all applicable Laws, rules, regulations and orders, including the payment (before the same become delinquent), of all material Taxes, imposed upon the Parent, the Borrower or any of the Subsidiaries or upon their property except to the extent being diligently contested in good faith by appropriate proceedings and for which adequate reserves in accordance with GAAP have been set aside on the books of the Parent, the Borrower or any of the Subsidiaries.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Maintenance of Properties</w:t>
      </w:r>
      <w:r>
        <w:rPr>
          <w:rFonts w:ascii="Times New Roman" w:cs="Times New Roman" w:eastAsia="Times New Roman" w:hAnsi="Times New Roman"/>
          <w:sz w:val="22"/>
          <w:szCs w:val="22"/>
          <w:color w:val="auto"/>
        </w:rPr>
        <w:t>. The Parent, the Borrower and each Subsidiary will maintain, preserve, protect and keep its and their respective properties in good repair, working order and condition (ordinary wear and tear excepted), and make necessary repairs, renewals and replacements so that the business carried on by the Parent, the Borrower or any of the Subsidiaries may be properly conducted at all times, unless the Parent, the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02" w:name="page203"/>
    <w:bookmarkEnd w:id="202"/>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of the Subsidiaries determines in good faith that the continued maintenance of such property is no longer economically desirable, necessary or useful to the business of the Parent, the Borrower or any of the Subsidiaries or the Disposition of such property is otherwise permitted by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Each of the Parent, the Borrower and each Subsidiary will maintain:</w:t>
      </w:r>
    </w:p>
    <w:p>
      <w:pPr>
        <w:spacing w:after="0" w:line="220" w:lineRule="exact"/>
        <w:rPr>
          <w:sz w:val="20"/>
          <w:szCs w:val="20"/>
          <w:color w:val="auto"/>
        </w:rPr>
      </w:pPr>
    </w:p>
    <w:p>
      <w:pPr>
        <w:jc w:val="both"/>
        <w:ind w:left="660" w:firstLine="644"/>
        <w:spacing w:after="0" w:line="252" w:lineRule="auto"/>
        <w:tabs>
          <w:tab w:leader="none" w:pos="196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on its property with financially sound and reputable insurance companies against business interruption, loss and damage in at least the amounts (and with only those deductibles) customarily maintained, and against such risks as are typically insured against in the same general area, by Persons of comparable size engaged in the same or similar business as the Parent, the Borrower and the Subsidiaries; and</w:t>
      </w:r>
    </w:p>
    <w:p>
      <w:pPr>
        <w:spacing w:after="0" w:line="192"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1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worker’s compensation, employer’s liability insurance or similar insurance as may be required under the laws of any state or jurisdiction in which it may be engaged in business.</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Without limiting the foregoing, all insurance policies required pursuant to this Section shall (i) subject to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 name the Administrative Agent as mortgagee and lender loss payee (in the case of property/casualty insurance and business interruption insurance) and additional insured (in the case of liability insurance), as applicable, and provide that no cancellation or modification as to the amount or scope of coverage of the policies will be made without providing at least 30 days prior written notice (or 10 days prior written notice in the case of cancellation for nonpayment of premiums) thereof to the Administrative Agent and (ii) be in addition to any requirements to maintain specific types of insurance contained in the other Loan Documents.</w:t>
      </w:r>
    </w:p>
    <w:p>
      <w:pPr>
        <w:spacing w:after="0" w:line="16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7.5 </w:t>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 The Parent, the Borrower and each of the Subsidiaries will keep books and records in accordance with GAAP which accurately reflect all of its business affairs and transactions and permit the Administrative Agent, any Lender or any of its representatives, at reasonable times during regular business hours and intervals upon reasonable prior written notice to the Borrower, to visit the Parent’s, the Borrower’s or any of the Subsidiaries’ offices, to discuss the Parent’s, the Borrower’s or any of the Subsidiaries’ financial or other matters with its officers and employees, and its independent public accountants (and the Parent and the Borrower hereby authorize such independent public accountant to discuss the Parent’s, the Borrower’s and any of the Subsidiaries’ financial and other matters with the Administrative Agent, any Lender or their respective representatives whether or not any representative of the Parent, the Borrower or any of the Subsidiaries is present) and to examine (and photocopy extracts from) any of its books and records; provided, that so long as no Event of Default has occurred and is continuing, the Lender’s visits shall be limited to not more than one visit in any calendar year. The Borrower shall pay any fees of its and the Subsidiaries’ independent public accountant incurred in connection with the Administrative Agent’s or any Lender’s exercise of its rights pursuant to this Section but unless an Event of Default has occurred and is continuing at the time of the exercise of such rights, not for more than one visit in any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03" w:name="page204"/>
    <w:bookmarkEnd w:id="203"/>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Environmental Law Covenant</w:t>
      </w:r>
      <w:r>
        <w:rPr>
          <w:rFonts w:ascii="Times New Roman" w:cs="Times New Roman" w:eastAsia="Times New Roman" w:hAnsi="Times New Roman"/>
          <w:sz w:val="22"/>
          <w:szCs w:val="22"/>
          <w:color w:val="auto"/>
        </w:rPr>
        <w:t>. Each of the Parent, the Borrower and each Subsidiary will (i) use and operate all of its and their businesses, facilities and properties in material compliance with all Environmental Laws, and keep and maintain all material Environmental Permits and remain in compliance in all material respects therewith, and (ii) promptly notify the Administrative Agent of, and provide the Administrative Agent with copies of all material claims, complaints, notices or inquiries relating to, any actual or alleged non-compliance with any Environmental Laws or Environmental Permits or any actual or alleged Environmental Liabilities. The Parent, the Borrower and each of the Subsidiaries will promptly resolve, remedy and mitigate any such non-compliance or Environmental Liabilities in accordance with reasonable business practices, and shall keep the Administrative Agent informed as to the progress of same.</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Borrower will use the proceeds of the Loans for general corporate purposes and to pay the fees and expenses associated with the transactions contemplated hereby.</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7.8 </w:t>
      </w:r>
      <w:r>
        <w:rPr>
          <w:rFonts w:ascii="Times New Roman" w:cs="Times New Roman" w:eastAsia="Times New Roman" w:hAnsi="Times New Roman"/>
          <w:sz w:val="21"/>
          <w:szCs w:val="21"/>
          <w:u w:val="single" w:color="auto"/>
          <w:color w:val="auto"/>
        </w:rPr>
        <w:t>Future Guarantors, Security, Etc</w:t>
      </w:r>
      <w:r>
        <w:rPr>
          <w:rFonts w:ascii="Times New Roman" w:cs="Times New Roman" w:eastAsia="Times New Roman" w:hAnsi="Times New Roman"/>
          <w:sz w:val="21"/>
          <w:szCs w:val="21"/>
          <w:color w:val="auto"/>
        </w:rPr>
        <w:t xml:space="preserve">. The Parent, the Borrower and each other Subsidiary (other than any Excluded Subsidiary) will execute any documents, financing statements, agreements and instruments, and take all further action that may be required under applicable Law, or that the Administrative Agent or any Lender may reasonably request, in order to effectuate the transactions contemplated by the Loan Documents and in order to grant, preserve, protect and perfect the validity and first priority (subject to Liens permitted by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of the Liens created or intended to be created by the Loan Documents. The Parent and the Borrower will cause (a) any subsequently acquired or organized Subsidiary (other than any Excluded Subsidiary) to execute a supplement (in form and substance reasonably satisfactory to the Administrative Agent) to the Guarantee and each other applicable Loan Document in favor of the Secured Parties, effective upon its acquisition or formation and take such other actions as may be required or requested for the Secured Parties to have a valid Lien with the priority intended to be created on, and security interest in, all of the assets of such Subsidiary, subject to no other Liens (other than Liens permitted by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and the limitations set forth below, and (b) all of the presently existing or thereafter arising issued and outstanding shares of Capital Securities of any Subsidiary to be pledged to the Secured Parties pursuant to one or more pledge agreements or other documents acceptable to the Secured Parties. The Parent and the Borrower will promptly notify the Administrative Agent of any subsequently acquired fee ownership interest in real property and will provide the Administrative Agent with a description of such real property, the acquisition date thereof and the purchase price therefor. In addition, from time to time, each of the Parent, the Borrower and the other Guarantors will, at its cost and expense, promptly secure the Obligations by pledging or creating, or causing to be pledged or created, perfected Liens with respect to such of its assets and properties as the Administrative Agent and the Lenders shall designate, it being agreed that it is the intent of the parties that the Obligations shall be secured by, among other things, substantially all the assets of the Parent, the Borrower and the other Guarantors (including real property and personal property acquired subsequent to the Closing Date). Such Liens will be created under the Loan Documents in form and substance satisfactory to the Administrative Agent and the Lenders, and the Parent, the Borrower and each of the other Guarantors shall deliver or cause to be delivered to the Administrative Agent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04" w:name="page205"/>
    <w:bookmarkEnd w:id="204"/>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instruments and documents (including mortgages, legal opinions, title insurance policies and lien searches) as the Administrative Agent or the Lenders shall reasonably request to evidence compliance with this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Notwithstanding anything to the contrary in the Loan Documents, neither the Parent, the Borrower nor any other Guarantor shall be required to enter into or obtain any leasehold mortgage or any similar agreement in respect of any leasehold interest in real property as a condition precedent to the occurrence of the Closing Date.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Obtaining of Permits, Etc</w:t>
      </w:r>
      <w:r>
        <w:rPr>
          <w:rFonts w:ascii="Times New Roman" w:cs="Times New Roman" w:eastAsia="Times New Roman" w:hAnsi="Times New Roman"/>
          <w:sz w:val="22"/>
          <w:szCs w:val="22"/>
          <w:color w:val="auto"/>
        </w:rPr>
        <w:t>. With respect to Products, each of the Parent, the Borrower and each Subsidiary will obtain, maintain and preserve, and take all necessary action to timely renew all Permits and accreditations which are necessary in the proper conduct of its business.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Maintenance of Regulatory Authorizations, Contracts, Intellectual Property, Etc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59" w:lineRule="auto"/>
        <w:tabs>
          <w:tab w:leader="none" w:pos="1814"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Products, each of the Parent, the Borrower and each Subsidiary will (i) maintain in full force and effect all Regulatory Authorizations, Key Permits, contract rights, authorizations or other rights necessary for the operations of its business; (ii) maintain in full force and effect or pursue the prosecution of, as the case may be, and pay all costs and expenses relating to, all Owned Intellectual Property and all Material Agreements, except in the event that the Borrower determines in its reasonable commercial judgment not to do so; (iii) notify the Administrative Agent, promptly after learning thereof, of any Infringement by any Person of any Owned Intellectual Property which is material to the Parent’s and the Borrower’s business and pursue any such Infringement to the extent, and in the manner, the Parent, the Borrower or any of the Subsidiaries determine in their reasonable judgment it is commercially reasonable to do so;</w:t>
      </w:r>
    </w:p>
    <w:p>
      <w:pPr>
        <w:spacing w:after="0" w:line="4" w:lineRule="exact"/>
        <w:rPr>
          <w:rFonts w:ascii="Times New Roman" w:cs="Times New Roman" w:eastAsia="Times New Roman" w:hAnsi="Times New Roman"/>
          <w:sz w:val="21"/>
          <w:szCs w:val="21"/>
          <w:color w:val="auto"/>
        </w:rPr>
      </w:pPr>
    </w:p>
    <w:p>
      <w:pPr>
        <w:jc w:val="both"/>
        <w:ind w:left="660" w:hanging="4"/>
        <w:spacing w:after="0" w:line="259" w:lineRule="auto"/>
        <w:tabs>
          <w:tab w:leader="none" w:pos="1043"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use commercially reasonable efforts to pursue and maintain in full force and effect legal protection for, and protect against Infringement with respect to, all material Intellectual Property, including Patents, developed or controlled by the Parent, the Borrower or any of the Subsidiaries, except as permitted under </w:t>
      </w:r>
      <w:r>
        <w:rPr>
          <w:rFonts w:ascii="Times New Roman" w:cs="Times New Roman" w:eastAsia="Times New Roman" w:hAnsi="Times New Roman"/>
          <w:sz w:val="21"/>
          <w:szCs w:val="21"/>
          <w:u w:val="single" w:color="auto"/>
          <w:color w:val="auto"/>
        </w:rPr>
        <w:t>Section 8.8(vi)</w:t>
      </w:r>
      <w:r>
        <w:rPr>
          <w:rFonts w:ascii="Times New Roman" w:cs="Times New Roman" w:eastAsia="Times New Roman" w:hAnsi="Times New Roman"/>
          <w:sz w:val="21"/>
          <w:szCs w:val="21"/>
          <w:color w:val="auto"/>
        </w:rPr>
        <w:t xml:space="preserve"> or as agreed to by Administrative Agent in advance in writing; (v) notify the Administrative Agent, promptly after learning thereof, of any claim by any Person that the conduct of the Parent’s, the Borrower’s or any of the Subsidiaries’ business (including the development, manufacture, use, sale or other commercialization of any Product) Infringes any Intellectual Property of that Person and use commercially reasonable efforts to resolve such claim, except where the Borrower determines in its reasonable commercial judgment not to do so; (vi) maintain an appropriate information security program with organizational, physical, administrative and technical measures consistent with generally accepted standards for the industry in which the Parent, the Borrower or any Subsidiary operates to protect the operation, confidentiality, integrity, and security of all Confidential Business Information, Personal Data and IT Assets (including, for clarity, all information and transactions stored or contained therein or transmitted thereby) against unauthorized access, acquisition, interruption, alteration, modification, or use; and (vii) notify the Administrative Agent, promptly after learning thereof, of any product recalls, safety alerts, corrections, removals, withdrawals, marketing suspensions, removals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05" w:name="page206"/>
    <w:bookmarkEnd w:id="205"/>
    <w:p>
      <w:pPr>
        <w:jc w:val="both"/>
        <w:ind w:left="660" w:right="20"/>
        <w:spacing w:after="0" w:line="257" w:lineRule="auto"/>
        <w:rPr>
          <w:sz w:val="20"/>
          <w:szCs w:val="20"/>
          <w:color w:val="auto"/>
        </w:rPr>
      </w:pPr>
      <w:r>
        <w:rPr>
          <w:rFonts w:ascii="Times New Roman" w:cs="Times New Roman" w:eastAsia="Times New Roman" w:hAnsi="Times New Roman"/>
          <w:sz w:val="22"/>
          <w:szCs w:val="22"/>
          <w:color w:val="auto"/>
        </w:rPr>
        <w:t>like conducted, to be undertaken or issued, by the Parent, the Borrower, any of the Subsidiaries or their respective suppliers whether or not at the request, demand or order of any Governmental Authority or otherwise with respect to any Product, or any basis for undertaking or issuing any such action or item.</w:t>
      </w:r>
    </w:p>
    <w:p>
      <w:pPr>
        <w:spacing w:after="0" w:line="186" w:lineRule="exact"/>
        <w:rPr>
          <w:sz w:val="20"/>
          <w:szCs w:val="20"/>
          <w:color w:val="auto"/>
        </w:rPr>
      </w:pPr>
    </w:p>
    <w:p>
      <w:pPr>
        <w:jc w:val="both"/>
        <w:ind w:left="660" w:firstLine="644"/>
        <w:spacing w:after="0" w:line="257" w:lineRule="auto"/>
        <w:tabs>
          <w:tab w:leader="none" w:pos="1907"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Parent, the Borrower and each Subsidiary will furnish to the Administrative Agent prompt written notice of the following, and, with respect to clauses (i) and (ii) below, copies of any notices from, or responses to, any Governmental Authority:</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516"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that any Governmental Authority is limiting, suspending or revoking any Regulatory Authorization, changing the market classification or labeling of or otherwise materially restricting any Product of the Parent, the Borrower or any of the Subsidiaries, or considering any of the foregoing;</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49" w:lineRule="auto"/>
        <w:tabs>
          <w:tab w:leader="none" w:pos="259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the Borrower or any of the Subsidiaries becoming subject to any administrative or regulatory action, or notice of violation letter (including receipt of any warning letter from the FDA or other Governmental Authority with respect to the Parent, the Borrower or any of the Subsidiaries, or any Product or the manufacturing facilities therefor), or any Product of the Parent, the Borrower or any of the Subsidiaries being seized, withdrawn, recalled, detained, or subject to a suspension of manufacturing or import alert, or the commencement of any proceedings in the United States or any other jurisdiction seeking the withdrawal, recall, suspension, import detention or refusal, or seizure of any Product are pending or threatened against the Parent, the Borrower or any of the Subsidiaries; or</w:t>
      </w:r>
    </w:p>
    <w:p>
      <w:pPr>
        <w:spacing w:after="0" w:line="181" w:lineRule="exact"/>
        <w:rPr>
          <w:rFonts w:ascii="Times New Roman" w:cs="Times New Roman" w:eastAsia="Times New Roman" w:hAnsi="Times New Roman"/>
          <w:sz w:val="22"/>
          <w:szCs w:val="22"/>
          <w:color w:val="auto"/>
        </w:rPr>
      </w:pPr>
    </w:p>
    <w:p>
      <w:pPr>
        <w:jc w:val="both"/>
        <w:ind w:left="1300" w:right="20" w:firstLine="652"/>
        <w:spacing w:after="0" w:line="256" w:lineRule="auto"/>
        <w:tabs>
          <w:tab w:leader="none" w:pos="2545"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any written recommendation from any Governmental Authority or other regulatory body that the Parent, the Borrower or any of the Subsidiaries, or any obligor to which the Parent, the Borrower or any of the Subsidiaries provides services, should have its licensure, clearance(s), provider or supplier number, or accreditation suspended, revoked, or limited in any way, or any penalties or sanctions imposed.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Parent, the Borrower and each Subsidiary will promptly notify the Administrative Agent as soon as reasonably possible and in any event within three days of introducing any Product that is subject to regulation by the FDA, or any comparable foreign Governmental Authority, as a medical device.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Inbound Licenses</w:t>
      </w:r>
      <w:r>
        <w:rPr>
          <w:rFonts w:ascii="Times New Roman" w:cs="Times New Roman" w:eastAsia="Times New Roman" w:hAnsi="Times New Roman"/>
          <w:sz w:val="22"/>
          <w:szCs w:val="22"/>
          <w:color w:val="auto"/>
        </w:rPr>
        <w:t>. The Parent, the Borrower and each of the Subsidiaries will, promptly after entering into or becoming bound by any material inbound license or similar agreement (other than over-the-counter or “open-source” software that is commercially available to the public): (i) provide written notice to the Administrative Agent of the material terms of such license or agreement with a description of its anticipated and projected impact on the Parent’s, the Borrower’s and the Subsidiaries’ business and financial condition; and (ii) take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06" w:name="page207"/>
    <w:bookmarkEnd w:id="206"/>
    <w:p>
      <w:pPr>
        <w:jc w:val="both"/>
        <w:spacing w:after="0" w:line="256" w:lineRule="auto"/>
        <w:rPr>
          <w:sz w:val="20"/>
          <w:szCs w:val="20"/>
          <w:color w:val="auto"/>
        </w:rPr>
      </w:pPr>
      <w:r>
        <w:rPr>
          <w:rFonts w:ascii="Times New Roman" w:cs="Times New Roman" w:eastAsia="Times New Roman" w:hAnsi="Times New Roman"/>
          <w:sz w:val="22"/>
          <w:szCs w:val="22"/>
          <w:color w:val="auto"/>
        </w:rPr>
        <w:t>commercially reasonable actions as the Administrative Agent or the Lenders may reasonably request to obtain the consent of, or waiver by, any Person whose consent or waiver is necessary for the Secured Parties to be granted and perfect a valid security interest in such license or agreement and to fully exercise its rights under any of the Loan Documents in the event of a disposition or liquidation of the rights, assets or property that is the subject of such license or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Cash Management</w:t>
      </w:r>
      <w:r>
        <w:rPr>
          <w:rFonts w:ascii="Times New Roman" w:cs="Times New Roman" w:eastAsia="Times New Roman" w:hAnsi="Times New Roman"/>
          <w:sz w:val="22"/>
          <w:szCs w:val="22"/>
          <w:color w:val="auto"/>
        </w:rPr>
        <w:t>. The Parent, the Borrower and each Guarantor will:</w:t>
      </w:r>
    </w:p>
    <w:p>
      <w:pPr>
        <w:spacing w:after="0" w:line="220" w:lineRule="exact"/>
        <w:rPr>
          <w:sz w:val="20"/>
          <w:szCs w:val="20"/>
          <w:color w:val="auto"/>
        </w:rPr>
      </w:pPr>
    </w:p>
    <w:p>
      <w:pPr>
        <w:jc w:val="both"/>
        <w:ind w:left="660" w:firstLine="644"/>
        <w:spacing w:after="0" w:line="247" w:lineRule="auto"/>
        <w:tabs>
          <w:tab w:leader="none" w:pos="183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maintain a current and complete list of all accounts (of the type initially set forth on </w:t>
      </w:r>
      <w:r>
        <w:rPr>
          <w:rFonts w:ascii="Times New Roman" w:cs="Times New Roman" w:eastAsia="Times New Roman" w:hAnsi="Times New Roman"/>
          <w:sz w:val="22"/>
          <w:szCs w:val="22"/>
          <w:u w:val="single" w:color="auto"/>
          <w:color w:val="auto"/>
        </w:rPr>
        <w:t>Schedule 6.22</w:t>
      </w:r>
      <w:r>
        <w:rPr>
          <w:rFonts w:ascii="Times New Roman" w:cs="Times New Roman" w:eastAsia="Times New Roman" w:hAnsi="Times New Roman"/>
          <w:sz w:val="22"/>
          <w:szCs w:val="22"/>
          <w:color w:val="auto"/>
        </w:rPr>
        <w:t xml:space="preserve"> of the Disclosure Letter) and (other than (A) accounts exclusively used for payroll, payroll taxes and other employee wage and benefit programs to or for the benefit of the Parent’s, the Borrower’s or a Guarantor’s employees, which shall in no event hold in the aggregate more than the amount reasonably expected to meet such payroll expenses for the following calendar month, including bonuses and other payments to be paid within the following calendar month, (B) accounts of Excluded Subsidiaries in which there is not maintained at any point in time funds on deposit greater than $[***] in the aggregate for all such accounts, and (C) Governmental Collection Accounts, (D) accounts (including trust accounts) used exclusively for bona fide escrow purposes, and (E) accounts used exclusively to hold cash collateral for Liens permitted pursuant to Section 8.3(l) (collectively, the “</w:t>
      </w:r>
      <w:r>
        <w:rPr>
          <w:rFonts w:ascii="Times New Roman" w:cs="Times New Roman" w:eastAsia="Times New Roman" w:hAnsi="Times New Roman"/>
          <w:sz w:val="22"/>
          <w:szCs w:val="22"/>
          <w:u w:val="single" w:color="auto"/>
          <w:color w:val="auto"/>
        </w:rPr>
        <w:t>Excluded Accounts</w:t>
      </w:r>
      <w:r>
        <w:rPr>
          <w:rFonts w:ascii="Times New Roman" w:cs="Times New Roman" w:eastAsia="Times New Roman" w:hAnsi="Times New Roman"/>
          <w:sz w:val="22"/>
          <w:szCs w:val="22"/>
          <w:color w:val="auto"/>
        </w:rPr>
        <w:t xml:space="preserve">”)) promptly deliver any updates to such list to the Administrative Agent; (ii) subject to </w:t>
      </w:r>
      <w:r>
        <w:rPr>
          <w:rFonts w:ascii="Times New Roman" w:cs="Times New Roman" w:eastAsia="Times New Roman" w:hAnsi="Times New Roman"/>
          <w:sz w:val="22"/>
          <w:szCs w:val="22"/>
          <w:u w:val="single" w:color="auto"/>
          <w:color w:val="auto"/>
        </w:rPr>
        <w:t>Section 7.15(c)</w:t>
      </w:r>
      <w:r>
        <w:rPr>
          <w:rFonts w:ascii="Times New Roman" w:cs="Times New Roman" w:eastAsia="Times New Roman" w:hAnsi="Times New Roman"/>
          <w:sz w:val="22"/>
          <w:szCs w:val="22"/>
          <w:color w:val="auto"/>
        </w:rPr>
        <w:t>, execute and maintain an account control agreement for each such account (other than the Excluded Accounts), in form and substance reasonably acceptable to the Administrative Agent (each such account, a “</w:t>
      </w:r>
      <w:r>
        <w:rPr>
          <w:rFonts w:ascii="Times New Roman" w:cs="Times New Roman" w:eastAsia="Times New Roman" w:hAnsi="Times New Roman"/>
          <w:sz w:val="22"/>
          <w:szCs w:val="22"/>
          <w:u w:val="single" w:color="auto"/>
          <w:color w:val="auto"/>
        </w:rPr>
        <w:t>Controlled Account</w:t>
      </w:r>
      <w:r>
        <w:rPr>
          <w:rFonts w:ascii="Times New Roman" w:cs="Times New Roman" w:eastAsia="Times New Roman" w:hAnsi="Times New Roman"/>
          <w:sz w:val="22"/>
          <w:szCs w:val="22"/>
          <w:color w:val="auto"/>
        </w:rPr>
        <w:t>”); and (iii) maintain each such account as a cash collateral account, with all cash, checks and other similar items of payment in such account securing payment of the Obligations (and in which the Parent, the Borrower and the Guarantors shall have granted a Lien to the Secured Parties);</w:t>
      </w:r>
    </w:p>
    <w:p>
      <w:pPr>
        <w:spacing w:after="0" w:line="202"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8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promptly after the date of receipt thereof in accordance with prudent business practices all cash, checks, drafts or other similar items of payment relating to or constituting payments made in respect of any and all accounts and other rights and interests into Controlled Accounts except to the extent permitted to be kept in Excluded Accounts;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occurrence and during the continuance of an Event of Default, at the request of the Administrative Agent, promptly cause all payments constituting proceeds of accounts to be directed into lockbox accounts under agreements in form and substance satisfactory to the Lenders;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1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all Governmental Collection Accounts (if any) to, at all times, have a standing order to be swept on a daily basis to a Controlled Account, which standing order may not be changed without the consent of the Lenders, and such limitation on changes to the standing order shall have been acknowledged and agreed by each bank at which a Governmental Collection Account is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07" w:name="page208"/>
    <w:bookmarkEnd w:id="207"/>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7.13 </w:t>
      </w:r>
      <w:r>
        <w:rPr>
          <w:rFonts w:ascii="Times New Roman" w:cs="Times New Roman" w:eastAsia="Times New Roman" w:hAnsi="Times New Roman"/>
          <w:sz w:val="22"/>
          <w:szCs w:val="22"/>
          <w:u w:val="single" w:color="auto"/>
          <w:color w:val="auto"/>
        </w:rPr>
        <w:t>Lender Calls</w:t>
      </w:r>
      <w:r>
        <w:rPr>
          <w:rFonts w:ascii="Times New Roman" w:cs="Times New Roman" w:eastAsia="Times New Roman" w:hAnsi="Times New Roman"/>
          <w:sz w:val="22"/>
          <w:szCs w:val="22"/>
          <w:color w:val="auto"/>
        </w:rPr>
        <w:t xml:space="preserve">. The chief executive officer and other members of senior management of the Parent, the Borrower or the Subsidiaries requested by the Lenders shall hold a meeting with the Lenders (to the extent requested by any Lender) in person or by teleconference, in either case as reasonably requested by the Lenders, within one month after the delivery by the Parent of its financial statements pursuant to Sections 7.1(b) and (c), to, at a minimum, discuss business operations and matters referenced in the board materials previously delivered to the Lenders pursuant to </w:t>
      </w:r>
      <w:r>
        <w:rPr>
          <w:rFonts w:ascii="Times New Roman" w:cs="Times New Roman" w:eastAsia="Times New Roman" w:hAnsi="Times New Roman"/>
          <w:sz w:val="22"/>
          <w:szCs w:val="22"/>
          <w:u w:val="single" w:color="auto"/>
          <w:color w:val="auto"/>
        </w:rPr>
        <w:t>Section 7.1(j)</w:t>
      </w:r>
      <w:r>
        <w:rPr>
          <w:rFonts w:ascii="Times New Roman" w:cs="Times New Roman" w:eastAsia="Times New Roman" w:hAnsi="Times New Roman"/>
          <w:sz w:val="22"/>
          <w:szCs w:val="22"/>
          <w:color w:val="auto"/>
        </w:rPr>
        <w:t xml:space="preserve"> and review financial statements, in each case with respect to the Parent, the Borrower and the Subsidiaries.</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7.14 </w:t>
      </w:r>
      <w:r>
        <w:rPr>
          <w:rFonts w:ascii="Times New Roman" w:cs="Times New Roman" w:eastAsia="Times New Roman" w:hAnsi="Times New Roman"/>
          <w:sz w:val="22"/>
          <w:szCs w:val="22"/>
          <w:u w:val="single" w:color="auto"/>
          <w:color w:val="auto"/>
        </w:rPr>
        <w:t>Product Licenses</w:t>
      </w:r>
      <w:r>
        <w:rPr>
          <w:rFonts w:ascii="Times New Roman" w:cs="Times New Roman" w:eastAsia="Times New Roman" w:hAnsi="Times New Roman"/>
          <w:sz w:val="22"/>
          <w:szCs w:val="22"/>
          <w:color w:val="auto"/>
        </w:rPr>
        <w:t>. The Parent, the Borrower and each Subsidiary shall maintain each Key Permit, from, or file any notice or registration or other application in, each jurisdiction in which the Parent, the Borrower or any of the Subsidiaries are required to obtain any Key Permit or Regulatory Authorization or to file any notice or registration, in order to sell or distribute the Products.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Post-Closing Covenants</w:t>
      </w:r>
      <w:r>
        <w:rPr>
          <w:rFonts w:ascii="Times New Roman" w:cs="Times New Roman" w:eastAsia="Times New Roman" w:hAnsi="Times New Roman"/>
          <w:sz w:val="22"/>
          <w:szCs w:val="22"/>
          <w:color w:val="auto"/>
        </w:rPr>
        <w:t>. The Borrower agrees to deliver the items set forth below within the specified timeframe (or by such other date as the Administrative Agent may approve in writing), in each case, in form and substance reasonably acceptable to the Administrative Agent:</w:t>
      </w:r>
    </w:p>
    <w:p>
      <w:pPr>
        <w:spacing w:after="0" w:line="173" w:lineRule="exact"/>
        <w:rPr>
          <w:sz w:val="20"/>
          <w:szCs w:val="20"/>
          <w:color w:val="auto"/>
        </w:rPr>
      </w:pPr>
    </w:p>
    <w:p>
      <w:pPr>
        <w:ind w:left="2080" w:hanging="452"/>
        <w:spacing w:after="0"/>
        <w:tabs>
          <w:tab w:leader="none" w:pos="208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on or prior to April 30, 2025, Global Biolink Ltd has been dissolved; and</w:t>
      </w:r>
    </w:p>
    <w:p>
      <w:pPr>
        <w:spacing w:after="0" w:line="233" w:lineRule="exact"/>
        <w:rPr>
          <w:rFonts w:ascii="Times New Roman" w:cs="Times New Roman" w:eastAsia="Times New Roman" w:hAnsi="Times New Roman"/>
          <w:sz w:val="22"/>
          <w:szCs w:val="22"/>
          <w:color w:val="auto"/>
        </w:rPr>
      </w:pPr>
    </w:p>
    <w:p>
      <w:pPr>
        <w:ind w:left="980" w:right="400" w:firstLine="648"/>
        <w:spacing w:after="0" w:line="257" w:lineRule="auto"/>
        <w:tabs>
          <w:tab w:leader="none" w:pos="209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30 days after the Closing Date, landlord access agreements with respect to (i) the Borrower’s facility located at 6262 &amp; 6272 W. 91st Avenue, Westminster, Colorado 80030 and (ii) the Borrower’s offices located at 2275 Half Day Road, Ste. 160, Bannockburn, IL 60015;</w:t>
      </w:r>
    </w:p>
    <w:p>
      <w:pPr>
        <w:spacing w:after="0" w:line="172" w:lineRule="exact"/>
        <w:rPr>
          <w:rFonts w:ascii="Times New Roman" w:cs="Times New Roman" w:eastAsia="Times New Roman" w:hAnsi="Times New Roman"/>
          <w:sz w:val="22"/>
          <w:szCs w:val="22"/>
          <w:color w:val="auto"/>
        </w:rPr>
      </w:pPr>
    </w:p>
    <w:p>
      <w:pPr>
        <w:ind w:left="980" w:right="320" w:firstLine="648"/>
        <w:spacing w:after="0" w:line="271" w:lineRule="auto"/>
        <w:tabs>
          <w:tab w:leader="none" w:pos="208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30 days after the Closing Date, evidence that all deposit accounts, securities accounts or commodities accounts of the Borrower (other than Excluded Accounts) are Controlled Accounts; and</w:t>
      </w:r>
    </w:p>
    <w:p>
      <w:pPr>
        <w:spacing w:after="0" w:line="171" w:lineRule="exact"/>
        <w:rPr>
          <w:rFonts w:ascii="Times New Roman" w:cs="Times New Roman" w:eastAsia="Times New Roman" w:hAnsi="Times New Roman"/>
          <w:sz w:val="22"/>
          <w:szCs w:val="22"/>
          <w:color w:val="auto"/>
        </w:rPr>
      </w:pPr>
    </w:p>
    <w:p>
      <w:pPr>
        <w:ind w:left="980" w:right="480" w:firstLine="648"/>
        <w:spacing w:after="0" w:line="271" w:lineRule="auto"/>
        <w:tabs>
          <w:tab w:leader="none" w:pos="209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30 days after the Closing Date, the endorsements of the Borrower’s insurance policies described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7.16 [***]</w:t>
      </w:r>
    </w:p>
    <w:p>
      <w:pPr>
        <w:spacing w:after="0" w:line="2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7.17 </w:t>
      </w:r>
      <w:r>
        <w:rPr>
          <w:rFonts w:ascii="Times New Roman" w:cs="Times New Roman" w:eastAsia="Times New Roman" w:hAnsi="Times New Roman"/>
          <w:sz w:val="22"/>
          <w:szCs w:val="22"/>
          <w:u w:val="single" w:color="auto"/>
          <w:color w:val="auto"/>
        </w:rPr>
        <w:t>Excluded Subsidiaries</w:t>
      </w:r>
      <w:r>
        <w:rPr>
          <w:rFonts w:ascii="Times New Roman" w:cs="Times New Roman" w:eastAsia="Times New Roman" w:hAnsi="Times New Roman"/>
          <w:sz w:val="22"/>
          <w:szCs w:val="22"/>
          <w:color w:val="auto"/>
        </w:rPr>
        <w:t xml:space="preserve">. The aggregate cash or Cash Equivalent Investments attributable to all Excluded Subsidiaries shall not exceed $250,000. If at any time the aggregate portion of net revenue attributable to all Excluded Subsidiaries exceeds 2.5% of the net revenue of the Parent and its Subsidiaries, on a consolidated basis, for any period of four consecutive Fiscal Quarters (determined as of the last day of the most recent Fiscal Quarter for which financial statements have been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(or, if prior to the date of the delivery of the first financial statements to be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the most recent financial statements referred to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the Borrower shall designate sufficient Subsidiaries as “Guarantors” to eliminate such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08" w:name="page209"/>
    <w:bookmarkEnd w:id="208"/>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and such designated Subsidiaries shall for all purposes of this Agreement constitute Guarantors and be subject to the provisions of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If at any time the aggregate portion of total assets attributable to all Excluded Subsidiaries exceeds 2.5% of the consolidated total assets of the Parent and its Subsidiaries for any period of four consecutive Fiscal Quarters (determined as of the last day of the most recent Fiscal Quarter for which financial statements have been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(or, if prior to the date of the delivery of the first financial statements to be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the most recent financial statements referred to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the Borrower shall designate sufficient Subsidiaries as “Guarantors” to eliminate such excess, and such designated Subsidiaries shall for all purposes of this Agreement constitute Guarantors and be subject to the provisions of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In addition, should an Excluded Subsidiary cease to meet the criteria set forth in clauses (i), (ii) or (iii) of the definition thereof, the Borrower shall designate such Subsidiary as a “Guarantor”, and such Subsidiary shall for all purposes of this Agreement constitute a Guarantor and be subject to the provisions of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NEGATIVE COVENANTS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Each of the Parent and the Borrower covenants and agrees with the Administrative Agent and the Lenders that until the Termination Date has occurred, the Parent, the Borrower and the Subsidiaries will perform or cause to be performed the obligations set forth below.</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Business Activities</w:t>
      </w:r>
      <w:r>
        <w:rPr>
          <w:rFonts w:ascii="Times New Roman" w:cs="Times New Roman" w:eastAsia="Times New Roman" w:hAnsi="Times New Roman"/>
          <w:sz w:val="22"/>
          <w:szCs w:val="22"/>
          <w:color w:val="auto"/>
        </w:rPr>
        <w:t>. None of the Parent, the Borrower or any of the Subsidiaries will engage in any business activity except those business activities engaged in on the date of this Agreement and activities reasonably incidental, related or ancillary thereto.</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None of the Parent, the Borrower or any of the Subsidiaries will create, incur, assume or permit to exist any Indebtedness, other than:</w:t>
      </w:r>
    </w:p>
    <w:p>
      <w:pPr>
        <w:spacing w:after="0" w:line="158" w:lineRule="exact"/>
        <w:rPr>
          <w:sz w:val="20"/>
          <w:szCs w:val="20"/>
          <w:color w:val="auto"/>
        </w:rPr>
      </w:pPr>
    </w:p>
    <w:p>
      <w:pPr>
        <w:ind w:left="1760" w:hanging="456"/>
        <w:spacing w:after="0"/>
        <w:tabs>
          <w:tab w:leader="none" w:pos="17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the Obligations;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08"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existing as of the Closing Date which is identified in </w:t>
      </w:r>
      <w:r>
        <w:rPr>
          <w:rFonts w:ascii="Times New Roman" w:cs="Times New Roman" w:eastAsia="Times New Roman" w:hAnsi="Times New Roman"/>
          <w:sz w:val="22"/>
          <w:szCs w:val="22"/>
          <w:u w:val="single" w:color="auto"/>
          <w:color w:val="auto"/>
        </w:rPr>
        <w:t>Schedule 8.2(b)</w:t>
      </w:r>
      <w:r>
        <w:rPr>
          <w:rFonts w:ascii="Times New Roman" w:cs="Times New Roman" w:eastAsia="Times New Roman" w:hAnsi="Times New Roman"/>
          <w:sz w:val="22"/>
          <w:szCs w:val="22"/>
          <w:color w:val="auto"/>
        </w:rPr>
        <w:t xml:space="preserve"> of the Disclosure Letter, and refinancing of such Indebtedness in a principal amount not in excess of that which is outstanding on the Closing Date (as such amount has been reduced following the Closing Date);</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6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(other than Indebtedness for borrowed money) in respect of workers’ compensation claims, self-insurance obligations, bankers’ acceptances, performance, surety or appeal bonds and customs bonds and letters of credit, in each case, in the ordinary course of business and in an aggregate amount not to exceed $[***];</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2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Indebtedness and Capitalized Lease Liabilities in a principal amount not to exceed $[***] in the aggregate outstanding at any time;</w:t>
      </w:r>
    </w:p>
    <w:p>
      <w:pPr>
        <w:spacing w:after="0" w:line="17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Subordinated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09" w:name="page210"/>
    <w:bookmarkEnd w:id="209"/>
    <w:p>
      <w:pPr>
        <w:jc w:val="both"/>
        <w:ind w:left="660" w:firstLine="644"/>
        <w:spacing w:after="0" w:line="250" w:lineRule="auto"/>
        <w:tabs>
          <w:tab w:leader="none" w:pos="174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(i) any Guarantor or the Borrower owing to the Borrower or any Guarantor, (ii) the Borrower or any Guarantor owing to an Excluded Subsidiary; provided that all of such Indebtedness shall be subordinated to the Obligations pursuant to an intercompany debt subordination agreement in a form approved by the Administrative Agent and the Lenders in their reasonable discretion, (iii) any Excluded Subsidiaries owing to the Borrower or any Guarantor in an aggregate principal amount at any time outstanding not to exceed, when combined with outstanding Investments by the Borrower or any Guarantor in or to any Excluded Subsidiary pursuant to </w:t>
      </w:r>
      <w:r>
        <w:rPr>
          <w:rFonts w:ascii="Times New Roman" w:cs="Times New Roman" w:eastAsia="Times New Roman" w:hAnsi="Times New Roman"/>
          <w:sz w:val="22"/>
          <w:szCs w:val="22"/>
          <w:u w:val="single" w:color="auto"/>
          <w:color w:val="auto"/>
        </w:rPr>
        <w:t>Section 8.5(h)</w:t>
      </w:r>
      <w:r>
        <w:rPr>
          <w:rFonts w:ascii="Times New Roman" w:cs="Times New Roman" w:eastAsia="Times New Roman" w:hAnsi="Times New Roman"/>
          <w:sz w:val="22"/>
          <w:szCs w:val="22"/>
          <w:color w:val="auto"/>
        </w:rPr>
        <w:t>, $[***], and (iv) any Excluded Subsidiary owing to any other Excluded Subsidiary;</w:t>
      </w:r>
    </w:p>
    <w:p>
      <w:pPr>
        <w:spacing w:after="0" w:line="18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the financing of insurance premiums in the ordinary course of business;</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74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connection with commercial credit cards incurred in the ordinary course of business with outstanding balances not to exceed $500,000 in the aggregate at any time;</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5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Borrower or any Guarantor of Indebtedness of Borrower or any Guarantor which is permitted by this Section 8.2;</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8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management obligations and other Indebtedness in respect of netting services, overdraft protections and similar arrangements and Indebtedness arising from the honoring by a bank or other financial institution of a check, draft or similar instrument drawn against insufficient funds in the ordinary course of business; and</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847"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of the Parent, the Borrower and the Subsidiaries in an aggregate amount at any time outstanding not to exceed $[***];</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Indebtedness otherwise permitted by clauses (b), (d), (e), (j) or (l) shall be assumed, created or otherwise incurred if a Default has occurred and is then continuing or would result therefrom.</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None of the Parent, the Borrower or any of the Subsidiaries will create, incur, assume or permit to exist any Lien upon any of its property (including Capital Securities of any Person), revenues or assets, whether now owned or hereafter acquired, except:</w:t>
      </w:r>
    </w:p>
    <w:p>
      <w:pPr>
        <w:spacing w:after="0" w:line="173" w:lineRule="exact"/>
        <w:rPr>
          <w:sz w:val="20"/>
          <w:szCs w:val="20"/>
          <w:color w:val="auto"/>
        </w:rPr>
      </w:pPr>
    </w:p>
    <w:p>
      <w:pPr>
        <w:ind w:left="1760" w:hanging="456"/>
        <w:spacing w:after="0"/>
        <w:tabs>
          <w:tab w:leader="none" w:pos="176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payment of the Obligations;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8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as of the Closing Date and disclosed in </w:t>
      </w:r>
      <w:r>
        <w:rPr>
          <w:rFonts w:ascii="Times New Roman" w:cs="Times New Roman" w:eastAsia="Times New Roman" w:hAnsi="Times New Roman"/>
          <w:sz w:val="22"/>
          <w:szCs w:val="22"/>
          <w:u w:val="single" w:color="auto"/>
          <w:color w:val="auto"/>
        </w:rPr>
        <w:t>Schedule 8.3(b)</w:t>
      </w:r>
      <w:r>
        <w:rPr>
          <w:rFonts w:ascii="Times New Roman" w:cs="Times New Roman" w:eastAsia="Times New Roman" w:hAnsi="Times New Roman"/>
          <w:sz w:val="22"/>
          <w:szCs w:val="22"/>
          <w:color w:val="auto"/>
        </w:rPr>
        <w:t xml:space="preserve"> of the Disclosure Letter securing obligations that are not Indebtedness or securing Indebtedness described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and refinancings of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Lien shall encumber any additional property and the amount of Indebtedness secured by such Lien is not increased from that existing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2"/>
          <w:szCs w:val="22"/>
          <w:color w:val="auto"/>
        </w:rPr>
        <w:t>Closing Date (as such Indebtedness may have been permanently reduced subsequent to the Closing Date);</w:t>
      </w:r>
    </w:p>
    <w:p>
      <w:pPr>
        <w:spacing w:after="0" w:line="220" w:lineRule="exact"/>
        <w:rPr>
          <w:sz w:val="20"/>
          <w:szCs w:val="20"/>
          <w:color w:val="auto"/>
        </w:rPr>
      </w:pPr>
    </w:p>
    <w:p>
      <w:pPr>
        <w:jc w:val="both"/>
        <w:ind w:firstLine="644"/>
        <w:spacing w:after="0" w:line="256" w:lineRule="auto"/>
        <w:tabs>
          <w:tab w:leader="none" w:pos="118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of the Parent, the Borrower or the Subsidiaries permitted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shall be created within 90 days of the acquisition of the assets financed with such Indebtedness and (ii) such Liens do not at any time encumber any property other than the property so financed and proceeds thereof);</w:t>
      </w:r>
    </w:p>
    <w:p>
      <w:pPr>
        <w:spacing w:after="0" w:line="176" w:lineRule="exact"/>
        <w:rPr>
          <w:rFonts w:ascii="Times New Roman" w:cs="Times New Roman" w:eastAsia="Times New Roman" w:hAnsi="Times New Roman"/>
          <w:sz w:val="22"/>
          <w:szCs w:val="22"/>
          <w:color w:val="auto"/>
        </w:rPr>
      </w:pPr>
    </w:p>
    <w:p>
      <w:pPr>
        <w:jc w:val="both"/>
        <w:ind w:firstLine="644"/>
        <w:spacing w:after="0" w:line="257" w:lineRule="auto"/>
        <w:tabs>
          <w:tab w:leader="none" w:pos="122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carriers, warehousemen, mechanics, materialmen and landlords granted in the ordinary course of business for amounts not overdue or being diligently contested in good faith by appropriate proceedings and for which adequate reserves in accordance with GAAP shall have been set aside on its books;</w:t>
      </w:r>
    </w:p>
    <w:p>
      <w:pPr>
        <w:spacing w:after="0" w:line="186" w:lineRule="exact"/>
        <w:rPr>
          <w:rFonts w:ascii="Times New Roman" w:cs="Times New Roman" w:eastAsia="Times New Roman" w:hAnsi="Times New Roman"/>
          <w:sz w:val="22"/>
          <w:szCs w:val="22"/>
          <w:color w:val="auto"/>
        </w:rPr>
      </w:pPr>
    </w:p>
    <w:p>
      <w:pPr>
        <w:jc w:val="both"/>
        <w:ind w:firstLine="644"/>
        <w:spacing w:after="0" w:line="252" w:lineRule="auto"/>
        <w:tabs>
          <w:tab w:leader="none" w:pos="138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or deposits made in the ordinary course of business in connection with worker’s compensation, unemployment insurance or other forms of governmental insurance or benefits, or to secure performance of tenders, statutory obligations, bids, leases or other similar obligations (other than for borrowed money) entered into in the ordinary course of business or to secure obligations on surety and appeal bonds or performance bonds;</w:t>
      </w:r>
    </w:p>
    <w:p>
      <w:pPr>
        <w:spacing w:after="0" w:line="179" w:lineRule="exact"/>
        <w:rPr>
          <w:rFonts w:ascii="Times New Roman" w:cs="Times New Roman" w:eastAsia="Times New Roman" w:hAnsi="Times New Roman"/>
          <w:sz w:val="22"/>
          <w:szCs w:val="22"/>
          <w:color w:val="auto"/>
        </w:rPr>
      </w:pPr>
    </w:p>
    <w:p>
      <w:pPr>
        <w:jc w:val="both"/>
        <w:ind w:firstLine="644"/>
        <w:spacing w:after="0" w:line="263" w:lineRule="auto"/>
        <w:tabs>
          <w:tab w:leader="none" w:pos="112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judgment Liens in existence for less than 45 days after the entry thereof or with respect to which execution has been stayed or the payment of which is covered in full (subject to a customary deductible) by insurance maintained with responsible insurance companies and which do not otherwise result in an Event of Default under </w:t>
      </w:r>
      <w:r>
        <w:rPr>
          <w:rFonts w:ascii="Times New Roman" w:cs="Times New Roman" w:eastAsia="Times New Roman" w:hAnsi="Times New Roman"/>
          <w:sz w:val="22"/>
          <w:szCs w:val="22"/>
          <w:u w:val="single" w:color="auto"/>
          <w:color w:val="auto"/>
        </w:rPr>
        <w:t>Section 9.1(f)</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firstLine="644"/>
        <w:spacing w:after="0" w:line="295" w:lineRule="auto"/>
        <w:tabs>
          <w:tab w:leader="none" w:pos="1312"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rights-of-way, zoning restrictions, minor defects or irregularities in title and other similar encumbrances not interfering in any material respect with the value or use of the property to which such Lien is attached;</w:t>
      </w:r>
    </w:p>
    <w:p>
      <w:pPr>
        <w:spacing w:after="0" w:line="135" w:lineRule="exact"/>
        <w:rPr>
          <w:rFonts w:ascii="Times New Roman" w:cs="Times New Roman" w:eastAsia="Times New Roman" w:hAnsi="Times New Roman"/>
          <w:sz w:val="21"/>
          <w:szCs w:val="21"/>
          <w:color w:val="auto"/>
        </w:rPr>
      </w:pPr>
    </w:p>
    <w:p>
      <w:pPr>
        <w:jc w:val="both"/>
        <w:ind w:firstLine="644"/>
        <w:spacing w:after="0" w:line="263" w:lineRule="auto"/>
        <w:tabs>
          <w:tab w:leader="none" w:pos="113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at the time delinquent or thereafter payable without penalty or being diligently contested in good faith by appropriate proceedings and for which adequate reserves in accordance with GAAP shall have been set aside on its books;</w:t>
      </w:r>
    </w:p>
    <w:p>
      <w:pPr>
        <w:spacing w:after="0" w:line="167" w:lineRule="exact"/>
        <w:rPr>
          <w:rFonts w:ascii="Times New Roman" w:cs="Times New Roman" w:eastAsia="Times New Roman" w:hAnsi="Times New Roman"/>
          <w:sz w:val="22"/>
          <w:szCs w:val="22"/>
          <w:color w:val="auto"/>
        </w:rPr>
      </w:pPr>
    </w:p>
    <w:p>
      <w:pPr>
        <w:ind w:firstLine="644"/>
        <w:spacing w:after="0" w:line="271" w:lineRule="auto"/>
        <w:tabs>
          <w:tab w:leader="none" w:pos="1117"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Permitted IP Licenses and (B) any interest or title of a lessor or sublessor under any lease (other than a finance lease) or of a licensor or sublicensor under any license, in each case permitted by this Agreement;</w:t>
      </w:r>
    </w:p>
    <w:p>
      <w:pPr>
        <w:spacing w:after="0" w:line="157" w:lineRule="exact"/>
        <w:rPr>
          <w:rFonts w:ascii="Times New Roman" w:cs="Times New Roman" w:eastAsia="Times New Roman" w:hAnsi="Times New Roman"/>
          <w:sz w:val="22"/>
          <w:szCs w:val="22"/>
          <w:color w:val="auto"/>
        </w:rPr>
      </w:pPr>
    </w:p>
    <w:p>
      <w:pPr>
        <w:jc w:val="both"/>
        <w:ind w:firstLine="644"/>
        <w:spacing w:after="0" w:line="256" w:lineRule="auto"/>
        <w:tabs>
          <w:tab w:leader="none" w:pos="106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banker’s liens, rights of setoff and Liens in favor of financial institutions incurred made in the ordinary course of business arising in connection with the Parent’s, the Borrower’s or any Subsidiary’s deposit accounts or securities accounts held at such institutions to secure solely payment of fees and similar costs and expenses and provided such accounts are maintained in compliance with </w:t>
      </w:r>
      <w:r>
        <w:rPr>
          <w:rFonts w:ascii="Times New Roman" w:cs="Times New Roman" w:eastAsia="Times New Roman" w:hAnsi="Times New Roman"/>
          <w:sz w:val="22"/>
          <w:szCs w:val="22"/>
          <w:u w:val="single" w:color="auto"/>
          <w:color w:val="auto"/>
        </w:rPr>
        <w:t>Section 7.12(a)</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211" w:name="page212"/>
    <w:bookmarkEnd w:id="211"/>
    <w:p>
      <w:pPr>
        <w:ind w:left="1780" w:hanging="476"/>
        <w:spacing w:after="0"/>
        <w:tabs>
          <w:tab w:leader="none" w:pos="178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law or contract on insurance policies and proceeds thereof securing premiums thereunder;</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7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cash collateral to secure Indebtedness permitted pursuant to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8.2(i)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8.2(k)</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1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in favor of customs and revenue authorities arising as a matter of law to secure the payment of customs duties in connection with the importation of goods in the ordinary course of business and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94" w:lineRule="exact"/>
        <w:rPr>
          <w:rFonts w:ascii="Times New Roman" w:cs="Times New Roman" w:eastAsia="Times New Roman" w:hAnsi="Times New Roman"/>
          <w:sz w:val="22"/>
          <w:szCs w:val="22"/>
          <w:color w:val="auto"/>
        </w:rPr>
      </w:pPr>
    </w:p>
    <w:p>
      <w:pPr>
        <w:ind w:left="660" w:firstLine="644"/>
        <w:spacing w:after="0" w:line="271" w:lineRule="auto"/>
        <w:tabs>
          <w:tab w:leader="none" w:pos="180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attachments, appeal bonds, judgments and other similar Liens in connection with judgments the existence of which do not constitute an Event of Default;</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95"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uniform commercial code financing statements filed under any lease (other than a finance lease) not otherwise prohibited under this Agreement;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18"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and other Liens on cash to secure the performance of bids, trade contracts, governmental contracts and other similar contracts (other than Indebtedness for borrowed money), leases (other than capital leases), subleases, statutory obligations, and other obligations of a like nature incurred in the ordinary course of business; and</w:t>
      </w:r>
    </w:p>
    <w:p>
      <w:pPr>
        <w:spacing w:after="0" w:line="16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9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of the Parent, the Borrower and the Subsidiaries in an aggregate amount at any time outstanding not to exceed $250,000.</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xml:space="preserve">. Prior to March 31, 2025, the Liquidity shall not at any time be less than $5,000,000. On or after March 31, 2025, the Liquidity shall not at any time be less than $10,000,000. The Liquidity required under this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shall be held in one or more Controlled Accounts located in the United States as required pursuant to </w:t>
      </w:r>
      <w:r>
        <w:rPr>
          <w:rFonts w:ascii="Times New Roman" w:cs="Times New Roman" w:eastAsia="Times New Roman" w:hAnsi="Times New Roman"/>
          <w:sz w:val="22"/>
          <w:szCs w:val="22"/>
          <w:u w:val="single" w:color="auto"/>
          <w:color w:val="auto"/>
        </w:rPr>
        <w:t>Section 7.12(a)</w:t>
      </w:r>
      <w:r>
        <w:rPr>
          <w:rFonts w:ascii="Times New Roman" w:cs="Times New Roman" w:eastAsia="Times New Roman" w:hAnsi="Times New Roman"/>
          <w:sz w:val="22"/>
          <w:szCs w:val="22"/>
          <w:color w:val="auto"/>
        </w:rPr>
        <w:t xml:space="preserve"> hereof.</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8.5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None of the Parent, the Borrower or any of the Subsidiaries will purchase, make, incur, assume or permit to exist any Investment in any other Person, except:</w:t>
      </w:r>
    </w:p>
    <w:p>
      <w:pPr>
        <w:spacing w:after="0" w:line="158" w:lineRule="exact"/>
        <w:rPr>
          <w:sz w:val="20"/>
          <w:szCs w:val="20"/>
          <w:color w:val="auto"/>
        </w:rPr>
      </w:pPr>
    </w:p>
    <w:p>
      <w:pPr>
        <w:ind w:left="1760" w:hanging="456"/>
        <w:spacing w:after="0"/>
        <w:tabs>
          <w:tab w:leader="none" w:pos="176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existing on the Closing Date and identified in </w:t>
      </w:r>
      <w:r>
        <w:rPr>
          <w:rFonts w:ascii="Times New Roman" w:cs="Times New Roman" w:eastAsia="Times New Roman" w:hAnsi="Times New Roman"/>
          <w:sz w:val="22"/>
          <w:szCs w:val="22"/>
          <w:u w:val="single" w:color="auto"/>
          <w:color w:val="auto"/>
        </w:rPr>
        <w:t>Schedule 8.5(a)</w:t>
      </w:r>
      <w:r>
        <w:rPr>
          <w:rFonts w:ascii="Times New Roman" w:cs="Times New Roman" w:eastAsia="Times New Roman" w:hAnsi="Times New Roman"/>
          <w:sz w:val="22"/>
          <w:szCs w:val="22"/>
          <w:color w:val="auto"/>
        </w:rPr>
        <w:t xml:space="preserve"> of the Disclosure Letter;</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Equivalent Investments;</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69"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in connection with the bankruptcy or reorganization of, or settlement of delinquent accounts and disputes with, customers and suppliers, in each case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12" w:name="page213"/>
    <w:bookmarkEnd w:id="212"/>
    <w:p>
      <w:pPr>
        <w:ind w:left="660" w:firstLine="644"/>
        <w:spacing w:after="0" w:line="271" w:lineRule="auto"/>
        <w:tabs>
          <w:tab w:leader="none" w:pos="179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any deferred portion of the sales price received by the Parent, the Borrower or any of the Subsidiaries in connection with any Disposition permitted under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8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(i) accounts receivable arising, (ii) trade debt granted, or (iii) deposits made in connection with the purchase price of goods or services, in each case in the ordinary course of business;</w:t>
      </w:r>
    </w:p>
    <w:p>
      <w:pPr>
        <w:spacing w:after="0" w:line="143"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Borrower or any Guarantor in the Borrower or any Guarantor;</w:t>
      </w:r>
    </w:p>
    <w:p>
      <w:pPr>
        <w:spacing w:after="0" w:line="219" w:lineRule="exact"/>
        <w:rPr>
          <w:rFonts w:ascii="Times New Roman" w:cs="Times New Roman" w:eastAsia="Times New Roman" w:hAnsi="Times New Roman"/>
          <w:sz w:val="22"/>
          <w:szCs w:val="22"/>
          <w:color w:val="auto"/>
        </w:rPr>
      </w:pPr>
    </w:p>
    <w:p>
      <w:pPr>
        <w:ind w:left="660" w:firstLine="644"/>
        <w:spacing w:after="0" w:line="256" w:lineRule="auto"/>
        <w:tabs>
          <w:tab w:leader="none" w:pos="177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by the Borrower or any Guarantor in any Excluded Subsidiary (i) made prior to the Closing Date and set forth on Schedule 8.5(g) of the Disclosure Letter and (ii) made on or following the Closing Date, in an aggregate amount at any time outstanding not to exceed, when combined with any outstanding Indebtedness of any Excluded Subsidiary owing to the Borrower or any Guarantor pursuant to </w:t>
      </w:r>
      <w:r>
        <w:rPr>
          <w:rFonts w:ascii="Times New Roman" w:cs="Times New Roman" w:eastAsia="Times New Roman" w:hAnsi="Times New Roman"/>
          <w:sz w:val="22"/>
          <w:szCs w:val="22"/>
          <w:u w:val="single" w:color="auto"/>
          <w:color w:val="auto"/>
        </w:rPr>
        <w:t>Section 8.2(f)</w:t>
      </w:r>
      <w:r>
        <w:rPr>
          <w:rFonts w:ascii="Times New Roman" w:cs="Times New Roman" w:eastAsia="Times New Roman" w:hAnsi="Times New Roman"/>
          <w:sz w:val="22"/>
          <w:szCs w:val="22"/>
          <w:color w:val="auto"/>
        </w:rPr>
        <w:t>, $[***];</w:t>
      </w:r>
    </w:p>
    <w:p>
      <w:pPr>
        <w:spacing w:after="0" w:line="176" w:lineRule="exact"/>
        <w:rPr>
          <w:rFonts w:ascii="Times New Roman" w:cs="Times New Roman" w:eastAsia="Times New Roman" w:hAnsi="Times New Roman"/>
          <w:sz w:val="22"/>
          <w:szCs w:val="22"/>
          <w:color w:val="auto"/>
        </w:rPr>
      </w:pPr>
    </w:p>
    <w:p>
      <w:pPr>
        <w:ind w:left="660" w:right="260" w:firstLine="644"/>
        <w:spacing w:after="0" w:line="271" w:lineRule="auto"/>
        <w:tabs>
          <w:tab w:leader="none" w:pos="177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travel advances and employee relocation loans and other similar employee loans and advances in the ordinary course of business not to exceed $[***] at any time;</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72"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utility and other similar deposits made in the ordinary course of business and trade credit extended in the ordinary course of business; and</w:t>
      </w:r>
    </w:p>
    <w:p>
      <w:pPr>
        <w:spacing w:after="0" w:line="15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in an aggregate amount not to exceed $[***] at any time outstanding.</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8.6 </w:t>
      </w:r>
      <w:r>
        <w:rPr>
          <w:rFonts w:ascii="Times New Roman" w:cs="Times New Roman" w:eastAsia="Times New Roman" w:hAnsi="Times New Roman"/>
          <w:sz w:val="22"/>
          <w:szCs w:val="22"/>
          <w:u w:val="single" w:color="auto"/>
          <w:color w:val="auto"/>
        </w:rPr>
        <w:t>Restricted Payments, Etc</w:t>
      </w:r>
      <w:r>
        <w:rPr>
          <w:rFonts w:ascii="Times New Roman" w:cs="Times New Roman" w:eastAsia="Times New Roman" w:hAnsi="Times New Roman"/>
          <w:sz w:val="22"/>
          <w:szCs w:val="22"/>
          <w:color w:val="auto"/>
        </w:rPr>
        <w:t>. None of the Parent, the Borrower or any of the Subsidiaries will declare or make a Restricted Payment, or make any deposit for any Restricted Payment or make a payment or prepayment of principal of, premium, if any, interest, fees, redemption, exchange, purchase, retirement, defeasance, sinking fund or similar payment with respect to any Permitted Subordinated Indebtedness, other than:</w:t>
      </w:r>
    </w:p>
    <w:p>
      <w:pPr>
        <w:spacing w:after="0" w:line="179" w:lineRule="exact"/>
        <w:rPr>
          <w:sz w:val="20"/>
          <w:szCs w:val="20"/>
          <w:color w:val="auto"/>
        </w:rPr>
      </w:pPr>
    </w:p>
    <w:p>
      <w:pPr>
        <w:ind w:left="1780" w:hanging="476"/>
        <w:spacing w:after="0"/>
        <w:tabs>
          <w:tab w:leader="none" w:pos="17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Payments made by the Parent, the Borrower or the Subsidiaries to the Parent, the Borrower or any</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Subsidiaries;</w:t>
      </w:r>
    </w:p>
    <w:p>
      <w:pPr>
        <w:spacing w:after="0" w:line="207" w:lineRule="exact"/>
        <w:rPr>
          <w:rFonts w:ascii="Times New Roman" w:cs="Times New Roman" w:eastAsia="Times New Roman" w:hAnsi="Times New Roman"/>
          <w:sz w:val="21"/>
          <w:szCs w:val="21"/>
          <w:color w:val="auto"/>
        </w:rPr>
      </w:pPr>
    </w:p>
    <w:p>
      <w:pPr>
        <w:ind w:left="660" w:firstLine="644"/>
        <w:spacing w:after="0" w:line="271" w:lineRule="auto"/>
        <w:tabs>
          <w:tab w:leader="none" w:pos="1857"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on Permitted Subordinated Indebtedness expressly permitted to be paid under the subordination agreement relating to such Permitted Subordinated Indebtedness;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cashless exercises of options and warrants, exchanges of warrants for Capital Securities, and cash payments made by the Parent in lieu of fractional shares upon exercise of warrants or options or conversions of convertible securities;</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77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(or withholding) of Capital Securities of the Parent by the Parent pursuant to any employee equity incentive or similar plan, in order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13" w:name="page214"/>
    <w:bookmarkEnd w:id="213"/>
    <w:p>
      <w:pPr>
        <w:ind w:left="660"/>
        <w:spacing w:after="0" w:line="271" w:lineRule="auto"/>
        <w:rPr>
          <w:sz w:val="20"/>
          <w:szCs w:val="20"/>
          <w:color w:val="auto"/>
        </w:rPr>
      </w:pPr>
      <w:r>
        <w:rPr>
          <w:rFonts w:ascii="Times New Roman" w:cs="Times New Roman" w:eastAsia="Times New Roman" w:hAnsi="Times New Roman"/>
          <w:sz w:val="22"/>
          <w:szCs w:val="22"/>
          <w:color w:val="auto"/>
        </w:rPr>
        <w:t>withholding taxes for which the Parent is liable in respect of a current or former officer, director, employee, member of management or consultant upon such grant or award (or upon vesting of exercise thereof); and</w:t>
      </w:r>
    </w:p>
    <w:p>
      <w:pPr>
        <w:spacing w:after="0" w:line="158"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the payment of dividends or distributions by any Subsidiary to the Parent, the Borrower or any Guarantor.</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8.7 </w:t>
      </w:r>
      <w:r>
        <w:rPr>
          <w:rFonts w:ascii="Times New Roman" w:cs="Times New Roman" w:eastAsia="Times New Roman" w:hAnsi="Times New Roman"/>
          <w:sz w:val="22"/>
          <w:szCs w:val="22"/>
          <w:u w:val="single" w:color="auto"/>
          <w:color w:val="auto"/>
        </w:rPr>
        <w:t>Consolidation, Merger</w:t>
      </w:r>
      <w:r>
        <w:rPr>
          <w:rFonts w:ascii="Times New Roman" w:cs="Times New Roman" w:eastAsia="Times New Roman" w:hAnsi="Times New Roman"/>
          <w:sz w:val="22"/>
          <w:szCs w:val="22"/>
          <w:color w:val="auto"/>
        </w:rPr>
        <w:t xml:space="preserve">. None of the Parent, the Borrower or any of the Subsidiaries will (a) liquidate or dissolve, consolidate with, or merge into or with, any other Person, or (b) purchase or otherwise acquire all or substantially all of the assets of any Person (or any division, business unit, product or line of business thereof), including through an exclusive lease or license;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clauses (a) and (b), so long as no Event of Default has occurred and is continuing (or would occur), any Subsidiary may liquidate or dissolve voluntarily into, and may merge with and into, the Parent, the Borrower or any Subsidiary.</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8.8 </w:t>
      </w:r>
      <w:r>
        <w:rPr>
          <w:rFonts w:ascii="Times New Roman" w:cs="Times New Roman" w:eastAsia="Times New Roman" w:hAnsi="Times New Roman"/>
          <w:sz w:val="22"/>
          <w:szCs w:val="22"/>
          <w:u w:val="single" w:color="auto"/>
          <w:color w:val="auto"/>
        </w:rPr>
        <w:t>Permitted Dispositions</w:t>
      </w:r>
      <w:r>
        <w:rPr>
          <w:rFonts w:ascii="Times New Roman" w:cs="Times New Roman" w:eastAsia="Times New Roman" w:hAnsi="Times New Roman"/>
          <w:sz w:val="22"/>
          <w:szCs w:val="22"/>
          <w:color w:val="auto"/>
        </w:rPr>
        <w:t xml:space="preserve">. None of the Parent, the Borrower or any of the Subsidiaries will Dispose of any of its assets (including accounts receivable and including Capital Securities of the Parent (other than sales of common stock of the Parent) or any Subsidiary) to any Person in one transaction or series of transactions unless such Disposition (i) is of inventory or obsolete, damaged, worn out or surplus property Disposed of in the ordinary course of its business, (ii) [reserved], (iii) is permitted by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(iv) involves any involuntary condemnation, seizure or taking, by exercise of the power of eminent domain or otherwise, or confiscation or requisition of use of property so long as the Net Casualty Proceeds of such condemnation, seizure or taking are remitted to the Administrative Agent, for the benefit of the Lenders, as a prepayment of the Loans to the extent required under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(v) is (a) a lease, license, sublease or sublicense (other than of Intellectual Property) granted to a third party in the ordinary course of business which does not interfere in any material respect with, or materially detract from the value of, the business of the Parent, the Borrower and its Subsidiaries, taken as a whole, and if such lease, license, sublease or sublicense does not prohibit granting the Administrative Agent a Lien therein or (b) a Permitted IP License, (vi) is a disposition in the ordinary course of business consisting of the abandonment of Intellectual Property which, in the reasonable good faith determination of the Loan Parties, is not material to the conduct of the business of the Loan Parties,</w:t>
      </w:r>
    </w:p>
    <w:p>
      <w:pPr>
        <w:spacing w:after="0" w:line="1" w:lineRule="exact"/>
        <w:rPr>
          <w:sz w:val="20"/>
          <w:szCs w:val="20"/>
          <w:color w:val="auto"/>
        </w:rPr>
      </w:pPr>
    </w:p>
    <w:p>
      <w:pPr>
        <w:jc w:val="both"/>
        <w:ind w:firstLine="8"/>
        <w:spacing w:after="0" w:line="246" w:lineRule="auto"/>
        <w:tabs>
          <w:tab w:leader="none" w:pos="432"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constitutes a Lien expressly permitted under Section 8.5(f) or Section 8.5(g), (viii) is an exchange of existing equipment for new equipment that is substantially similar to the equipment being exchanged and that has a value equal to or greater than the equipment being exchanged, (ix) consists of the Parent’s or Borrower’s use or transfer of money or Cash Equivalent Investments in a manner that is not prohibited by this Agreement or the Loan Documents, (x) consists of the sale, transfer, assignment or other disposition of unpaid and overdue accounts receivable in connection with the collection, compromise or settlement thereof in the ordinary course of business and not as part of a financing transaction, (xi) [reserved], (xii) is (A) a Dispositions to Borrower or any Guarantor, or (B) a Disposition made by an Excluded Subsidiary to another Excluded Subsidiary, or (xiii) is a Disposition not otherwise permitted pursuant to this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for aggregate consideration not to exceed $[***] in the aggregate during any Fiscal Year; provided, however, such Dispositions shall not include real property or Intellectual Property (including licenses thereof), in each case so long as (A)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14" w:name="page215"/>
    <w:bookmarkEnd w:id="214"/>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the time of such Disposition no Event of Default shall exist or result therefrom, (B) [***]% of the aggregate sales price for such Disposition is paid in cash, (C) such Disposition is made in an arms-length transaction for fair market value, and (D) for clarity, the proceeds of each such Disposition are remitted to the Administrative Agent, for the benefit of the Lenders, as a prepayment of the Loans to the extent required under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8.9 </w:t>
      </w:r>
      <w:r>
        <w:rPr>
          <w:rFonts w:ascii="Times New Roman" w:cs="Times New Roman" w:eastAsia="Times New Roman" w:hAnsi="Times New Roman"/>
          <w:sz w:val="22"/>
          <w:szCs w:val="22"/>
          <w:u w:val="single" w:color="auto"/>
          <w:color w:val="auto"/>
        </w:rPr>
        <w:t>Modification of Certain Agreements</w:t>
      </w:r>
      <w:r>
        <w:rPr>
          <w:rFonts w:ascii="Times New Roman" w:cs="Times New Roman" w:eastAsia="Times New Roman" w:hAnsi="Times New Roman"/>
          <w:sz w:val="22"/>
          <w:szCs w:val="22"/>
          <w:color w:val="auto"/>
        </w:rPr>
        <w:t>. None of the Parent, the Borrower or any of the Subsidiaries will consent to any amendment, supplement, waiver or other modification of, or enter into any forbearance from exercising any rights with respect to, the terms or provisions contained in (a) any Organic Documents of the Parent, the Borrower or any of the Subsidiaries, if the result would have an adverse effect on the rights or remedies of the Administrative Agent or the Lenders under this Agreement or any Investment Document, or (b) any agreement governing any Permitted Subordinated Indebtedness, if the result would shorten the maturity date thereof or advance the date on which any cash payment is required to be made thereon or would otherwise change any terms thereof in a manner adverse to the Administrative Agent or the Lenders, in each case without the consent of the Administrative Agent.</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8.10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None of the Parent, the Borrower or any of the Subsidiaries will enter into or cause or permit to exist any arrangement, transaction or contract (including for the purchase, lease or exchange of property or the rendering of services) with any of its Affiliates, unless such arrangement, transaction or contract (A) (i) is on fair and reasonable terms no less favorable to the Parent, the Borrower or such Subsidiary than it could obtain in an arm’s-length transaction with a Person that is not one of its Affiliates and (ii) is of the kind which would be entered into by a prudent Person in its position with a Person that is not one of its Affiliates, (B) is a transaction between the Parent, the Borrower and any Guarantor, or a transaction between Guarantors, (C) is for compensation and other employee agreements or arrangements (including employee benefits, compensation, equity awards and director/officer indemnification agreements for officers, directors and employees of the Parent, the Borrower and its Subsidiaries, entered into in the ordinary course of business,(D) is entered into among Subsidiaries that are Excluded Subsidiaries, (E) is pursuant to any agreement in existence on the date hereof and set forth on Schedule 8.10 to the Disclosure Letter, or (F) is expressly permitted by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Restrictive Agreements, Etc</w:t>
      </w:r>
      <w:r>
        <w:rPr>
          <w:rFonts w:ascii="Times New Roman" w:cs="Times New Roman" w:eastAsia="Times New Roman" w:hAnsi="Times New Roman"/>
          <w:sz w:val="22"/>
          <w:szCs w:val="22"/>
          <w:color w:val="auto"/>
        </w:rPr>
        <w:t xml:space="preserve">. None of the Parent, the Borrower or any of the Subsidiaries will enter into any agreement prohibiting (i) after giving effect to anti-assignment provisions of the Uniform Commercial Code and applicable Laws, the creation or assumption of any Lien upon its properties, revenues or assets, whether now owned or hereafter acquired (except for those assets held in Governmental Collection Accounts), (ii) the ability of the Parent, the Borrower or any of the Guarantors to amend or otherwise modify any Investment Document, or (iii) the ability of the Parent, the Borrower or any Subsidiary to make any payments, directly or indirectly, to the Borrower, including by way of dividends, advances, repayments of loans, reimbursements of management and other intercompany charges, expenses and accruals or other returns on investments. The foregoing prohibitions shall not apply to restrictions contained (a) in any Investment Document (including any applicable intercreditor or subordination agreement), (b) in the case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in any agreement governing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15" w:name="page216"/>
    <w:bookmarkEnd w:id="215"/>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Indebtedness permitted by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 xml:space="preserve"> as to the assets financed with the proceeds of such Indebtedness, (c) restrictions arising under applicable Laws, (d) customary provisions in leases, licenses and other contracts regarding confidentiality or restricting the assignment, pledge or transfer thereof, entered into in the ordinary course of business, (e) customary provisions in contracts for the disposition of any assets in compliance with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and (f) customary net worth provisions or similar financial maintenance provisions contained in any agreement entered into by a Subsidiary.</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8.12 </w:t>
      </w:r>
      <w:r>
        <w:rPr>
          <w:rFonts w:ascii="Times New Roman" w:cs="Times New Roman" w:eastAsia="Times New Roman" w:hAnsi="Times New Roman"/>
          <w:sz w:val="22"/>
          <w:szCs w:val="22"/>
          <w:u w:val="single" w:color="auto"/>
          <w:color w:val="auto"/>
        </w:rPr>
        <w:t>Sale and Leaseback</w:t>
      </w:r>
      <w:r>
        <w:rPr>
          <w:rFonts w:ascii="Times New Roman" w:cs="Times New Roman" w:eastAsia="Times New Roman" w:hAnsi="Times New Roman"/>
          <w:sz w:val="22"/>
          <w:szCs w:val="22"/>
          <w:color w:val="auto"/>
        </w:rPr>
        <w:t>. None of the Parent, the Borrower or any of the Subsidiaries will directly or indirectly enter into any agreement or arrangement providing for the sale or transfer by it of any property (now owned or hereafter acquired) to a Person and the subsequent lease or rental of such property or other similar property from such Person.</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8.13 </w:t>
      </w:r>
      <w:r>
        <w:rPr>
          <w:rFonts w:ascii="Times New Roman" w:cs="Times New Roman" w:eastAsia="Times New Roman" w:hAnsi="Times New Roman"/>
          <w:sz w:val="22"/>
          <w:szCs w:val="22"/>
          <w:u w:val="single" w:color="auto"/>
          <w:color w:val="auto"/>
        </w:rPr>
        <w:t>Product Agreements</w:t>
      </w:r>
      <w:r>
        <w:rPr>
          <w:rFonts w:ascii="Times New Roman" w:cs="Times New Roman" w:eastAsia="Times New Roman" w:hAnsi="Times New Roman"/>
          <w:sz w:val="22"/>
          <w:szCs w:val="22"/>
          <w:color w:val="auto"/>
        </w:rPr>
        <w:t>. The Parent, the Borrower and each of their Subsidiaries will, in entering into any amendment with respect to any existing Product Agreement or entering into any new Product Agreement, use commercially reasonable efforts to ensure that such Product Agreement does not contain (a) any provision that permits any counterparty other than the Parent, the Borrower or any of the Subsidiaries to terminate such Product Agreement for any reason related to the insolvency or change of control of the Parent, the Borrower or any of the Subsidiaries or assignment of such Product Agreement by the Parent, the Borrower or any of the Subsidiaries or (b) any provision which restricts or penalizes a security interest in, or the assignment of, any Product Agreements, upon the sale, merger or other Disposition of all or a material portion of a Product to which such Product Agreement relates.</w:t>
      </w:r>
    </w:p>
    <w:p>
      <w:pPr>
        <w:spacing w:after="0" w:line="1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8.14 </w:t>
      </w:r>
      <w:r>
        <w:rPr>
          <w:rFonts w:ascii="Times New Roman" w:cs="Times New Roman" w:eastAsia="Times New Roman" w:hAnsi="Times New Roman"/>
          <w:sz w:val="21"/>
          <w:szCs w:val="21"/>
          <w:u w:val="single" w:color="auto"/>
          <w:color w:val="auto"/>
        </w:rPr>
        <w:t>Change in Name, Location or Executive Office or Executive Management; Change in Fiscal Year</w:t>
      </w:r>
      <w:r>
        <w:rPr>
          <w:rFonts w:ascii="Times New Roman" w:cs="Times New Roman" w:eastAsia="Times New Roman" w:hAnsi="Times New Roman"/>
          <w:sz w:val="21"/>
          <w:szCs w:val="21"/>
          <w:color w:val="auto"/>
        </w:rPr>
        <w:t>. None of the Parent, the Borrower or any of the Subsidiaries will (i) change its legal name or any trade name used to identify it in the conduct of its business or ownership of its properties without 10 days’ prior written notice to the Administrative Agent, (ii) change its jurisdiction of organization or legal structure, (iii) relocate its chief executive office, principal place of business or any office in which it maintains books or records relating to its business (including the establishment of any new office or facility) without 30 days’ prior written notice to the Administrative Agent, (iv) change its federal taxpayer identification number or organizational number (or equivalent), in each case, without 30 days’ prior written notice to the Administrative Agent, (v) terminate the employment of or replace its chief executive officer or chief financial officer (or equivalent title) without written notification to the Administrative Agent within 30 days thereafter, or (vi) change its Fiscal Year or any of its Fiscal Quarters, or</w:t>
      </w:r>
    </w:p>
    <w:p>
      <w:pPr>
        <w:spacing w:after="0" w:line="5" w:lineRule="exact"/>
        <w:rPr>
          <w:sz w:val="20"/>
          <w:szCs w:val="20"/>
          <w:color w:val="auto"/>
        </w:rPr>
      </w:pPr>
    </w:p>
    <w:p>
      <w:pPr>
        <w:jc w:val="both"/>
        <w:ind w:firstLine="8"/>
        <w:spacing w:after="0" w:line="271" w:lineRule="auto"/>
        <w:tabs>
          <w:tab w:leader="none" w:pos="439"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or permit any of its Subsidiaries to enter into, any Division/Series Transaction (it being understood that none of the provisions in this Agreement nor any other Investment Document shall be deemed to permit any Division/Series Transaction).</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8.15 </w:t>
      </w:r>
      <w:r>
        <w:rPr>
          <w:rFonts w:ascii="Times New Roman" w:cs="Times New Roman" w:eastAsia="Times New Roman" w:hAnsi="Times New Roman"/>
          <w:sz w:val="22"/>
          <w:szCs w:val="22"/>
          <w:u w:val="single" w:color="auto"/>
          <w:color w:val="auto"/>
        </w:rPr>
        <w:t>Benefit Plans and Agreements</w:t>
      </w:r>
      <w:r>
        <w:rPr>
          <w:rFonts w:ascii="Times New Roman" w:cs="Times New Roman" w:eastAsia="Times New Roman" w:hAnsi="Times New Roman"/>
          <w:sz w:val="22"/>
          <w:szCs w:val="22"/>
          <w:color w:val="auto"/>
        </w:rPr>
        <w:t>. None of the Parent, the Borrower or any Subsidiary will (i) become the sponsor of, incur any responsibility to contribute to or otherwise incur actual or potential liability with respect to, any Identified Benefit Plan, (ii) allow any “employee benefit plan” as defined in section 3(3) of ERISA that provides retirement benefits, is sponsored by the Parent, the Borrower, any Subsidiary or any of their ERISA Affiliates,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16" w:name="page217"/>
    <w:bookmarkEnd w:id="216"/>
    <w:p>
      <w:pPr>
        <w:jc w:val="both"/>
        <w:spacing w:after="0" w:line="251" w:lineRule="auto"/>
        <w:rPr>
          <w:sz w:val="20"/>
          <w:szCs w:val="20"/>
          <w:color w:val="auto"/>
        </w:rPr>
      </w:pPr>
      <w:r>
        <w:rPr>
          <w:rFonts w:ascii="Times New Roman" w:cs="Times New Roman" w:eastAsia="Times New Roman" w:hAnsi="Times New Roman"/>
          <w:sz w:val="22"/>
          <w:szCs w:val="22"/>
          <w:color w:val="auto"/>
        </w:rPr>
        <w:t>intended to be tax qualified under section 401 of the Code to cease to be tax qualified, (iii) allow any employee benefit plan, program or arrangement sponsored, maintained, contributed to or required to be contributed to by the Parent, the Borrower or any Subsidiary to fail to comply in all material respects with its terms and applicable law, or (iv) allow any employe benefit plan as defined in Section 3(3) of ERISA that provides medical insurance, life insurance, or long-term disability benefits to cease to be either fully insured by a third-party insurance company or covered by a stop-loss policy with a third-party insurance company that provides commercially reasonable limits on the Parent’s and the Borrower’s liability.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20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Listing of Events of Default</w:t>
      </w:r>
      <w:r>
        <w:rPr>
          <w:rFonts w:ascii="Times New Roman" w:cs="Times New Roman" w:eastAsia="Times New Roman" w:hAnsi="Times New Roman"/>
          <w:sz w:val="22"/>
          <w:szCs w:val="22"/>
          <w:color w:val="auto"/>
        </w:rPr>
        <w:t xml:space="preserve">. Each of the following events or occurrences described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shall constitute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60" w:firstLine="644"/>
        <w:spacing w:after="0" w:line="275" w:lineRule="auto"/>
        <w:tabs>
          <w:tab w:leader="none" w:pos="1791"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Non-Payment of Obligations</w:t>
      </w:r>
      <w:r>
        <w:rPr>
          <w:rFonts w:ascii="Times New Roman" w:cs="Times New Roman" w:eastAsia="Times New Roman" w:hAnsi="Times New Roman"/>
          <w:sz w:val="21"/>
          <w:szCs w:val="21"/>
          <w:color w:val="auto"/>
        </w:rPr>
        <w:t xml:space="preserve">. The Borrower shall default in the payment or prepayment when due of (i) any principal of or interest on any Loan, or (ii) any fee described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or any other monetary Obligation, and in the case of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such default shall continue unremedied for a period of two Business Days after such amount was due.</w:t>
      </w:r>
    </w:p>
    <w:p>
      <w:pPr>
        <w:spacing w:after="0" w:line="155" w:lineRule="exact"/>
        <w:rPr>
          <w:rFonts w:ascii="Times New Roman" w:cs="Times New Roman" w:eastAsia="Times New Roman" w:hAnsi="Times New Roman"/>
          <w:sz w:val="21"/>
          <w:szCs w:val="21"/>
          <w:color w:val="auto"/>
        </w:rPr>
      </w:pPr>
    </w:p>
    <w:p>
      <w:pPr>
        <w:jc w:val="both"/>
        <w:ind w:left="660" w:firstLine="644"/>
        <w:spacing w:after="0" w:line="263" w:lineRule="auto"/>
        <w:tabs>
          <w:tab w:leader="none" w:pos="177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Warranty</w:t>
      </w:r>
      <w:r>
        <w:rPr>
          <w:rFonts w:ascii="Times New Roman" w:cs="Times New Roman" w:eastAsia="Times New Roman" w:hAnsi="Times New Roman"/>
          <w:sz w:val="22"/>
          <w:szCs w:val="22"/>
          <w:color w:val="auto"/>
        </w:rPr>
        <w:t xml:space="preserve">. Any representation or warranty made or deemed to be made by the Parent, the Borrower or any of the Subsidiaries in any Investment Document (including any certificates delivered pursuant to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is or shall be incorrect in any material respect when made or deemed to have been made.</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Non-Performance of Certain Covenants and Obligations</w:t>
      </w:r>
      <w:r>
        <w:rPr>
          <w:rFonts w:ascii="Times New Roman" w:cs="Times New Roman" w:eastAsia="Times New Roman" w:hAnsi="Times New Roman"/>
          <w:sz w:val="22"/>
          <w:szCs w:val="22"/>
          <w:color w:val="auto"/>
        </w:rPr>
        <w:t xml:space="preserve">. The Parent, the Borrower or any Subsidiary shall default in the due performance or observance of any of its obligations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7.15,</w:t>
      </w:r>
      <w:r>
        <w:rPr>
          <w:rFonts w:ascii="Times New Roman" w:cs="Times New Roman" w:eastAsia="Times New Roman" w:hAnsi="Times New Roman"/>
          <w:sz w:val="22"/>
          <w:szCs w:val="22"/>
          <w:color w:val="auto"/>
        </w:rPr>
        <w:t xml:space="preserve"> Section 7.17 or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7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Non-Performance of Other Covenants and Obligations</w:t>
      </w:r>
      <w:r>
        <w:rPr>
          <w:rFonts w:ascii="Times New Roman" w:cs="Times New Roman" w:eastAsia="Times New Roman" w:hAnsi="Times New Roman"/>
          <w:sz w:val="22"/>
          <w:szCs w:val="22"/>
          <w:color w:val="auto"/>
        </w:rPr>
        <w:t>. The Parent, the Borrower or any Subsidiary shall default in the due performance and observance of any other covenant, obligation or agreement contained in any Investment Document executed by it, and such default shall continue unremedied for a period of 30 days after the earlier to occur of (i) notice thereof given to the Borrower by the Administrative Agent or Lenders or (ii) the date on which the Parent, the Borrower or any Subsidiary has knowledge of such default.</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764"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 on Other Indebtedness</w:t>
      </w:r>
      <w:r>
        <w:rPr>
          <w:rFonts w:ascii="Times New Roman" w:cs="Times New Roman" w:eastAsia="Times New Roman" w:hAnsi="Times New Roman"/>
          <w:sz w:val="21"/>
          <w:szCs w:val="21"/>
          <w:color w:val="auto"/>
        </w:rPr>
        <w:t>. A default shall occur in the payment of any amount when due (subject to any applicable grace period), whether by acceleration or otherwise, of any principal or stated amount of, or interest or fees on, any Indebtedness of the Parent, the Borrower or any of the Subsidiaries having a principal or stated amount, individually or in the aggregate, in excess of $[***], or a default shall occur in the performance or observance of any obligation or condition with respect to such Indebtedness if the effect of such default is to accelerate the maturity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17" w:name="page218"/>
    <w:bookmarkEnd w:id="217"/>
    <w:p>
      <w:pPr>
        <w:jc w:val="both"/>
        <w:spacing w:after="0" w:line="256" w:lineRule="auto"/>
        <w:rPr>
          <w:sz w:val="20"/>
          <w:szCs w:val="20"/>
          <w:color w:val="auto"/>
        </w:rPr>
      </w:pPr>
      <w:r>
        <w:rPr>
          <w:rFonts w:ascii="Times New Roman" w:cs="Times New Roman" w:eastAsia="Times New Roman" w:hAnsi="Times New Roman"/>
          <w:sz w:val="22"/>
          <w:szCs w:val="22"/>
          <w:color w:val="auto"/>
        </w:rPr>
        <w:t>Indebtedness or such default shall continue unremedied for any applicable period of time sufficient to permit the holder or holders of such Indebtedness, or any trustee or agent for such holders, to cause or declare such Indebtedness to become due and payable or to require such Indebtedness to be prepaid, redeemed, purchased or defeased, or require an offer to purchase or defease such Indebtedness to be made, prior to its expressed maturity.</w:t>
      </w:r>
    </w:p>
    <w:p>
      <w:pPr>
        <w:spacing w:after="0" w:line="176" w:lineRule="exact"/>
        <w:rPr>
          <w:sz w:val="20"/>
          <w:szCs w:val="20"/>
          <w:color w:val="auto"/>
        </w:rPr>
      </w:pPr>
    </w:p>
    <w:p>
      <w:pPr>
        <w:jc w:val="both"/>
        <w:ind w:firstLine="644"/>
        <w:spacing w:after="0" w:line="251" w:lineRule="auto"/>
        <w:tabs>
          <w:tab w:leader="none" w:pos="113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w:t>
      </w:r>
      <w:r>
        <w:rPr>
          <w:rFonts w:ascii="Times New Roman" w:cs="Times New Roman" w:eastAsia="Times New Roman" w:hAnsi="Times New Roman"/>
          <w:sz w:val="22"/>
          <w:szCs w:val="22"/>
          <w:color w:val="auto"/>
        </w:rPr>
        <w:t>. Any judgment or order for the payment of money individually or in the aggregate in excess of $[***] (exclusive of any amounts fully covered by insurance (less any applicable deductible) and as to which the insurer has acknowledged its responsibility to cover such judgment or order) shall be rendered against the Parent, the Borrower or any of the Subsidiaries and such judgment shall not have been vacated or discharged or stayed or bonded pending appeal within 30 days after the entry thereof or enforcement proceedings shall have been commenced by any creditor upon such judgment or order.</w:t>
      </w:r>
    </w:p>
    <w:p>
      <w:pPr>
        <w:spacing w:after="0" w:line="181"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Any Change in Control shall occur.</w:t>
      </w:r>
    </w:p>
    <w:p>
      <w:pPr>
        <w:spacing w:after="0" w:line="219"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Insolvency, Etc.</w:t>
      </w:r>
      <w:r>
        <w:rPr>
          <w:rFonts w:ascii="Times New Roman" w:cs="Times New Roman" w:eastAsia="Times New Roman" w:hAnsi="Times New Roman"/>
          <w:sz w:val="22"/>
          <w:szCs w:val="22"/>
          <w:color w:val="auto"/>
        </w:rPr>
        <w:t xml:space="preserve"> The Parent, the Borrower or any of the Subsidiaries shall:</w:t>
      </w:r>
    </w:p>
    <w:p>
      <w:pPr>
        <w:spacing w:after="0" w:line="219" w:lineRule="exact"/>
        <w:rPr>
          <w:rFonts w:ascii="Times New Roman" w:cs="Times New Roman" w:eastAsia="Times New Roman" w:hAnsi="Times New Roman"/>
          <w:sz w:val="22"/>
          <w:szCs w:val="22"/>
          <w:color w:val="auto"/>
        </w:rPr>
      </w:pPr>
    </w:p>
    <w:p>
      <w:pPr>
        <w:ind w:left="640" w:firstLine="652"/>
        <w:spacing w:after="0" w:line="271" w:lineRule="auto"/>
        <w:tabs>
          <w:tab w:leader="none" w:pos="1708"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insolvent or generally fail to pay, or admit in writing its inability or unwillingness generally to pay, debts as they become due;</w:t>
      </w:r>
    </w:p>
    <w:p>
      <w:pPr>
        <w:spacing w:after="0" w:line="171" w:lineRule="exact"/>
        <w:rPr>
          <w:rFonts w:ascii="Times New Roman" w:cs="Times New Roman" w:eastAsia="Times New Roman" w:hAnsi="Times New Roman"/>
          <w:sz w:val="22"/>
          <w:szCs w:val="22"/>
          <w:color w:val="auto"/>
        </w:rPr>
      </w:pPr>
    </w:p>
    <w:p>
      <w:pPr>
        <w:jc w:val="both"/>
        <w:ind w:left="640" w:firstLine="652"/>
        <w:spacing w:after="0" w:line="257" w:lineRule="auto"/>
        <w:tabs>
          <w:tab w:leader="none" w:pos="187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for, consent to, or acquiesce in the appointment of a trustee, receiver, sequestrator or other custodian for any substantial part of the property of any thereof, or make a general assignment for the benefit of creditors;</w:t>
      </w:r>
    </w:p>
    <w:p>
      <w:pPr>
        <w:spacing w:after="0" w:line="172" w:lineRule="exact"/>
        <w:rPr>
          <w:rFonts w:ascii="Times New Roman" w:cs="Times New Roman" w:eastAsia="Times New Roman" w:hAnsi="Times New Roman"/>
          <w:sz w:val="22"/>
          <w:szCs w:val="22"/>
          <w:color w:val="auto"/>
        </w:rPr>
      </w:pPr>
    </w:p>
    <w:p>
      <w:pPr>
        <w:jc w:val="both"/>
        <w:ind w:left="640" w:firstLine="652"/>
        <w:spacing w:after="0" w:line="251" w:lineRule="auto"/>
        <w:tabs>
          <w:tab w:leader="none" w:pos="1979"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absence of such application, consent or acquiescence in or permit or suffer to exist the appointment of a trustee, receiver, sequestrator or other custodian for a substantial part of the property of any thereof, and such trustee, receiver, sequestrator or other custodian shall not be discharged within 60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Parent, the Borrower and each Subsidiary hereby expressly authorizes the Administrative Agent and the Lenders to appear in any court conducting any relevant proceeding during such 60-day period to preserve, protect and defend its rights under the Investment Documents;</w:t>
      </w:r>
    </w:p>
    <w:p>
      <w:pPr>
        <w:spacing w:after="0" w:line="181" w:lineRule="exact"/>
        <w:rPr>
          <w:rFonts w:ascii="Times New Roman" w:cs="Times New Roman" w:eastAsia="Times New Roman" w:hAnsi="Times New Roman"/>
          <w:sz w:val="22"/>
          <w:szCs w:val="22"/>
          <w:color w:val="auto"/>
        </w:rPr>
      </w:pPr>
    </w:p>
    <w:p>
      <w:pPr>
        <w:jc w:val="both"/>
        <w:ind w:left="640" w:firstLine="652"/>
        <w:spacing w:after="0" w:line="250" w:lineRule="auto"/>
        <w:tabs>
          <w:tab w:leader="none" w:pos="1941"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or suffer to exist the commencement of any bankruptcy, insolvency, reorganization, debt arrangement, arrangement (including any plan of compromise or arrangement or other corporate proceeding involving or affecting its creditors) or other case or proceeding under any bankruptcy or insolvency law or any dissolution, winding up or liquidation proceeding, in respect thereof (each, an “</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and, if any such case or proceeding is not commenced by the Parent, the Borrower or any Subsidiary, such case or proceeding shall be consented to or acquiesced in by the Parent, the Borrower or such Subsidiary, as the case may be, or shall result in the entry of an order for relief or shall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218" w:name="page219"/>
    <w:bookmarkEnd w:id="218"/>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 xml:space="preserve">for 60 days undismissed and unstayed;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Parent, the Borrower and each Subsidiary hereby expressly authorizes the Administrative Agent and the Lenders to appear in any court conducting any such case or proceeding during such 60-day period to preserve, protect and defend its rights under the Investment Documents; or</w:t>
      </w:r>
    </w:p>
    <w:p>
      <w:pPr>
        <w:spacing w:after="0" w:line="176" w:lineRule="exact"/>
        <w:rPr>
          <w:sz w:val="20"/>
          <w:szCs w:val="20"/>
          <w:color w:val="auto"/>
        </w:rPr>
      </w:pPr>
    </w:p>
    <w:p>
      <w:pPr>
        <w:ind w:left="2420" w:hanging="468"/>
        <w:spacing w:after="0"/>
        <w:tabs>
          <w:tab w:leader="none" w:pos="242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authorizing, or in furtherance of, any of the foregoing.</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8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Impairment of Security, Etc</w:t>
      </w:r>
      <w:r>
        <w:rPr>
          <w:rFonts w:ascii="Times New Roman" w:cs="Times New Roman" w:eastAsia="Times New Roman" w:hAnsi="Times New Roman"/>
          <w:sz w:val="22"/>
          <w:szCs w:val="22"/>
          <w:color w:val="auto"/>
        </w:rPr>
        <w:t>. Any Investment Document or any Lien granted under a Loan Document shall (except in accordance with its terms), in whole or in part, terminate, cease to be effective or cease to be the legally valid, binding and enforceable obligation of the Parent, the Borrower or any Subsidiary party thereto; the Parent, the Borrower, any Subsidiary or any other party shall, directly or indirectly, contest in any manner such effectiveness, validity, binding nature or enforceability; or, except as permitted under any Loan Document, any Lien securing any Obligation shall, in whole or in part, cease to be a perfected first priority Lien.</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2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Key Permit Events</w:t>
      </w:r>
      <w:r>
        <w:rPr>
          <w:rFonts w:ascii="Times New Roman" w:cs="Times New Roman" w:eastAsia="Times New Roman" w:hAnsi="Times New Roman"/>
          <w:sz w:val="22"/>
          <w:szCs w:val="22"/>
          <w:color w:val="auto"/>
        </w:rPr>
        <w:t>. Any Key Permit or any of the Parent’s, the Borrower’s or any Subsidiary’s material rights or interests thereunder is terminated or amended in any manner that would reasonably be expected to cause a Material Adverse Effect.</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49"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Any circumstance occurs has had or could reasonably be expected to have a Material Adverse Effect.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1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Matters</w:t>
      </w:r>
      <w:r>
        <w:rPr>
          <w:rFonts w:ascii="Times New Roman" w:cs="Times New Roman" w:eastAsia="Times New Roman" w:hAnsi="Times New Roman"/>
          <w:sz w:val="22"/>
          <w:szCs w:val="22"/>
          <w:color w:val="auto"/>
        </w:rPr>
        <w:t>. Any of the following occurs: (i) the FDA or any other Governmental Authority (A) issues a letter or other communication asserting that any Product material to the business of the Parent, the Borrower or any of the Subsidiaries lacks a required Regulatory Authorization or (B) initiates material enforcement action against, or issues a warning letter with respect to the Parent, the Borrower or any of the Subsidiaries, or any Product or the manufacturing facilities therefor, that in the case of either clause (A) or (B) causes the Parent, the Borrower or such Subsidiary to discontinue marketing of or withdraw any Product, or causes a delay in the manufacture or offering of any Product, which discontinuance, withdrawal or delay could reasonably be expected to last for more than six months; (ii) there occurs a recall with respect to any Product which could reasonably be expected to result in a Material Adverse Effect; or (iii) the Parent, the Borrower or any of the Subsidiaries enters into a settlement agreement with the FDA, CMS or any other Governmental Authority with respect to any Product that would reasonably be expected to have a Material Adverse Effect.</w:t>
      </w:r>
    </w:p>
    <w:p>
      <w:pPr>
        <w:spacing w:after="0" w:line="18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Action if Bankruptcy</w:t>
      </w:r>
      <w:r>
        <w:rPr>
          <w:rFonts w:ascii="Times New Roman" w:cs="Times New Roman" w:eastAsia="Times New Roman" w:hAnsi="Times New Roman"/>
          <w:sz w:val="22"/>
          <w:szCs w:val="22"/>
          <w:color w:val="auto"/>
        </w:rPr>
        <w:t xml:space="preserve">. If any Event of Default described in clauses (i) through (iv) of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 xml:space="preserve"> with respect to the Parent or the Borrower shall occur,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19" w:name="page220"/>
    <w:bookmarkEnd w:id="219"/>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Commitments (if not theretofore terminated) shall automatically terminate and the outstanding principal amount of the Loans and all other Obligations shall automatically be and become immediately due and payable, without notice or demand to any Person.</w:t>
      </w:r>
    </w:p>
    <w:p>
      <w:pPr>
        <w:spacing w:after="0" w:line="13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Action if Other Event of Default</w:t>
      </w:r>
      <w:r>
        <w:rPr>
          <w:rFonts w:ascii="Times New Roman" w:cs="Times New Roman" w:eastAsia="Times New Roman" w:hAnsi="Times New Roman"/>
          <w:sz w:val="22"/>
          <w:szCs w:val="22"/>
          <w:color w:val="auto"/>
        </w:rPr>
        <w:t xml:space="preserve">. If any Event of Default (other than any Event of Default described in clauses (i) through (iv) of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 xml:space="preserve"> shall occur for any reason, whether voluntary or involuntary, and be continuing, the Administrative Agent may, and at the direction of the Lenders shall, by notice to the Borrower declare all or any portion of the outstanding principal amount of the Loans and other Obligations to be due and payable and/or the Commitments (if not theretofore terminated) to be terminated, whereupon the full unpaid amount of the Loans and other Obligations which shall be so declared due and payable shall be and become immediately due and payable, without further notice, demand or presentment, and the Commitments shall terminate.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Application of Funds.</w:t>
      </w:r>
      <w:r>
        <w:rPr>
          <w:rFonts w:ascii="Times New Roman" w:cs="Times New Roman" w:eastAsia="Times New Roman" w:hAnsi="Times New Roman"/>
          <w:sz w:val="22"/>
          <w:szCs w:val="22"/>
          <w:color w:val="auto"/>
        </w:rPr>
        <w:t xml:space="preserve"> After the exercise of remedies provided for in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(or after the Loans have automatically become immediately due and payable as set forth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any amounts received by any Lender or the Administrative Agent on account of the Obligations shall be applied in the following order:</w:t>
      </w:r>
    </w:p>
    <w:p>
      <w:pPr>
        <w:spacing w:after="0" w:line="173"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payable to the Administrative Agent in its capacity as such;</w:t>
      </w:r>
    </w:p>
    <w:p>
      <w:pPr>
        <w:spacing w:after="0" w:line="167"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payment of that portion of the Obligations constituting fees, indemnities and other amounts (other than principal and interest) payable to the Lenders (including fees, charges and disbursements of counsel to the respective Lenders) arising under the Loan Documents and amounts payable under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ratably among them in proportion to the respective amounts described in this </w:t>
      </w:r>
      <w:r>
        <w:rPr>
          <w:rFonts w:ascii="Times New Roman" w:cs="Times New Roman" w:eastAsia="Times New Roman" w:hAnsi="Times New Roman"/>
          <w:sz w:val="22"/>
          <w:szCs w:val="22"/>
          <w:u w:val="single" w:color="auto"/>
          <w:color w:val="auto"/>
        </w:rPr>
        <w:t>clause Second</w:t>
      </w:r>
      <w:r>
        <w:rPr>
          <w:rFonts w:ascii="Times New Roman" w:cs="Times New Roman" w:eastAsia="Times New Roman" w:hAnsi="Times New Roman"/>
          <w:sz w:val="22"/>
          <w:szCs w:val="22"/>
          <w:color w:val="auto"/>
        </w:rPr>
        <w:t xml:space="preserve"> payable to them;</w:t>
      </w:r>
    </w:p>
    <w:p>
      <w:pPr>
        <w:spacing w:after="0" w:line="193"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interest on the Loans and amounts payable under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ratably among the Lenders in proportion to the respective amounts described in this </w:t>
      </w:r>
      <w:r>
        <w:rPr>
          <w:rFonts w:ascii="Times New Roman" w:cs="Times New Roman" w:eastAsia="Times New Roman" w:hAnsi="Times New Roman"/>
          <w:sz w:val="22"/>
          <w:szCs w:val="22"/>
          <w:u w:val="single" w:color="auto"/>
          <w:color w:val="auto"/>
        </w:rPr>
        <w:t>clause Third</w:t>
      </w:r>
      <w:r>
        <w:rPr>
          <w:rFonts w:ascii="Times New Roman" w:cs="Times New Roman" w:eastAsia="Times New Roman" w:hAnsi="Times New Roman"/>
          <w:sz w:val="22"/>
          <w:szCs w:val="22"/>
          <w:color w:val="auto"/>
        </w:rPr>
        <w:t xml:space="preserve"> held by them;</w:t>
      </w:r>
    </w:p>
    <w:p>
      <w:pPr>
        <w:spacing w:after="0" w:line="173"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of that portion of the Obligations constituting accrued and unpaid principal of the Loans, ratably among the Lenders in proportion to the respective amounts described in this </w:t>
      </w:r>
      <w:r>
        <w:rPr>
          <w:rFonts w:ascii="Times New Roman" w:cs="Times New Roman" w:eastAsia="Times New Roman" w:hAnsi="Times New Roman"/>
          <w:sz w:val="22"/>
          <w:szCs w:val="22"/>
          <w:u w:val="single" w:color="auto"/>
          <w:color w:val="auto"/>
        </w:rPr>
        <w:t>clause Fourth</w:t>
      </w:r>
      <w:r>
        <w:rPr>
          <w:rFonts w:ascii="Times New Roman" w:cs="Times New Roman" w:eastAsia="Times New Roman" w:hAnsi="Times New Roman"/>
          <w:sz w:val="22"/>
          <w:szCs w:val="22"/>
          <w:color w:val="auto"/>
        </w:rPr>
        <w:t xml:space="preserve"> held by them; and</w:t>
      </w:r>
    </w:p>
    <w:p>
      <w:pPr>
        <w:spacing w:after="0" w:line="167" w:lineRule="exact"/>
        <w:rPr>
          <w:sz w:val="20"/>
          <w:szCs w:val="20"/>
          <w:color w:val="auto"/>
        </w:rPr>
      </w:pPr>
    </w:p>
    <w:p>
      <w:pPr>
        <w:jc w:val="both"/>
        <w:ind w:left="1300"/>
        <w:spacing w:after="0" w:line="271"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paid in full, to the Borrower or as otherwise required by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20" w:name="page221"/>
    <w:bookmarkEnd w:id="220"/>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Waivers, Amendments, Etc</w:t>
      </w:r>
      <w:r>
        <w:rPr>
          <w:rFonts w:ascii="Times New Roman" w:cs="Times New Roman" w:eastAsia="Times New Roman" w:hAnsi="Times New Roman"/>
          <w:sz w:val="22"/>
          <w:szCs w:val="22"/>
          <w:color w:val="auto"/>
        </w:rPr>
        <w:t>. No amendment or waiver of any provision of this Agreement or any other Loan Document, and no consent to any departure by the Parent, the Borrower or any Subsidiary therefrom, shall be effective unless in writing and signed by the Lenders and the Parent, the Borrower or the applicable Subsidiary, as the case may be, and acknowledged by the Administrative Agent, and each such waiver or consent shall be effective only in the specific instance and for the specific purpose for which given.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Notices; Time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All notices and other communications provided under any Loan Document shall be in writing or by email and addressed, delivered or transmitted, if to the Parent, the Borrower, the Administrative Agent or the Lenders, to the applicable Person at its address or email address set forth on </w:t>
      </w:r>
      <w:r>
        <w:rPr>
          <w:rFonts w:ascii="Times New Roman" w:cs="Times New Roman" w:eastAsia="Times New Roman" w:hAnsi="Times New Roman"/>
          <w:sz w:val="22"/>
          <w:szCs w:val="22"/>
          <w:u w:val="single" w:color="auto"/>
          <w:color w:val="auto"/>
        </w:rPr>
        <w:t>Schedule 10.2</w:t>
      </w:r>
      <w:r>
        <w:rPr>
          <w:rFonts w:ascii="Times New Roman" w:cs="Times New Roman" w:eastAsia="Times New Roman" w:hAnsi="Times New Roman"/>
          <w:sz w:val="22"/>
          <w:szCs w:val="22"/>
          <w:color w:val="auto"/>
        </w:rPr>
        <w:t xml:space="preserve"> of the Disclosure Letter, or at such other address or email address as may be designated by such party in a notice to the other parties. Any notice, if mailed and properly addressed with postage prepaid or if properly addressed and sent by pre-paid courier service, shall be deemed given when received; any notice, if transmitted by email, shall be deemed given upon the earlier of (i) confirmation of receipt by the recipient and (y) the opening of business on the next Business Day for the recipient. Unless otherwise indicated, all references to the time of a day in a Loan Document shall refer to New York City time.</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Administrative Agent and the Lenders shall be entitled to rely and act upon any notices (including telephonic or electronic loan notices) purportedly given by or on behalf of the Borrower or any Guarantor even if (i) such notices were not made in a manner specified herein, were incomplete or were not preceded or followed by any other form of notice specified herein, or (ii) the terms thereof, as understood by the recipient, varied from any confirmation thereof. The Borrower and each Guarantor shall indemnify the Administrative Agent, each Lender and their respective partners, directors, officers, employees, agents, trustees, administrators, managers, advisors and representatives from all losses, costs, expenses and liabilities resulting from the reliance by such Person on each notice purportedly given by or on behalf of the Borrower and each Guarantor; provided that such indemnity shall not, as to any Person be available to the extent that such losses, costs, expenses or liabilities are determined by a court of competent jurisdiction by final and non-appealable judgment to have resulted from the gross negligence or willful misconduct of such Person. All telephonic notices to and other telephonic communications with the Administrative Agent may be recorded by the Administrative Agent, and each of the parties hereto hereby consents to such recording.</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Payment of Costs and Expenses</w:t>
      </w:r>
      <w:r>
        <w:rPr>
          <w:rFonts w:ascii="Times New Roman" w:cs="Times New Roman" w:eastAsia="Times New Roman" w:hAnsi="Times New Roman"/>
          <w:sz w:val="22"/>
          <w:szCs w:val="22"/>
          <w:color w:val="auto"/>
        </w:rPr>
        <w:t>. The Borrower agrees to pay on demand all expenses of the Administrative Agent and the Lenders (including the fees and out-of-pocket expenses of Covington &amp; Burling LLP, counsel to the Administrative Agent and the Lenders, and of local counsel, if any, who may be retained by or on behalf of the Lender) in connection with:</w:t>
      </w:r>
    </w:p>
    <w:p>
      <w:pPr>
        <w:spacing w:after="0" w:line="179" w:lineRule="exact"/>
        <w:rPr>
          <w:sz w:val="20"/>
          <w:szCs w:val="20"/>
          <w:color w:val="auto"/>
        </w:rPr>
      </w:pPr>
    </w:p>
    <w:p>
      <w:pPr>
        <w:jc w:val="both"/>
        <w:ind w:left="660" w:firstLine="644"/>
        <w:spacing w:after="0" w:line="263" w:lineRule="auto"/>
        <w:tabs>
          <w:tab w:leader="none" w:pos="1767"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incurred by the Administrative Agent or the Lenders, including all reasonable fees and time charges for attorneys who may be employees of the Administrative Agent or the Lenders, in the negotiation, preparation, execution and delivery of each Investment Document, including schedules and exhibits,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21" w:name="page222"/>
    <w:bookmarkEnd w:id="221"/>
    <w:p>
      <w:pPr>
        <w:ind w:left="660" w:right="20"/>
        <w:spacing w:after="0" w:line="271" w:lineRule="auto"/>
        <w:rPr>
          <w:sz w:val="20"/>
          <w:szCs w:val="20"/>
          <w:color w:val="auto"/>
        </w:rPr>
      </w:pPr>
      <w:r>
        <w:rPr>
          <w:rFonts w:ascii="Times New Roman" w:cs="Times New Roman" w:eastAsia="Times New Roman" w:hAnsi="Times New Roman"/>
          <w:sz w:val="22"/>
          <w:szCs w:val="22"/>
          <w:color w:val="auto"/>
        </w:rPr>
        <w:t>amendments, waivers, consents, supplements or other modifications to any Investment Document as may from time to time hereafter be required, whether or not the transactions contemplated hereby are consummated;</w:t>
      </w:r>
    </w:p>
    <w:p>
      <w:pPr>
        <w:spacing w:after="0" w:line="158" w:lineRule="exact"/>
        <w:rPr>
          <w:sz w:val="20"/>
          <w:szCs w:val="20"/>
          <w:color w:val="auto"/>
        </w:rPr>
      </w:pPr>
    </w:p>
    <w:p>
      <w:pPr>
        <w:jc w:val="both"/>
        <w:ind w:left="660" w:firstLine="644"/>
        <w:spacing w:after="0" w:line="253" w:lineRule="auto"/>
        <w:tabs>
          <w:tab w:leader="none" w:pos="187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recording of any Loan Document (including any financing statements) and all amendments, supplements, amendment and restatements and other modifications to any thereof, searches made following the Closing Date in jurisdictions where financing statements (or other documents evidencing Liens in favor of the Secured Parties) have been recorded and any and all other documents or instruments of further assurance required to be filed or recorded by the terms of any Loan Document;</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preparation and review of the form of any document or instrument relevant to any Investment Document;</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207" w:lineRule="exact"/>
        <w:rPr>
          <w:rFonts w:ascii="Times New Roman" w:cs="Times New Roman" w:eastAsia="Times New Roman" w:hAnsi="Times New Roman"/>
          <w:sz w:val="21"/>
          <w:szCs w:val="21"/>
          <w:color w:val="auto"/>
        </w:rPr>
      </w:pPr>
    </w:p>
    <w:p>
      <w:pPr>
        <w:ind w:left="660" w:firstLine="644"/>
        <w:spacing w:after="0" w:line="271" w:lineRule="auto"/>
        <w:tabs>
          <w:tab w:leader="none" w:pos="189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legal diligence, consulting and other advice in connection with the Parent, the Borrower, the Subsidiaries and any of their Related Parties.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Initial Lender shall apply the $[***] expense deposit that the Borrower furnished to the Initial Lender prior to the Closing Date to the fees and expenses that are payable or reimbursable in accordance with the foregoing sentence. The Borrower further agrees to pay, and to hold the Administrative Agent and the Lenders harmless from all liability for, any stamp or other taxes which may be payable in connection with the execution or delivery of each Loan Document, the Loans or the issuance of the Note. The Borrower also agrees to reimburse the Administrative Agent and the Lenders upon demand for all reasonable out-of-pocket expenses (including reasonable attorneys’ fees and legal expenses of counsel to the Administrative Agent and the Lenders) incurred by the Administrative Agent and each Lender in connection with (x) the negotiation of any restructuring or “work-out” with the Parent or the Borrower, whether or not consummated, of any Obligations and (y) the enforcement of any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48" w:lineRule="auto"/>
        <w:tabs>
          <w:tab w:leader="none" w:pos="1872"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In consideration of the execution and delivery of this Agreement by the Administrative Agent and the Lenders, each of the Parent and the Borrower hereby indemnifies, agrees to defend, exonerates and holds each Lender and the Administrative Agent (and any sub-agent thereof) and each of their respective partners, directors, officers, employees, agents, trustees, administrators, managers, advisors and representatives (collectively, the “</w:t>
      </w:r>
      <w:r>
        <w:rPr>
          <w:rFonts w:ascii="Times New Roman" w:cs="Times New Roman" w:eastAsia="Times New Roman" w:hAnsi="Times New Roman"/>
          <w:sz w:val="22"/>
          <w:szCs w:val="22"/>
          <w:u w:val="single" w:color="auto"/>
          <w:color w:val="auto"/>
        </w:rPr>
        <w:t>Indemnified Parties</w:t>
      </w:r>
      <w:r>
        <w:rPr>
          <w:rFonts w:ascii="Times New Roman" w:cs="Times New Roman" w:eastAsia="Times New Roman" w:hAnsi="Times New Roman"/>
          <w:sz w:val="22"/>
          <w:szCs w:val="22"/>
          <w:color w:val="auto"/>
        </w:rPr>
        <w:t>”) free and harmless from and against any and all actions, causes of action, suits, losses, costs, liabilities, obligations and damages, claims and expenses incurred in connection therewith (irrespective of whether any such Indemnified Party is a party to the action for which indemnification hereunder is sought), including reasonable attorneys’ and professionals’ fees and disbursements, whether incurred in connection with actions between the parties hereto or the parties hereto and third parties (collectively, the “</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including, without limitation, Indemnified Liabilities arising out of or relating to (i) the entering into and performance of any Investment Document by any of the Indemnified Parties (including any action brought by or on behalf of the Parent or the Borrower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22" w:name="page223"/>
    <w:bookmarkEnd w:id="222"/>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result of any determination by any Lender pursuant to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not to fund any Loan), and (ii) any Environmental Liability. If and to the extent that the foregoing indemnification may be unenforceable for any reason, each of the Parent and the Borrower agrees to make the maximum contribution to the payment and satisfaction of each of the Indemnified Liabilities which is permissible under applicable Law. This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 xml:space="preserve"> shall not apply with respect to Taxes other than any Taxes that represent Indemnified Liabilities arising from any non-Tax claim.</w:t>
      </w:r>
    </w:p>
    <w:p>
      <w:pPr>
        <w:spacing w:after="0" w:line="179" w:lineRule="exact"/>
        <w:rPr>
          <w:sz w:val="20"/>
          <w:szCs w:val="20"/>
          <w:color w:val="auto"/>
        </w:rPr>
      </w:pPr>
    </w:p>
    <w:p>
      <w:pPr>
        <w:ind w:left="1120" w:hanging="476"/>
        <w:spacing w:after="0"/>
        <w:tabs>
          <w:tab w:leader="none" w:pos="112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and Indemnification by Lenders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61" w:lineRule="auto"/>
        <w:tabs>
          <w:tab w:leader="none" w:pos="1781"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the Borrower and the Guarantors for any reason fail to pay any amount required under </w:t>
      </w:r>
      <w:r>
        <w:rPr>
          <w:rFonts w:ascii="Times New Roman" w:cs="Times New Roman" w:eastAsia="Times New Roman" w:hAnsi="Times New Roman"/>
          <w:sz w:val="21"/>
          <w:szCs w:val="21"/>
          <w:u w:val="single" w:color="auto"/>
          <w:color w:val="auto"/>
        </w:rPr>
        <w:t>Section 10.4(a)</w:t>
      </w:r>
      <w:r>
        <w:rPr>
          <w:rFonts w:ascii="Times New Roman" w:cs="Times New Roman" w:eastAsia="Times New Roman" w:hAnsi="Times New Roman"/>
          <w:sz w:val="21"/>
          <w:szCs w:val="21"/>
          <w:color w:val="auto"/>
        </w:rPr>
        <w:t xml:space="preserve"> to be paid by them to the Administrative Agent (or any sub-agent thereof) or any of their respective partners, directors, officers, employees, agents, trustees, administrators, managers, advisors and representatives, each Lender severally agrees to pay to the Administrative Agent (or any such sub-agent) or such partners, directors, officers, employees, agents, trustees, administrators, managers, advisors and representatives of such Person,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Percentages (determined as of the time that the applicable unreimbursed expense or indemnity payment is sought);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unreimbursed expense or indemnified loss, claim, damage, liability or related expense, as the case may be, was incurred by or asserted against the Administrative Agent (or any such sub-agent), or against any of their respective partners, directors, officers, employees, agents, trustees, administrators, managers, advisors and representatives acting for the Administrative Agent (or any such sub-agent) in connection with such capacity.</w:t>
      </w:r>
    </w:p>
    <w:p>
      <w:pPr>
        <w:spacing w:after="0" w:line="170" w:lineRule="exact"/>
        <w:rPr>
          <w:rFonts w:ascii="Times New Roman" w:cs="Times New Roman" w:eastAsia="Times New Roman" w:hAnsi="Times New Roman"/>
          <w:sz w:val="21"/>
          <w:szCs w:val="21"/>
          <w:color w:val="auto"/>
        </w:rPr>
      </w:pPr>
    </w:p>
    <w:p>
      <w:pPr>
        <w:jc w:val="both"/>
        <w:ind w:left="640" w:firstLine="652"/>
        <w:spacing w:after="0" w:line="261" w:lineRule="auto"/>
        <w:tabs>
          <w:tab w:leader="none" w:pos="1771"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shall severally indemnify the Administrative Agent for (a) any Non-Excluded Taxes and Other Taxes attributable to such Lender (including Non-Excluded Taxes and Other Taxes imposed or asserted on or attributable to amounts payable under </w:t>
      </w:r>
      <w:r>
        <w:rPr>
          <w:rFonts w:ascii="Times New Roman" w:cs="Times New Roman" w:eastAsia="Times New Roman" w:hAnsi="Times New Roman"/>
          <w:sz w:val="21"/>
          <w:szCs w:val="21"/>
          <w:u w:val="single" w:color="auto"/>
          <w:color w:val="auto"/>
        </w:rPr>
        <w:t>Section 4.3(a)(i)</w:t>
      </w:r>
      <w:r>
        <w:rPr>
          <w:rFonts w:ascii="Times New Roman" w:cs="Times New Roman" w:eastAsia="Times New Roman" w:hAnsi="Times New Roman"/>
          <w:sz w:val="21"/>
          <w:szCs w:val="21"/>
          <w:color w:val="auto"/>
        </w:rPr>
        <w:t>) (but only to the extent that the Borrower has not already indemnified the Administrative Agent for such Non-Excluded Taxes and Other Taxes and without limiting the obligation of the Borrower to do so), and (b) any Taxes other than Non-Excluded Taxes and Other Taxes, in each case, that are levied, imposed or assessed on the Administrative Agent, as well as any reasonable expenses arising therefrom or with respect thereto, whether or not such Taxes are correctly or legally asserted by the relevant Governmental Authority. Indemnification for such Taxes actually paid by the Administrative Agent shall be made within 10 days after the date the Administrative Agent makes written demand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223" w:name="page224"/>
    <w:bookmarkEnd w:id="223"/>
    <w:p>
      <w:pPr>
        <w:jc w:val="both"/>
        <w:ind w:left="660" w:firstLine="644"/>
        <w:spacing w:after="0" w:line="249" w:lineRule="auto"/>
        <w:tabs>
          <w:tab w:leader="none" w:pos="176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xml:space="preserve"> To the fullest extent permitted by applicable Law, none of the Parent, the Borrower or any Subsidiary shall assert, and each of the Parent and the Borrower hereby waives, and acknowledges that no other Person shall have, any claim against any Indemnified Party, on any theory of liability, for special, indirect, consequential or punitive damages (as opposed to direct or actual damages) arising out of, in connection with, or as a result of, this Agreement, any other Investment Document or any agreement or instrument contemplated hereby, the transactions contemplated hereby or thereby, any Loan or the use of the proceeds thereof. No Indemnified Party referred to in </w:t>
      </w:r>
      <w:r>
        <w:rPr>
          <w:rFonts w:ascii="Times New Roman" w:cs="Times New Roman" w:eastAsia="Times New Roman" w:hAnsi="Times New Roman"/>
          <w:sz w:val="22"/>
          <w:szCs w:val="22"/>
          <w:u w:val="single" w:color="auto"/>
          <w:color w:val="auto"/>
        </w:rPr>
        <w:t>Section 10.4(a)</w:t>
      </w:r>
      <w:r>
        <w:rPr>
          <w:rFonts w:ascii="Times New Roman" w:cs="Times New Roman" w:eastAsia="Times New Roman" w:hAnsi="Times New Roman"/>
          <w:sz w:val="22"/>
          <w:szCs w:val="22"/>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Investment Documents or the transactions contemplated hereby or thereby.</w:t>
      </w:r>
    </w:p>
    <w:p>
      <w:pPr>
        <w:spacing w:after="0" w:line="183" w:lineRule="exact"/>
        <w:rPr>
          <w:rFonts w:ascii="Times New Roman" w:cs="Times New Roman" w:eastAsia="Times New Roman" w:hAnsi="Times New Roman"/>
          <w:sz w:val="22"/>
          <w:szCs w:val="22"/>
          <w:color w:val="auto"/>
        </w:rPr>
      </w:pPr>
    </w:p>
    <w:p>
      <w:pPr>
        <w:ind w:left="660" w:firstLine="644"/>
        <w:spacing w:after="0" w:line="271" w:lineRule="auto"/>
        <w:tabs>
          <w:tab w:leader="none" w:pos="1843"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All amounts due under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shall be payable not later than ten (10) Business Days after demand therefor.</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obligations of the Borrower and the Parent (and, with respect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the Administrative Agent and the Lenders) under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shall in each case survive any assignment by any Lender and the occurrence of the Termination Date. The agreements in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and the indemnity provision of </w:t>
      </w:r>
      <w:r>
        <w:rPr>
          <w:rFonts w:ascii="Times New Roman" w:cs="Times New Roman" w:eastAsia="Times New Roman" w:hAnsi="Times New Roman"/>
          <w:sz w:val="22"/>
          <w:szCs w:val="22"/>
          <w:u w:val="single" w:color="auto"/>
          <w:color w:val="auto"/>
        </w:rPr>
        <w:t>Section 10.4(b)</w:t>
      </w:r>
      <w:r>
        <w:rPr>
          <w:rFonts w:ascii="Times New Roman" w:cs="Times New Roman" w:eastAsia="Times New Roman" w:hAnsi="Times New Roman"/>
          <w:sz w:val="22"/>
          <w:szCs w:val="22"/>
          <w:color w:val="auto"/>
        </w:rPr>
        <w:t xml:space="preserve"> shall survive the resignation or replacement of the Administrative Agent, any assignment by any Lender, the termination of the Commitments and the repayment, satisfaction or discharge of all the other Obligations. All representations and warranties made by the Parent, the Borrower or any Subsidiary hereunder and in each other Investment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such Lender may have had notice or knowledge of any Default at the time of any borrowing, and shall continue in full force and effect as long as any Loan or any other Obligation hereunder shall remain unpaid or unsatisfied.</w:t>
      </w:r>
    </w:p>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any Loan Document or any other Investment Document which is prohibited or unenforceable in any jurisdiction shall, as to such provision and such jurisdiction, be ineffective only to the extent of such prohibition or unenforceability without invalidating the remaining provisions of such Loan Document or Investment Document or affecting the validity or enforceability of such provision in any other jurisdiction.</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various headings of each Loan Document and each other Investment Document are inserted for convenience only and shall not affect the meaning or interpretation of such Loan Document or any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24" w:name="page225"/>
    <w:bookmarkEnd w:id="224"/>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10.8 </w:t>
      </w:r>
      <w:r>
        <w:rPr>
          <w:rFonts w:ascii="Times New Roman" w:cs="Times New Roman" w:eastAsia="Times New Roman" w:hAnsi="Times New Roman"/>
          <w:sz w:val="21"/>
          <w:szCs w:val="21"/>
          <w:u w:val="single" w:color="auto"/>
          <w:color w:val="auto"/>
        </w:rPr>
        <w:t>Execution in Counterparts, Effectiveness, Etc</w:t>
      </w:r>
      <w:r>
        <w:rPr>
          <w:rFonts w:ascii="Times New Roman" w:cs="Times New Roman" w:eastAsia="Times New Roman" w:hAnsi="Times New Roman"/>
          <w:sz w:val="21"/>
          <w:szCs w:val="21"/>
          <w:color w:val="auto"/>
        </w:rPr>
        <w:t>. This Agreement may be executed by the parties hereto in several counterparts, each of which shall be an original and all of which shall constitute together but one and the same agreement. This Agreement shall become effective when counterparts hereof executed on behalf of the Parent, the Borrower and the Lenders, shall have been received by the Administrative Agent. Delivery of an executed counterpart of a signature page to this Agreement by email (e.g., “pdf” or “tiff”) or telecopy shall be effective as delivery of a manually executed counterpart of this Agreement.</w:t>
      </w:r>
    </w:p>
    <w:p>
      <w:pPr>
        <w:spacing w:after="0" w:line="16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Governing Law; Entire Agreement</w:t>
      </w:r>
      <w:r>
        <w:rPr>
          <w:rFonts w:ascii="Times New Roman" w:cs="Times New Roman" w:eastAsia="Times New Roman" w:hAnsi="Times New Roman"/>
          <w:sz w:val="22"/>
          <w:szCs w:val="22"/>
          <w:color w:val="auto"/>
        </w:rPr>
        <w:t>. EACH INVESTMENT DOCUMENT AND ANY CLAIMS, CONTROVERSY, DISPUTE OR CAUSE OF ACTION (WHETHER IN CONTRACT OR TORT OR OTHERWISE) BASED UPON, ARISING OUT OF OR RELATING TO THIS AGREEMENT OR ANY OTHER INVESTMENT DOCUMENT CONTEMPLATED HEREBY AND THEREBY SHALL BE GOVERNED BY, AND CONSTRUED IN ACCORDANCE WITH, THE INTERNAL LAWS OF THE STATE OF NEW YORK (INCLUDING FOR SUCH PURPOSE SECTIONS 5-1401 AND 5-1402 OF THE GENERAL OBLIGATIONS LAW OF THE STATE OF NEW YORK). The Investment Documents constitute the entire understanding among the parties hereto with respect to the subject matter thereof and supersede any prior agreements, written or oral, with respect thereto.</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660" w:firstLine="644"/>
        <w:spacing w:after="0" w:line="247" w:lineRule="auto"/>
        <w:tabs>
          <w:tab w:leader="none" w:pos="1782"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be binding upon and shall inure to the benefit of the parties hereto and their respective successors and assigns;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any Lender may, at all times, assign or transfer its rights or obligations hereunder to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(i) the Parent and the Borrower may not assign or transfer its rights or obligations hereunder without the consent of the Administrative Agent and each Lender and (ii) no Lender may assign or otherwise transfer any of its rights and obligations hereunder to any Person except (x) to any of its Affiliates or (y) otherwise in accordance with </w:t>
      </w:r>
      <w:r>
        <w:rPr>
          <w:rFonts w:ascii="Times New Roman" w:cs="Times New Roman" w:eastAsia="Times New Roman" w:hAnsi="Times New Roman"/>
          <w:sz w:val="22"/>
          <w:szCs w:val="22"/>
          <w:u w:val="single" w:color="auto"/>
          <w:color w:val="auto"/>
        </w:rPr>
        <w:t>Section 10.10(b)</w:t>
      </w:r>
      <w:r>
        <w:rPr>
          <w:rFonts w:ascii="Times New Roman" w:cs="Times New Roman" w:eastAsia="Times New Roman" w:hAnsi="Times New Roman"/>
          <w:sz w:val="22"/>
          <w:szCs w:val="22"/>
          <w:color w:val="auto"/>
        </w:rPr>
        <w:t xml:space="preserve">. Nothing in this Agreement, expressed or implied, shall be construed to confer upon any Person (other than the parties hereto, their respective successors and assigns permitted hereby and, to the extent expressly contemplated hereby, the partners, directors, officers, employees, agents, trustees, administrators, managers, advisors and representatives of each of the Administrative Agent and the Lenders) any legal or equitable right, remedy or claim under or by reason of this Agreement. No assignment or transfer of any Commitment or Loan shall be effective until receipt and acceptance into the Register by the Administrative Agent of a fully executed Assignment and Assumption effecting the assignment or transfer thereof, together with the required forms and certificates regarding tax matters and any fees payable in connection with such assignment, in each case,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10.10(b)</w:t>
      </w:r>
      <w:r>
        <w:rPr>
          <w:rFonts w:ascii="Times New Roman" w:cs="Times New Roman" w:eastAsia="Times New Roman" w:hAnsi="Times New Roman"/>
          <w:sz w:val="22"/>
          <w:szCs w:val="22"/>
          <w:color w:val="auto"/>
        </w:rPr>
        <w:t>. The date of such assignment shall be referred to herein as the “</w:t>
      </w:r>
      <w:r>
        <w:rPr>
          <w:rFonts w:ascii="Times New Roman" w:cs="Times New Roman" w:eastAsia="Times New Roman" w:hAnsi="Times New Roman"/>
          <w:sz w:val="22"/>
          <w:szCs w:val="22"/>
          <w:u w:val="single" w:color="auto"/>
          <w:color w:val="auto"/>
        </w:rPr>
        <w:t>Assignment Effective Date</w:t>
      </w:r>
      <w:r>
        <w:rPr>
          <w:rFonts w:ascii="Times New Roman" w:cs="Times New Roman" w:eastAsia="Times New Roman" w:hAnsi="Times New Roman"/>
          <w:sz w:val="22"/>
          <w:szCs w:val="22"/>
          <w:color w:val="auto"/>
        </w:rPr>
        <w:t xml:space="preserve">.” For purposes of this Section 10.10, sales of participations by any Lender in the Loans, this Agreement or its rights or obligations hereunder shall be subject to the same terms and conditions as any assignment or transfer of any rights or obligations of such Lender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each participant shall be entitled to the benefits of </w:t>
      </w:r>
      <w:r>
        <w:rPr>
          <w:rFonts w:ascii="Times New Roman" w:cs="Times New Roman" w:eastAsia="Times New Roman" w:hAnsi="Times New Roman"/>
          <w:sz w:val="22"/>
          <w:szCs w:val="22"/>
          <w:u w:val="single" w:color="auto"/>
          <w:color w:val="auto"/>
        </w:rPr>
        <w:t>Sections 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xml:space="preserve">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25" w:name="page226"/>
    <w:bookmarkEnd w:id="22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requirements and limitations therein, including the requirements under </w:t>
      </w:r>
      <w:r>
        <w:rPr>
          <w:rFonts w:ascii="Times New Roman" w:cs="Times New Roman" w:eastAsia="Times New Roman" w:hAnsi="Times New Roman"/>
          <w:sz w:val="22"/>
          <w:szCs w:val="22"/>
          <w:u w:val="single" w:color="auto"/>
          <w:color w:val="auto"/>
        </w:rPr>
        <w:t>Section 4.3(g)</w:t>
      </w:r>
      <w:r>
        <w:rPr>
          <w:rFonts w:ascii="Times New Roman" w:cs="Times New Roman" w:eastAsia="Times New Roman" w:hAnsi="Times New Roman"/>
          <w:sz w:val="22"/>
          <w:szCs w:val="22"/>
          <w:color w:val="auto"/>
        </w:rPr>
        <w:t xml:space="preserve"> (it being understood that the documentation required under Section </w:t>
      </w:r>
      <w:r>
        <w:rPr>
          <w:rFonts w:ascii="Times New Roman" w:cs="Times New Roman" w:eastAsia="Times New Roman" w:hAnsi="Times New Roman"/>
          <w:sz w:val="22"/>
          <w:szCs w:val="22"/>
          <w:u w:val="single" w:color="auto"/>
          <w:color w:val="auto"/>
        </w:rPr>
        <w:t>4.3(g)</w:t>
      </w:r>
      <w:r>
        <w:rPr>
          <w:rFonts w:ascii="Times New Roman" w:cs="Times New Roman" w:eastAsia="Times New Roman" w:hAnsi="Times New Roman"/>
          <w:sz w:val="22"/>
          <w:szCs w:val="22"/>
          <w:color w:val="auto"/>
        </w:rPr>
        <w:t xml:space="preserve"> shall be delivered to the participating Lender)) to the same extent as if it were a Lender and had acquired its interest by assignment pursuant to paragraph (b) of this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 xml:space="preserve">; provided that such participant shall not be entitled to receive any greater payment under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80" w:lineRule="exact"/>
        <w:rPr>
          <w:sz w:val="20"/>
          <w:szCs w:val="20"/>
          <w:color w:val="auto"/>
        </w:rPr>
      </w:pPr>
    </w:p>
    <w:p>
      <w:pPr>
        <w:jc w:val="both"/>
        <w:ind w:firstLine="644"/>
        <w:spacing w:after="0" w:line="256" w:lineRule="auto"/>
        <w:tabs>
          <w:tab w:leader="none" w:pos="112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may at any time assign to one or more assignees all or a portion of its rights and obligations under this Agreement and the other Loan Documents (including all or a portion of its Commitment and the Loans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assignment where the “Assignee” is not an Affiliate of such Lender, such assignment shall be subject to the following conditions:</w:t>
      </w:r>
    </w:p>
    <w:p>
      <w:pPr>
        <w:spacing w:after="0" w:line="176" w:lineRule="exact"/>
        <w:rPr>
          <w:rFonts w:ascii="Times New Roman" w:cs="Times New Roman" w:eastAsia="Times New Roman" w:hAnsi="Times New Roman"/>
          <w:sz w:val="22"/>
          <w:szCs w:val="22"/>
          <w:color w:val="auto"/>
        </w:rPr>
      </w:pPr>
    </w:p>
    <w:p>
      <w:pPr>
        <w:jc w:val="both"/>
        <w:ind w:left="640" w:firstLine="652"/>
        <w:spacing w:after="0" w:line="250" w:lineRule="auto"/>
        <w:tabs>
          <w:tab w:leader="none" w:pos="1748"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Assignments and assumptions of Loans and Commitments by Lenders shall be effected by manual execution and delivery to the Administrative Agent of an Assignment and Assumption. Assignments made pursuant to the foregoing provision shall be effective as of the Assignment Effective Date, subject to acceptance and recording thereof in the Register by the Administrative Agent pursuant to </w:t>
      </w:r>
      <w:r>
        <w:rPr>
          <w:rFonts w:ascii="Times New Roman" w:cs="Times New Roman" w:eastAsia="Times New Roman" w:hAnsi="Times New Roman"/>
          <w:sz w:val="22"/>
          <w:szCs w:val="22"/>
          <w:u w:val="single" w:color="auto"/>
          <w:color w:val="auto"/>
        </w:rPr>
        <w:t>Section 10.10(c)</w:t>
      </w:r>
      <w:r>
        <w:rPr>
          <w:rFonts w:ascii="Times New Roman" w:cs="Times New Roman" w:eastAsia="Times New Roman" w:hAnsi="Times New Roman"/>
          <w:sz w:val="22"/>
          <w:szCs w:val="22"/>
          <w:color w:val="auto"/>
        </w:rPr>
        <w:t xml:space="preserve">. In connection with all assignments there shall be delivered to the Borrower and the Administrative Agent such forms, certificates or other evidence, if any, with respect to United States federal income tax withholding matters as the assignee under such Assignment and Assumption may be required to deliver pursuant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together with payment to the Administrative Agent of a registration and processing fee of $[***], which may be waived or reduced at the sole discretion of the Administrative Agent.</w:t>
      </w:r>
    </w:p>
    <w:p>
      <w:pPr>
        <w:spacing w:after="0" w:line="179" w:lineRule="exact"/>
        <w:rPr>
          <w:rFonts w:ascii="Times New Roman" w:cs="Times New Roman" w:eastAsia="Times New Roman" w:hAnsi="Times New Roman"/>
          <w:sz w:val="22"/>
          <w:szCs w:val="22"/>
          <w:color w:val="auto"/>
        </w:rPr>
      </w:pPr>
    </w:p>
    <w:p>
      <w:pPr>
        <w:ind w:left="640" w:right="20" w:firstLine="652"/>
        <w:spacing w:after="0" w:line="271" w:lineRule="auto"/>
        <w:tabs>
          <w:tab w:leader="none" w:pos="1916"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Disqualified Institutions</w:t>
      </w:r>
      <w:r>
        <w:rPr>
          <w:rFonts w:ascii="Times New Roman" w:cs="Times New Roman" w:eastAsia="Times New Roman" w:hAnsi="Times New Roman"/>
          <w:sz w:val="22"/>
          <w:szCs w:val="22"/>
          <w:color w:val="auto"/>
        </w:rPr>
        <w:t>. Except if an Event of Default has occurred, no Lender may assign or transfer its rights or obligations hereunder to any Disqualified Institution without the consent of the Borrower.</w:t>
      </w:r>
    </w:p>
    <w:p>
      <w:pPr>
        <w:spacing w:after="0" w:line="157" w:lineRule="exact"/>
        <w:rPr>
          <w:rFonts w:ascii="Times New Roman" w:cs="Times New Roman" w:eastAsia="Times New Roman" w:hAnsi="Times New Roman"/>
          <w:sz w:val="22"/>
          <w:szCs w:val="22"/>
          <w:color w:val="auto"/>
        </w:rPr>
      </w:pPr>
    </w:p>
    <w:p>
      <w:pPr>
        <w:jc w:val="both"/>
        <w:ind w:firstLine="644"/>
        <w:spacing w:after="0" w:line="249" w:lineRule="auto"/>
        <w:tabs>
          <w:tab w:leader="none" w:pos="113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acceptance and recording thereof by the Administrative Agent pursuant to </w:t>
      </w:r>
      <w:r>
        <w:rPr>
          <w:rFonts w:ascii="Times New Roman" w:cs="Times New Roman" w:eastAsia="Times New Roman" w:hAnsi="Times New Roman"/>
          <w:sz w:val="22"/>
          <w:szCs w:val="22"/>
          <w:u w:val="single" w:color="auto"/>
          <w:color w:val="auto"/>
        </w:rPr>
        <w:t>Section 10.10(d)</w:t>
      </w:r>
      <w:r>
        <w:rPr>
          <w:rFonts w:ascii="Times New Roman" w:cs="Times New Roman" w:eastAsia="Times New Roman" w:hAnsi="Times New Roman"/>
          <w:sz w:val="22"/>
          <w:szCs w:val="22"/>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10.4</w:t>
      </w:r>
      <w:r>
        <w:rPr>
          <w:rFonts w:ascii="Times New Roman" w:cs="Times New Roman" w:eastAsia="Times New Roman" w:hAnsi="Times New Roman"/>
          <w:sz w:val="22"/>
          <w:szCs w:val="22"/>
          <w:color w:val="auto"/>
        </w:rPr>
        <w:t xml:space="preserve"> with respect to facts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226" w:name="page227"/>
    <w:bookmarkEnd w:id="226"/>
    <w:p>
      <w:pPr>
        <w:ind w:left="4"/>
        <w:spacing w:after="0" w:line="271" w:lineRule="auto"/>
        <w:rPr>
          <w:sz w:val="20"/>
          <w:szCs w:val="20"/>
          <w:color w:val="auto"/>
        </w:rPr>
      </w:pPr>
      <w:r>
        <w:rPr>
          <w:rFonts w:ascii="Times New Roman" w:cs="Times New Roman" w:eastAsia="Times New Roman" w:hAnsi="Times New Roman"/>
          <w:sz w:val="22"/>
          <w:szCs w:val="22"/>
          <w:color w:val="auto"/>
        </w:rPr>
        <w:t>circumstances occurring prior to the effective date of such assignment. Upon request, the Borrower (at its expense) shall execute and deliver a Note to the assignee Lender.</w:t>
      </w:r>
    </w:p>
    <w:p>
      <w:pPr>
        <w:spacing w:after="0" w:line="158" w:lineRule="exact"/>
        <w:rPr>
          <w:sz w:val="20"/>
          <w:szCs w:val="20"/>
          <w:color w:val="auto"/>
        </w:rPr>
      </w:pPr>
    </w:p>
    <w:p>
      <w:pPr>
        <w:jc w:val="both"/>
        <w:ind w:left="4" w:firstLine="644"/>
        <w:spacing w:after="0" w:line="259" w:lineRule="auto"/>
        <w:tabs>
          <w:tab w:leader="none" w:pos="1282"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Administrative Agent, acting solely for this purpose as an agent of the Borrower,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The parties intend that any interest in or with respect to the Loans under this Agreement be treated as being issued and maintained in “registered form” within the meaning of Sections 163(f), 871(h)(2), and 881(c)</w:t>
      </w:r>
    </w:p>
    <w:p>
      <w:pPr>
        <w:spacing w:after="0" w:line="10" w:lineRule="exact"/>
        <w:rPr>
          <w:rFonts w:ascii="Times New Roman" w:cs="Times New Roman" w:eastAsia="Times New Roman" w:hAnsi="Times New Roman"/>
          <w:sz w:val="21"/>
          <w:szCs w:val="21"/>
          <w:color w:val="auto"/>
        </w:rPr>
      </w:pPr>
    </w:p>
    <w:p>
      <w:pPr>
        <w:jc w:val="both"/>
        <w:ind w:left="4" w:hanging="4"/>
        <w:spacing w:after="0" w:line="249" w:lineRule="auto"/>
        <w:tabs>
          <w:tab w:leader="none" w:pos="31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and any United States Treasury Regulations thereunder (and any successor provisions), including without limitation under United States Treasury Regulations Section 5f.103-1(c) and Proposed Regulations Section 1.163-5 (and any successor provisions), and the provisions of this Agreement shall be construed in a manner that gives effect to such intent.</w:t>
      </w:r>
    </w:p>
    <w:p>
      <w:pPr>
        <w:spacing w:after="0" w:line="181"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216"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4"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124"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4"/>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4"/>
          </w:cols>
          <w:pgMar w:left="976" w:top="1422" w:right="339" w:bottom="1440" w:gutter="0" w:footer="0" w:header="0"/>
        </w:sectPr>
      </w:pPr>
    </w:p>
    <w:bookmarkStart w:id="227" w:name="page228"/>
    <w:bookmarkEnd w:id="227"/>
    <w:p>
      <w:pPr>
        <w:jc w:val="both"/>
        <w:ind w:left="660" w:firstLine="644"/>
        <w:spacing w:after="0" w:line="250" w:lineRule="auto"/>
        <w:tabs>
          <w:tab w:leader="none" w:pos="177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Any corporation or association into which the Administrative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Administrative Agent is a party, will be and become the successor to the Administrative Agent under this Agreement and will have and succeed to the rights, powers, duties, immunities and privileges as its predecessor, without the execution or filing of any instrument or paper or the performance of any further act.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Other Transactions</w:t>
      </w:r>
      <w:r>
        <w:rPr>
          <w:rFonts w:ascii="Times New Roman" w:cs="Times New Roman" w:eastAsia="Times New Roman" w:hAnsi="Times New Roman"/>
          <w:sz w:val="22"/>
          <w:szCs w:val="22"/>
          <w:color w:val="auto"/>
        </w:rPr>
        <w:t>. Nothing contained herein shall preclude any Lender or any of its Affiliates, from engaging in any transaction, in addition to those contemplated by the Investment Documents, with the Parent, the Borrower or any of its Affiliates in which the Parent, the Borrower or such Affiliate is not restricted hereby from engaging with any other Person.</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Forum Selection and Consent to Jurisdiction</w:t>
      </w:r>
      <w:r>
        <w:rPr>
          <w:rFonts w:ascii="Times New Roman" w:cs="Times New Roman" w:eastAsia="Times New Roman" w:hAnsi="Times New Roman"/>
          <w:sz w:val="22"/>
          <w:szCs w:val="22"/>
          <w:color w:val="auto"/>
        </w:rPr>
        <w:t xml:space="preserve">. ANY LITIGATION BASED HEREON, OR ARISING OUT OF, UNDER, OR IN CONNECTION WITH, ANY INVESTMENT DOCUMENT, OR ANY COURSE OF CONDUCT, COURSE OF DEALING, STATEMENTS (WHETHER ORAL OR WRITTEN) OR ACTIONS OF THE ADMINISTRATIVE AGENT, ANY LENDER, THE PARENT OR THE BORROWER IN CONNECTION HEREWITH OR THEREWITH SHALL BE BROUGHT AND MAINTAINED IN THE COURTS OF THE BOROUGH OF MANHATTAN IN THE CITY OF NEW YORK IN THE STATE OF NEW YORK OR IN THE UNITED STATES DISTRICT COURT FOR THE SOUTHERN DISTRICT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SUIT SEEKING ENFORCEMENT AGAINST ANY COLLATERAL OR OTHER PROPERTY MAY BE BROUGHT, AT THE ADMINISTRATIVE AGENT’S OR THE LENDERS’ OPTION, IN THE COURTS OF ANY JURISDICTION WHERE SUCH COLLATERAL OR OTHER PROPERTY MAY BE FOUND. EACH OF THE PARENT AND THE BORROWER IRREVOCABLY CONSENTS TO THE SERVICE OF PROCESS BY REGISTERED MAIL, POSTAGE PREPAID, OR BY PERSONAL SERVICE WITHIN OR WITHOUT THE STATE OF NEW YORK AT THE ADDRESS FOR NOTICES SPECIFIED FOR THE BORROWER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EACH OF THE PARENT AND THE BORROWER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THE PARENT AND THE BORROWER HAS OR HEREAFTER MAY ACQUIRE ANY IMMUNITY FROM JURISDICTION OF ANY COURT OR FROM ANY LEGAL PROCESS (WHETHER THROUGH SERVICE OR NOTICE, ATTACHMENT PRIOR TO JUDGMENT, ATTACHMENT IN AID OF EXECUTION OR OTHERWISE) WITH RESPECT TO ITSELF OR ITS PROPERTY, EACH OF THE PARENT AND THE BORROWER HEREBY IRREVOCABLY WAIVES TO THE FULLEST EXTENT PERMITTED BY LAW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color w:val="auto"/>
        </w:rPr>
        <w:t>IMMUNITY IN RESPECT OF ITS OBLIGATIONS UNDER THE INVESTMENT DOCUMENTS.</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THE ADMINISTRATIVE AGENT, LENDERS, THE PARENT AND THE BORROWER HEREBY KNOWINGLY, VOLUNTARILY AND INTENTIONALLY WAIVE TO THE FULLEST EXTENT PERMITTED BY LAW ANY RIGHTS THEY MAY HAVE TO A TRIAL BY JURY IN RESPECT OF ANY LITIGATION BASED HEREON, OR ARISING OUT OF, UNDER, OR IN CONNECTION WITH, EACH INVESTMENT DOCUMENT, OR ANY COURSE OF CONDUCT, COURSE OF DEALING, STATEMENTS (WHETHER ORAL OR WRITTEN) OR ACTIONS OF THE ADMINISTRATIVE AGENT, ANY LENDER, THE PARENT OR THE BORROWER IN CONNECTION THEREWITH. EACH OF THE PARENT AND THE BORROWER ACKNOWLEDGES AND AGREES THAT IT HAS RECEIVED FULL AND SUFFICIENT CONSIDERATION FOR THIS PROVISION (AND EACH OTHER PROVISION OF EACH OTHER INVESTMENT DOCUMENT TO WHICH IT IS A PARTY) AND THAT THIS PROVISION IS A MATERIAL INDUCEMENT FOR THE ADMINISTRATIVE AGENT AND THE LENDERS ENTERING INTO THE INVESTMENT DOCUMENTS.</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xml:space="preserve">, at all times prior to the Termination Date, the Receiving Party shall keep confidential and shall not publish or otherwise disclose any Confidential Information furnished to it by the Disclosing Party, except to those of the Receiving Party’s employees, advisors or consultants [***] who have a need to know such information to assist such Party in the performance of such Party’s obligations or in the exercise of such Party’s rights hereunder and who are subject to reasonable obligations of confidentiality consistent with this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(collectively, “</w:t>
      </w:r>
      <w:r>
        <w:rPr>
          <w:rFonts w:ascii="Times New Roman" w:cs="Times New Roman" w:eastAsia="Times New Roman" w:hAnsi="Times New Roman"/>
          <w:sz w:val="22"/>
          <w:szCs w:val="22"/>
          <w:u w:val="single" w:color="auto"/>
          <w:color w:val="auto"/>
        </w:rPr>
        <w:t>Recipients</w:t>
      </w:r>
      <w:r>
        <w:rPr>
          <w:rFonts w:ascii="Times New Roman" w:cs="Times New Roman" w:eastAsia="Times New Roman" w:hAnsi="Times New Roman"/>
          <w:sz w:val="22"/>
          <w:szCs w:val="22"/>
          <w:color w:val="auto"/>
        </w:rPr>
        <w:t xml:space="preserve">”). Notwithstanding anything to the contrary set forth herein, (a) any Lender may disclose this Agreement and the terms and conditions hereof and any information related hereto, to (i) its Affiliates, (ii) potential and actual assignees of any of such Lender’s rights hereunder and (iii) potential and actual investors in, or lenders to, such Lender (including, in each of the foregoing cases, such Person’s employees, advisors or consultants); provided that in each case, unless an Event of Default has occurred and is continuing, each such Recipient shall be subject to reasonable obligations of confidentiality; and (b) upon receiving consent from the Lenders, which consent shall not be unreasonably withheld, delayed or conditioned, the Parent and the Borrower may disclose this Agreement and the terms and conditions hereof and information related hereto, to potential or actual permitted acquirers or assignees, collaborators and other (sub)licensees, permitted subcontractors, investment bankers, investors, lenders (including, in each of the foregoing cases, such Person’s employees, advisors or consultants who have a need to receive and review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each such Recipient shall be subject to reasonable obligations of confidentiality. In addition to the foregoing, the Receiving Party may disclose Confidential Information belonging to the Disclosing Party to the extent (and only to the extent) such disclosure is reasonably necessary in order to comply with applicable Laws (including any securities law or regulation or the rules of a securities exchange) and with judicial process, if in the reasonable opinion of the Receiving Party’s counsel, such disclosure is necessary for such compliance, provided that the Receiving Party (x) will only disclose those portions of the Confidential Information that are necessary or required to be so disclosed, and (y)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-2502535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29" w:name="page230"/>
    <w:bookmarkEnd w:id="229"/>
    <w:p>
      <w:pPr>
        <w:jc w:val="both"/>
        <w:spacing w:after="0" w:line="257" w:lineRule="auto"/>
        <w:rPr>
          <w:sz w:val="20"/>
          <w:szCs w:val="20"/>
          <w:color w:val="auto"/>
        </w:rPr>
      </w:pPr>
      <w:r>
        <w:rPr>
          <w:rFonts w:ascii="Times New Roman" w:cs="Times New Roman" w:eastAsia="Times New Roman" w:hAnsi="Times New Roman"/>
          <w:sz w:val="22"/>
          <w:szCs w:val="22"/>
          <w:color w:val="auto"/>
        </w:rPr>
        <w:t>to the extent legally permissible, will notify the Disclosing Party of the Receiving Party’s intent to make any disclosure pursuant thereto sufficiently prior to making such disclosure so as to allow the Disclosing Party time to take whatever action it may deem appropriate to protect the confidentiality of the information to be disclosed.</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Exceptions to Confidentiality</w:t>
      </w:r>
      <w:r>
        <w:rPr>
          <w:rFonts w:ascii="Times New Roman" w:cs="Times New Roman" w:eastAsia="Times New Roman" w:hAnsi="Times New Roman"/>
          <w:sz w:val="22"/>
          <w:szCs w:val="22"/>
          <w:color w:val="auto"/>
        </w:rPr>
        <w:t>. The Receiving Party’s obligations set forth in this Agreement shall not extend to any Confidential Information of the Disclosing Party:</w:t>
      </w:r>
    </w:p>
    <w:p>
      <w:pPr>
        <w:spacing w:after="0" w:line="158" w:lineRule="exact"/>
        <w:rPr>
          <w:sz w:val="20"/>
          <w:szCs w:val="20"/>
          <w:color w:val="auto"/>
        </w:rPr>
      </w:pPr>
    </w:p>
    <w:p>
      <w:pPr>
        <w:ind w:left="660" w:firstLine="644"/>
        <w:spacing w:after="0" w:line="271" w:lineRule="auto"/>
        <w:tabs>
          <w:tab w:leader="none" w:pos="178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or hereafter becomes part of the public domain (other than as a result of a disclosure by the Receiving Party or its Recipients in violation of this Agreement);</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5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received from a Third Party without restriction on disclosure and without, to the knowledge of the Receiving Party, breach of any agreement between such Third Party and the Disclosing Party;</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2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Receiving Party can demonstrate by competent evidence was already in its possession without any limitation on disclosure prior to its receipt from the Disclosing Party;</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is generally made available to Third Parties by the Disclosing Party without restriction on disclosure; or</w:t>
      </w:r>
    </w:p>
    <w:p>
      <w:pPr>
        <w:spacing w:after="0" w:line="231" w:lineRule="exact"/>
        <w:rPr>
          <w:rFonts w:ascii="Times New Roman" w:cs="Times New Roman" w:eastAsia="Times New Roman" w:hAnsi="Times New Roman"/>
          <w:sz w:val="21"/>
          <w:szCs w:val="21"/>
          <w:color w:val="auto"/>
        </w:rPr>
      </w:pPr>
    </w:p>
    <w:p>
      <w:pPr>
        <w:ind w:left="660" w:firstLine="644"/>
        <w:spacing w:after="0" w:line="271" w:lineRule="auto"/>
        <w:tabs>
          <w:tab w:leader="none" w:pos="192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Receiving Party can demonstrate by competent evidence was independently developed by the Receiving Party without use of or reference to the Confidential Information.</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No Waiver; Cumulative Remedies; Enforcement</w:t>
      </w:r>
      <w:r>
        <w:rPr>
          <w:rFonts w:ascii="Times New Roman" w:cs="Times New Roman" w:eastAsia="Times New Roman" w:hAnsi="Times New Roman"/>
          <w:sz w:val="22"/>
          <w:szCs w:val="22"/>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herein or in any other Loan Document, the authority to enforce rights and remedies hereunder and under the other Loan Documents against the Borrower and the Guarantors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for the benefit of all the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1" w:lineRule="exact"/>
        <w:rPr>
          <w:sz w:val="20"/>
          <w:szCs w:val="20"/>
          <w:color w:val="auto"/>
        </w:rPr>
      </w:pPr>
    </w:p>
    <w:p>
      <w:pPr>
        <w:ind w:right="20" w:firstLine="8"/>
        <w:spacing w:after="0" w:line="248" w:lineRule="auto"/>
        <w:tabs>
          <w:tab w:leader="none" w:pos="325"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from exercising setoff rights in accordance with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(subject to the terms of </w:t>
      </w:r>
      <w:r>
        <w:rPr>
          <w:rFonts w:ascii="Times New Roman" w:cs="Times New Roman" w:eastAsia="Times New Roman" w:hAnsi="Times New Roman"/>
          <w:sz w:val="22"/>
          <w:szCs w:val="22"/>
          <w:u w:val="single" w:color="auto"/>
          <w:color w:val="auto"/>
        </w:rPr>
        <w:t>Section 4.4(e)</w:t>
      </w:r>
      <w:r>
        <w:rPr>
          <w:rFonts w:ascii="Times New Roman" w:cs="Times New Roman" w:eastAsia="Times New Roman" w:hAnsi="Times New Roman"/>
          <w:sz w:val="22"/>
          <w:szCs w:val="22"/>
          <w:color w:val="auto"/>
        </w:rPr>
        <w:t>), or (c) any Lender from filing proofs of claim or appearing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30" w:name="page231"/>
    <w:bookmarkEnd w:id="230"/>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filing pleadings on its own behalf during the pendency of a proceeding relative to the Borrower or any Guarantor under any Debtor Relief Law or any proceedings arising out of or in connection with an Insolvency Event;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at any time there is no Person acting as Administrative Agent hereunder and under the other Loan Documents, then (i) the Lenders shall have the rights otherwise ascribed to the Administrative Agent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and (ii) in addition to the matters set forth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the preceding proviso and subject to </w:t>
      </w:r>
      <w:r>
        <w:rPr>
          <w:rFonts w:ascii="Times New Roman" w:cs="Times New Roman" w:eastAsia="Times New Roman" w:hAnsi="Times New Roman"/>
          <w:sz w:val="22"/>
          <w:szCs w:val="22"/>
          <w:u w:val="single" w:color="auto"/>
          <w:color w:val="auto"/>
        </w:rPr>
        <w:t>Section 4.4(e)</w:t>
      </w:r>
      <w:r>
        <w:rPr>
          <w:rFonts w:ascii="Times New Roman" w:cs="Times New Roman" w:eastAsia="Times New Roman" w:hAnsi="Times New Roman"/>
          <w:sz w:val="22"/>
          <w:szCs w:val="22"/>
          <w:color w:val="auto"/>
        </w:rPr>
        <w:t>, any Lender may, with the consent of the Lenders, enforce any rights and remedies available to it and as authorized by the Lenders.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10.17 </w:t>
      </w:r>
      <w:r>
        <w:rPr>
          <w:rFonts w:ascii="Times New Roman" w:cs="Times New Roman" w:eastAsia="Times New Roman" w:hAnsi="Times New Roman"/>
          <w:sz w:val="21"/>
          <w:szCs w:val="21"/>
          <w:u w:val="single" w:color="auto"/>
          <w:color w:val="auto"/>
        </w:rPr>
        <w:t>Payments Set Aside</w:t>
      </w:r>
      <w:r>
        <w:rPr>
          <w:rFonts w:ascii="Times New Roman" w:cs="Times New Roman" w:eastAsia="Times New Roman" w:hAnsi="Times New Roman"/>
          <w:sz w:val="21"/>
          <w:szCs w:val="21"/>
          <w:color w:val="auto"/>
        </w:rPr>
        <w:t xml:space="preserve">. To the extent that any payment by or on behalf of the Borrower or any Guarantor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sole discretion) to be repaid to a trustee, receiver, receiver, manager, monitor or any other party, in connection with any proceeding under any Debtor Relief Law, any proceedings arising out of or in connection with an Insolvency Event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10.18 </w:t>
      </w:r>
      <w:r>
        <w:rPr>
          <w:rFonts w:ascii="Times New Roman" w:cs="Times New Roman" w:eastAsia="Times New Roman" w:hAnsi="Times New Roman"/>
          <w:sz w:val="22"/>
          <w:szCs w:val="22"/>
          <w:u w:val="single" w:color="auto"/>
          <w:color w:val="auto"/>
        </w:rPr>
        <w:t>Electronic Execution of Assignments and Certain Other Documents</w:t>
      </w:r>
      <w:r>
        <w:rPr>
          <w:rFonts w:ascii="Times New Roman" w:cs="Times New Roman" w:eastAsia="Times New Roman" w:hAnsi="Times New Roman"/>
          <w:sz w:val="22"/>
          <w:szCs w:val="22"/>
          <w:color w:val="auto"/>
        </w:rPr>
        <w:t>. 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Appointment and Authority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firstLine="644"/>
        <w:spacing w:after="0" w:line="284" w:lineRule="auto"/>
        <w:tabs>
          <w:tab w:leader="none" w:pos="179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hereby irrevocably appoints ORBIMED ROYALTY &amp; CREDIT OPPORTUNITIES IV, LP to act on its behalf 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31" w:name="page232"/>
    <w:bookmarkEnd w:id="231"/>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hereunder and under the other Loan Documents and authorizes the Administrative Agent to take such actions on its behalf and to exercise such powers as are delegated to the Administrative Agent by the terms hereof or thereof, together with such actions and powers as are incidental thereto. The provisions of this Article are solely for the benefit of the Administrative Agent and the Lenders, and neither the Borrower nor any Guarantor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0" w:lineRule="exact"/>
        <w:rPr>
          <w:sz w:val="20"/>
          <w:szCs w:val="20"/>
          <w:color w:val="auto"/>
        </w:rPr>
      </w:pPr>
    </w:p>
    <w:p>
      <w:pPr>
        <w:jc w:val="both"/>
        <w:ind w:left="660" w:firstLine="644"/>
        <w:spacing w:after="0" w:line="247" w:lineRule="auto"/>
        <w:tabs>
          <w:tab w:leader="none" w:pos="1787"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Borrower and the Guarantors to secure any of the Obligations, together with such powers and discretion as are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for purposes of holding or enforcing any Lien on the Collateral (or any portion thereof) granted under the Security Agreement, or for exercising any rights and remedies thereunder at the direction of the Administrative Agent), shall be entitled to the benefits of all provisions of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10.4(b))</w:t>
      </w:r>
      <w:r>
        <w:rPr>
          <w:rFonts w:ascii="Times New Roman" w:cs="Times New Roman" w:eastAsia="Times New Roman" w:hAnsi="Times New Roman"/>
          <w:sz w:val="22"/>
          <w:szCs w:val="22"/>
          <w:color w:val="auto"/>
        </w:rPr>
        <w:t xml:space="preserve">, as though such co-agents, sub-agents and attorneys-in-fact were the “collateral agent” under the Loan Documents and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as if set forth in full herein with respect thereto.</w:t>
      </w:r>
    </w:p>
    <w:p>
      <w:pPr>
        <w:spacing w:after="0" w:line="204"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2059"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authorizes the Administrative Agent to perform the duties, obligations and responsibilities and to exercise the rights, powers, authorities and discretions specifically given to the Administrative Agent under or in connection with the Loan Documents together with any other incidental rights, powers, authorities and discretions.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u w:val="single" w:color="auto"/>
          <w:color w:val="auto"/>
        </w:rPr>
        <w:t>Rights as a Lender</w:t>
      </w:r>
      <w:r>
        <w:rPr>
          <w:rFonts w:ascii="Times New Roman" w:cs="Times New Roman" w:eastAsia="Times New Roman" w:hAnsi="Times New Roman"/>
          <w:sz w:val="22"/>
          <w:szCs w:val="22"/>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any Guarantor or any Affiliate thereof as if such Person were not the Administrative Agent hereunder and without any duty to account therefor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32" w:name="page233"/>
    <w:bookmarkEnd w:id="232"/>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xml:space="preserve">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86" w:lineRule="exact"/>
        <w:rPr>
          <w:sz w:val="20"/>
          <w:szCs w:val="20"/>
          <w:color w:val="auto"/>
        </w:rPr>
      </w:pPr>
    </w:p>
    <w:p>
      <w:pPr>
        <w:ind w:left="660" w:right="20" w:firstLine="644"/>
        <w:spacing w:after="0" w:line="271" w:lineRule="auto"/>
        <w:tabs>
          <w:tab w:leader="none" w:pos="1859"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or Event of Default has occurred and is continuing;</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4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Lenders (or such other number or percentage of the Lenders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take any action or to exercise any of the rights or powers vested in it by this Agreement at the request or direction of the Lenders, pursuant to the provisions of this Agreement, unless such Lenders shall have offered to the Administrative Agent security or indemnity (satisfactory to the Administrative Agent in its sole and absolute discretion) against the costs, expenses and liabilities which may be incurred by it in compliance with such request or direction, or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w:t>
      </w:r>
    </w:p>
    <w:p>
      <w:pPr>
        <w:spacing w:after="0" w:line="18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2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the failure to disclose, any information relating to the Parent, the Borrower and any of the Subsidiaries that is communicated to or obtained by the Person serving as the Administrative Agent or any of its Affiliates in any capacity.</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The Administrative Agent shall not be liable for any action taken or not taken by it (i) with the consent or at the request of the Lenders or (ii) in the absence of its own gross negligence or willful misconduct as determined by a court of competent jurisdiction by final and non-appealable judgment. Subject to the proviso in </w:t>
      </w:r>
      <w:r>
        <w:rPr>
          <w:rFonts w:ascii="Times New Roman" w:cs="Times New Roman" w:eastAsia="Times New Roman" w:hAnsi="Times New Roman"/>
          <w:sz w:val="22"/>
          <w:szCs w:val="22"/>
          <w:u w:val="single" w:color="auto"/>
          <w:color w:val="auto"/>
        </w:rPr>
        <w:t>Section 11.3(b)</w:t>
      </w:r>
      <w:r>
        <w:rPr>
          <w:rFonts w:ascii="Times New Roman" w:cs="Times New Roman" w:eastAsia="Times New Roman" w:hAnsi="Times New Roman"/>
          <w:sz w:val="22"/>
          <w:szCs w:val="22"/>
          <w:color w:val="auto"/>
        </w:rPr>
        <w:t>, to the extent the Administrative Agent is permitted to take any discretionary action hereunder or under any Loan Document, it shall take such action if instructed in writing to do so by the Lenders (or such other number or percentage of the Lenders as shall be necessary, or as the Administrative Agent shall believe in good faith shall be necessary under the circumstances). The Administrative Agent shall be deemed not to have knowledge of any Default or Event of Default unless and until notice describing such Default or Event of Default is given in writing to the Administrative Agent by the Borrower, or a Lender.</w:t>
      </w:r>
    </w:p>
    <w:p>
      <w:pPr>
        <w:spacing w:after="0" w:line="18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The Administrative Agent shall have the right to request instructions from the Lenders or, as required, each of the Lenders (or such other number or percentage of the Lenders as shall be necessary, or as the Administrative Agent shall believe in good faith shall be necessary under the circumstances). If the Administrative Agent shall request instructions from the Lenders 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33" w:name="page234"/>
    <w:bookmarkEnd w:id="233"/>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of the Lenders (or such other number or percentage of the Lenders as shall be necessary, or as the Administrative Agent shall believe in good faith shall be necessary under the circumstances), as the case may be, with respect to any act or action (including the failure to act) in connection with this Agreement or any other Loan Document, the Administrative Agent shall be entitled to refrain from such act or taking such action unless and until the Administrative Agent shall have received instructions from the Lenders or such other number or percentage of the Lenders, as the case may be, and the Administrative Agent shall not incur any liability to any Person by reason of so refraining.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elsewhere herein, other than to confirm receipt of items expressly required to be delivered to the Administrative Agent.</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Administrative Agent shall have no liability for any action taken, or errors in judgment made, in good faith by it or any of its officers, employees or agents, unless it shall have been negligent in ascertaining the pertinent facts. The permissive rights of the Administrative Agent to do things enumerated in this Agreement shall not be construed as a duty and, with respect to such permissive rights, the Administrative Agent shall not be answerable in respect thereof other than for its gross negligence or willful misconduct. Nothing in this Agreement shall require the Administrative Agent to expend or risk its own funds or otherwise incur any financial liability in the performance of any of its duties or in the exercise of any of its rights or powers hereunder.</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Neither the Administrative Agent nor any of its directors, officers, employees, agents or Affiliates shall be responsible for nor have any duty to monitor the performance or any action of the Borrower or any Guarantor, or any of their directors, members, officers, agents, Affiliates or employee, nor shall it have any liability in connection with the malfeasance or nonfeasance by such party. The Administrative Agent may assume performance by all such Persons of their respective obligations. The Administrative Agent shall have no enforcement or notification obligations relating to breaches of representations or warranties of any other Person.</w:t>
      </w:r>
    </w:p>
    <w:p>
      <w:pPr>
        <w:spacing w:after="0" w:line="1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Administrative Agent shall not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34" w:name="page235"/>
    <w:bookmarkEnd w:id="234"/>
    <w:p>
      <w:pPr>
        <w:ind w:left="660"/>
        <w:spacing w:after="0"/>
        <w:rPr>
          <w:sz w:val="20"/>
          <w:szCs w:val="20"/>
          <w:color w:val="auto"/>
        </w:rPr>
      </w:pPr>
      <w:r>
        <w:rPr>
          <w:rFonts w:ascii="Times New Roman" w:cs="Times New Roman" w:eastAsia="Times New Roman" w:hAnsi="Times New Roman"/>
          <w:sz w:val="22"/>
          <w:szCs w:val="22"/>
          <w:color w:val="auto"/>
        </w:rPr>
        <w:t xml:space="preserve">SECTION 11.4 </w:t>
      </w:r>
      <w:r>
        <w:rPr>
          <w:rFonts w:ascii="Times New Roman" w:cs="Times New Roman" w:eastAsia="Times New Roman" w:hAnsi="Times New Roman"/>
          <w:sz w:val="22"/>
          <w:szCs w:val="22"/>
          <w:u w:val="single" w:color="auto"/>
          <w:color w:val="auto"/>
        </w:rPr>
        <w:t>Reliance by the Administrative Agent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48" w:lineRule="auto"/>
        <w:tabs>
          <w:tab w:leader="none" w:pos="1762"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Parent, the Borrower or the Subsidiaries), independent accountants and other experts selected by it, and shall not be liable for any action taken or not taken by it in accordance with the advice of any such counsel, accountants or experts.</w:t>
      </w:r>
    </w:p>
    <w:p>
      <w:pPr>
        <w:spacing w:after="0" w:line="188"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97"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the Administrative Agent and Lenders</w:t>
      </w:r>
      <w:r>
        <w:rPr>
          <w:rFonts w:ascii="Times New Roman" w:cs="Times New Roman" w:eastAsia="Times New Roman" w:hAnsi="Times New Roman"/>
          <w:sz w:val="22"/>
          <w:szCs w:val="22"/>
          <w:color w:val="auto"/>
        </w:rPr>
        <w:t xml:space="preserve">. The Administrative Agent and the Lenders shall be entitled to rely and act upon any notices (including telephonic or electronic loan notices) purportedly given by or on behalf of the Borrower or any of the Guarantors even if (i) such notices were not made in a manner specified herein, were incomplete or were not preceded or followed by any other form of notice specified herein, or (ii) the terms thereof, as understood by the recipient, varied from any confirmation thereof. The Borrower and the Guarantors shall indemnify the Administrative Agent, each Lender and their respective partners, directors, officers, employees, agents, trustees, administrators, managers, advisors and representatives from all losses, costs, expenses and liabilities resulting from the reliance by such Person on each notice purportedly given by or on behalf of the Borrower or any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Person be available to the extent that such losses, costs, expenses or liabilities are determined by a court of competent jurisdiction by final and non-appealable judgment to have resulted from the gross negligence or willful misconduct of such Person. All telephonic notices to and other telephonic communications with the Administrative Agent may be recorded by the Administrative Agent, and each of the parties hereto hereby consents to such recording.</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11.5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partners, directors, officers, employees, agents, trustees, administrators, managers, advisors and representatives. The rights, benefits and privileges (including the exculpatory and indemnification provisions) of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apply to any such sub-agent and to the partners, directors, officers, employees, agents, trustees, administrators, managers, advisors and representatives of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35" w:name="page236"/>
    <w:bookmarkEnd w:id="235"/>
    <w:p>
      <w:pPr>
        <w:jc w:val="both"/>
        <w:spacing w:after="0" w:line="247" w:lineRule="auto"/>
        <w:rPr>
          <w:sz w:val="20"/>
          <w:szCs w:val="20"/>
          <w:color w:val="auto"/>
        </w:rPr>
      </w:pPr>
      <w:r>
        <w:rPr>
          <w:rFonts w:ascii="Times New Roman" w:cs="Times New Roman" w:eastAsia="Times New Roman" w:hAnsi="Times New Roman"/>
          <w:sz w:val="22"/>
          <w:szCs w:val="22"/>
          <w:color w:val="auto"/>
        </w:rPr>
        <w:t>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any modification to such rights, benefits and privileges (including exculpatory rights and rights to indemnification) shall not be effective as against such sub-agent without its written consent thereto, and (iii) such sub-agent shall only have obligations to the Administrative Agent and not to the Borrower or any Guarantor, Lender or any other Person and none of the Borrower, the Guarantors, the Lenders or any other Person shall have any rights, directly or indirectly, as a third party beneficiary or otherwise, against such subagent.</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11.6 </w:t>
      </w:r>
      <w:r>
        <w:rPr>
          <w:rFonts w:ascii="Times New Roman" w:cs="Times New Roman" w:eastAsia="Times New Roman" w:hAnsi="Times New Roman"/>
          <w:sz w:val="22"/>
          <w:szCs w:val="22"/>
          <w:u w:val="single" w:color="auto"/>
          <w:color w:val="auto"/>
        </w:rPr>
        <w:t>Resignation or Removal of the Administrative Agent.</w:t>
      </w:r>
      <w:r>
        <w:rPr>
          <w:rFonts w:ascii="Times New Roman" w:cs="Times New Roman" w:eastAsia="Times New Roman" w:hAnsi="Times New Roman"/>
          <w:sz w:val="22"/>
          <w:szCs w:val="22"/>
          <w:color w:val="auto"/>
        </w:rPr>
        <w:t xml:space="preserve"> The Administrative Agent may resign as the Administrative Agent at any time by giving thirty (30) days advance notice thereof to the Lenders and the Borrower and, thereafter, the retiring Administrative Agent shall be discharged from its duties and obligations hereunder. Upon any such resignation, the Lenders shall have the right to appoint a successor Administrative Agent. No less than thirty (30) days following the delivery of such written notice, the Lenders shall have the right with the consent of the Borrower (such consent not to be unreasonably withheld, conditioned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if an Event of Default has occurred and is continuing) to appoint a successor Administrative Agent, which shall be a bank with an office in the United States, or an Affiliate of any such bank with an office in the United States, with whom the Lenders shall be dealing on an arm’s length basis. Upon the acceptance of any appointment as the Administrative Agent hereunder by a successor Administrative Agent, such successor Administrative Agent shall thereupon succeed to and become vested with all rights, powers, privileges and duties of the retiring Administrative Agent. After any retiring Administrative Agent’s resignation hereunder as the Administrative Agent or upon a removal of the Administrative Agent upon the written request of the Lenders, the provisions of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shall continue in effect for its benefit in respect of any actions taken or omitted to be taken by it while it was acting as the Administrative Agent. If no successor has accepted appointment as the Administrative Agent by the date which is thirty (30) days following delivery of written notice of resignation or removal, the retiring Administrative Agent’s resignation or removal shall nevertheless thereupon become effective and the Lenders shall perform all of the duties of the Administrative Agent hereunder until such time, if any, as the Lenders appoint a successor agent as provided for above. For the avoidance of doubt, in no event shall any such successor Administrative Agent be a Disqualified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36" w:name="page237"/>
    <w:bookmarkEnd w:id="236"/>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11.7 </w:t>
      </w:r>
      <w:r>
        <w:rPr>
          <w:rFonts w:ascii="Times New Roman" w:cs="Times New Roman" w:eastAsia="Times New Roman" w:hAnsi="Times New Roman"/>
          <w:sz w:val="22"/>
          <w:szCs w:val="22"/>
          <w:u w:val="single" w:color="auto"/>
          <w:color w:val="auto"/>
        </w:rPr>
        <w:t>Non-Reliance on the Administrative Agent and Other Lenders.</w:t>
      </w:r>
      <w:r>
        <w:rPr>
          <w:rFonts w:ascii="Times New Roman" w:cs="Times New Roman" w:eastAsia="Times New Roman" w:hAnsi="Times New Roman"/>
          <w:sz w:val="22"/>
          <w:szCs w:val="22"/>
          <w:color w:val="auto"/>
        </w:rPr>
        <w:t xml:space="preserve"> Each Lender acknowledges that it has, independently and without reliance upon the Administrative Agent or any other Lender or any of their respective partners, directors, officers, employees, agents, trustees, administrators, managers, advisors and representatives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respective partners, directors, officers, employees, agents, trustees, administrators, managers, advisors and representatives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11.8 </w:t>
      </w:r>
      <w:r>
        <w:rPr>
          <w:rFonts w:ascii="Times New Roman" w:cs="Times New Roman" w:eastAsia="Times New Roman" w:hAnsi="Times New Roman"/>
          <w:sz w:val="22"/>
          <w:szCs w:val="22"/>
          <w:u w:val="single" w:color="auto"/>
          <w:color w:val="auto"/>
        </w:rPr>
        <w:t>Administrative Agent May File Proofs of Claim.</w:t>
      </w:r>
      <w:r>
        <w:rPr>
          <w:rFonts w:ascii="Times New Roman" w:cs="Times New Roman" w:eastAsia="Times New Roman" w:hAnsi="Times New Roman"/>
          <w:sz w:val="22"/>
          <w:szCs w:val="22"/>
          <w:color w:val="auto"/>
        </w:rPr>
        <w:t xml:space="preserve"> In case of the pendency of any receivership, insolvency, liquidation, bankruptcy, reorganization, arrangement, adjustment, composition or other judicial proceeding relative to the Borrower or any Guarantor,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94" w:lineRule="exact"/>
        <w:rPr>
          <w:sz w:val="20"/>
          <w:szCs w:val="20"/>
          <w:color w:val="auto"/>
        </w:rPr>
      </w:pPr>
    </w:p>
    <w:p>
      <w:pPr>
        <w:jc w:val="both"/>
        <w:ind w:left="660" w:firstLine="644"/>
        <w:spacing w:after="0" w:line="251" w:lineRule="auto"/>
        <w:tabs>
          <w:tab w:leader="none" w:pos="181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allowed in such judicial proceeding; and</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928"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and any custodian, receiver, receiver-manager, monitor,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 addition, the Lenders hereby irrevocably authorize the Administrative Agent, based upon the written instruction of the Lenders, to (a) credit bid and in such manner purchase (either directly or through one or more acquisition vehicles) all or any portion of the Collateral at any sale thereof conducted under the provisions of the Debtor Relief Laws, including under Section 363 of the Bankruptcy Code of the United States or any similar laws in any other jurisdictions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37" w:name="page238"/>
    <w:bookmarkEnd w:id="237"/>
    <w:p>
      <w:pPr>
        <w:jc w:val="both"/>
        <w:spacing w:after="0" w:line="247" w:lineRule="auto"/>
        <w:rPr>
          <w:sz w:val="20"/>
          <w:szCs w:val="20"/>
          <w:color w:val="auto"/>
        </w:rPr>
      </w:pPr>
      <w:r>
        <w:rPr>
          <w:rFonts w:ascii="Times New Roman" w:cs="Times New Roman" w:eastAsia="Times New Roman" w:hAnsi="Times New Roman"/>
          <w:sz w:val="22"/>
          <w:szCs w:val="22"/>
          <w:color w:val="auto"/>
        </w:rPr>
        <w:t>which the Borrower or any Guarantor is subject, or (b) credit bid and in such manner purchase (either directly or through one or more acquisition vehicles) all or any portion of the Collateral at any other sale or foreclosure conducted by (or with the consent or at the direction of) the Administrative Agent (whether by judicial action or otherwise) in accordance with applicable Law. In connection with any such credit bid and purchase, the Obligations owed to the Lenders shall be entitled to be, and shall be, credit bid on a ratable basis (with Obligations with respect to contingent or unliquidated claims being estimated for such purpose if the fixing or liquidation thereof would not unduly delay the ability of the Administrative Agent to credit bid and purchase at such sale or other disposition of the Collateral and, if such claims cannot be estimated without unduly delaying the ability of the Administrative Agent to credit bid, then such claims shall be disregarded, not credit bid, and not entitled to any interest in the asset or assets purchased by means of such credit bid) and the Lenders whose Obligations are credit bid shall be entitled to receive interests (ratably based upon the proportion of their Obligations credit bid in relation to the aggregate amount of Obligations so credit bid) in the asset or assets so purchased (or in the Capital Securities of the acquisition vehicle or vehicles that are used to consummate such purchase). Except as provided above and otherwise expressly provided for herein or in the other Loan Documents, the Administrative Agent will not execute or deliver a release of any Lien on any Collateral. Upon request by the Administrative Agent at any time, the Lenders will confirm in writing the Administrative Agent’s authority to release any such Liens on particular types or items of Collateral pursuant to, and in accordance with, this Section. Each Secured Party whose Obligations are credit bid under this Section shall be entitled to receive interests in the Collateral or any other asset acquired in connection with such credit bid (or in the Capital Securities of the acquisition vehicle or vehicles that are used to consummate such acquisition) on a ratable basis in accordance with the percentage obtained by dividing (y) the amount of Obligations of such Secured Party that were credit bid in such credit bid by (z) the aggregate amount of all Obligations that were credit bid in such credit bid.</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SECTION 11.9 </w:t>
      </w:r>
      <w:r>
        <w:rPr>
          <w:rFonts w:ascii="Times New Roman" w:cs="Times New Roman" w:eastAsia="Times New Roman" w:hAnsi="Times New Roman"/>
          <w:sz w:val="21"/>
          <w:szCs w:val="21"/>
          <w:u w:val="single" w:color="auto"/>
          <w:color w:val="auto"/>
        </w:rPr>
        <w:t>Collateral and Guarantee Matters</w:t>
      </w:r>
      <w:r>
        <w:rPr>
          <w:rFonts w:ascii="Times New Roman" w:cs="Times New Roman" w:eastAsia="Times New Roman" w:hAnsi="Times New Roman"/>
          <w:sz w:val="21"/>
          <w:szCs w:val="21"/>
          <w:color w:val="auto"/>
        </w:rPr>
        <w:t>. The Lenders irrevocably authorize and direct the Administrative Agent:</w:t>
      </w:r>
    </w:p>
    <w:p>
      <w:pPr>
        <w:spacing w:after="0" w:line="231" w:lineRule="exact"/>
        <w:rPr>
          <w:sz w:val="20"/>
          <w:szCs w:val="20"/>
          <w:color w:val="auto"/>
        </w:rPr>
      </w:pPr>
    </w:p>
    <w:p>
      <w:pPr>
        <w:jc w:val="both"/>
        <w:ind w:left="660" w:firstLine="644"/>
        <w:spacing w:after="0" w:line="250" w:lineRule="auto"/>
        <w:tabs>
          <w:tab w:leader="none" w:pos="1913"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any Lien on any Collateral granted to or held by the Administrative Agent under any Loan Document (i) upon the Termination Date, (ii) that is sold or otherwise disposed of to a Person that is not the Borrower or any Guarantor as part of or in connection with any sale or other Disposition permitted hereunder and under the other Loan Documents or any Casualty Event, (iii) owned by a Guarantor upon release of such Guarantor from its obligations under its Guarantee pursuant to </w:t>
      </w:r>
      <w:r>
        <w:rPr>
          <w:rFonts w:ascii="Times New Roman" w:cs="Times New Roman" w:eastAsia="Times New Roman" w:hAnsi="Times New Roman"/>
          <w:sz w:val="22"/>
          <w:szCs w:val="22"/>
          <w:u w:val="single" w:color="auto"/>
          <w:color w:val="auto"/>
        </w:rPr>
        <w:t>Section 11.9(b)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as approved in accordance with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38" w:name="page239"/>
    <w:bookmarkEnd w:id="238"/>
    <w:p>
      <w:pPr>
        <w:ind w:left="660" w:firstLine="644"/>
        <w:spacing w:after="0" w:line="271" w:lineRule="auto"/>
        <w:tabs>
          <w:tab w:leader="none" w:pos="1858"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any Guarantor from its obligations under the Guarantee (i) upon the Termination Date or (ii) if such Person ceases to be a Subsidiary as a result of a transaction permitted under the Loan Documents; and</w:t>
      </w:r>
    </w:p>
    <w:p>
      <w:pPr>
        <w:spacing w:after="0" w:line="157" w:lineRule="exact"/>
        <w:rPr>
          <w:rFonts w:ascii="Times New Roman" w:cs="Times New Roman" w:eastAsia="Times New Roman" w:hAnsi="Times New Roman"/>
          <w:sz w:val="22"/>
          <w:szCs w:val="22"/>
          <w:color w:val="auto"/>
        </w:rPr>
      </w:pPr>
    </w:p>
    <w:p>
      <w:pPr>
        <w:jc w:val="both"/>
        <w:ind w:left="660" w:right="20" w:firstLine="644"/>
        <w:spacing w:after="0" w:line="256" w:lineRule="auto"/>
        <w:tabs>
          <w:tab w:leader="none" w:pos="1798"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entry (or proposed entry) of a Loan Party into any Permitted IP License, negotiate in good faith and enter into a non-disturbance agreement or similar agreement in respect of such Permitted IP License to the extent requested by the counterparty to such Permitted IP License, in form and substance reasonably satisfactory to Administrative Agent, Borrower and each other party to such Permitted IP License.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Upon request by the Administrative Agent at any time, the Lenders will confirm in writing the Administrative Agent’s authority to release its interest in particular types or items of property, or to release any Guarantor from its obligations under the Guarantee, pursuant to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Upon request by the Borrower at any time, the Administrative Agent will release its interest in particular types or items of property, or to release any Guarantor from its obligations under the Guarantee, pursuant to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the event that any Collateral shall be attached, garnished or levied upon by any court order, or the delivery thereof shall be stayed or enjoined by an order of a court, or any order, judgment or decree shall be made or entered by any court order affecting the Collateral, the Administrative Agent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Administrative Agent obeys or complies with any such writ, order or decree it shall not be liable to any of the Parties or to any other person, firm or corporation, should, by reason of such compliance notwithstanding, such writ, order or decree be subsequently reversed, modified, annulled, set aside or vacated.</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Administrative Agent shall have no obligation to give, execute, deliver, file, record, authorize or obtain any financing statements, notices, instruments, documents, agreements, consents or other papers as shall be necessary to (i) create, preserve, perfect or validate any security interest granted to the Administrative Agent pursuant to the Loan Documents or (ii) enable the Administrative Agent to exercise and enforce its rights under the Loan Documents with respect to any such pledge and security interest.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the Borrower or any Guarantor in connection therewith, nor shall the Administrative Agent be responsible or liable to the Lenders for any failure to monitor or maintain any portion of the Collateral.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Erroneous Payments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right="20" w:firstLine="644"/>
        <w:spacing w:after="0" w:line="284" w:lineRule="auto"/>
        <w:tabs>
          <w:tab w:leader="none" w:pos="1813"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notifies a Lender, or any Person who has received funds on behalf of a Lender (any such Lender or other recipient, a “</w:t>
      </w:r>
      <w:r>
        <w:rPr>
          <w:rFonts w:ascii="Times New Roman" w:cs="Times New Roman" w:eastAsia="Times New Roman" w:hAnsi="Times New Roman"/>
          <w:sz w:val="22"/>
          <w:szCs w:val="22"/>
          <w:u w:val="single" w:color="auto"/>
          <w:color w:val="auto"/>
        </w:rPr>
        <w:t>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39" w:name="page240"/>
    <w:bookmarkEnd w:id="239"/>
    <w:p>
      <w:pPr>
        <w:jc w:val="both"/>
        <w:spacing w:after="0" w:line="247" w:lineRule="auto"/>
        <w:rPr>
          <w:sz w:val="20"/>
          <w:szCs w:val="20"/>
          <w:color w:val="auto"/>
        </w:rPr>
      </w:pP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and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xml:space="preserve">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conclusive, absent manifest error.</w:t>
      </w:r>
    </w:p>
    <w:p>
      <w:pPr>
        <w:spacing w:after="0" w:line="197" w:lineRule="exact"/>
        <w:rPr>
          <w:sz w:val="20"/>
          <w:szCs w:val="20"/>
          <w:color w:val="auto"/>
        </w:rPr>
      </w:pPr>
    </w:p>
    <w:p>
      <w:pPr>
        <w:jc w:val="both"/>
        <w:ind w:firstLine="644"/>
        <w:spacing w:after="0" w:line="248" w:lineRule="auto"/>
        <w:tabs>
          <w:tab w:leader="none" w:pos="117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185" w:lineRule="exact"/>
        <w:rPr>
          <w:rFonts w:ascii="Times New Roman" w:cs="Times New Roman" w:eastAsia="Times New Roman" w:hAnsi="Times New Roman"/>
          <w:sz w:val="22"/>
          <w:szCs w:val="22"/>
          <w:color w:val="auto"/>
        </w:rPr>
      </w:pPr>
    </w:p>
    <w:p>
      <w:pPr>
        <w:jc w:val="both"/>
        <w:ind w:left="640" w:firstLine="652"/>
        <w:spacing w:after="0" w:line="263" w:lineRule="auto"/>
        <w:tabs>
          <w:tab w:leader="none" w:pos="1749"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acknowledges and agrees that (A) in the case of immediately preceding clauses (x) or (y), an error or mistake shall be presumed to have been made (absent written confirmation from the Administrative Agent to the contrary) or (B) an error and mistake has been made (in the case of immediately preceding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580"/>
          </w:cols>
          <w:pgMar w:left="980" w:top="1422" w:right="339" w:bottom="1440" w:gutter="0" w:footer="0" w:header="0"/>
        </w:sectPr>
      </w:pPr>
    </w:p>
    <w:bookmarkStart w:id="240" w:name="page241"/>
    <w:bookmarkEnd w:id="240"/>
    <w:p>
      <w:pPr>
        <w:ind w:left="180"/>
        <w:spacing w:after="0"/>
        <w:rPr>
          <w:sz w:val="20"/>
          <w:szCs w:val="20"/>
          <w:color w:val="auto"/>
        </w:rPr>
      </w:pPr>
      <w:r>
        <w:rPr>
          <w:rFonts w:ascii="Times New Roman" w:cs="Times New Roman" w:eastAsia="Times New Roman" w:hAnsi="Times New Roman"/>
          <w:sz w:val="22"/>
          <w:szCs w:val="22"/>
          <w:color w:val="auto"/>
        </w:rPr>
        <w:t>clause (z)), in each case, with respect to such payment, prepayment or repayment; and</w:t>
      </w:r>
    </w:p>
    <w:p>
      <w:pPr>
        <w:spacing w:after="0" w:line="220" w:lineRule="exact"/>
        <w:rPr>
          <w:sz w:val="20"/>
          <w:szCs w:val="20"/>
          <w:color w:val="auto"/>
        </w:rPr>
      </w:pPr>
    </w:p>
    <w:p>
      <w:pPr>
        <w:jc w:val="both"/>
        <w:ind w:left="180" w:firstLine="652"/>
        <w:spacing w:after="0" w:line="253" w:lineRule="auto"/>
        <w:tabs>
          <w:tab w:leader="none" w:pos="1338"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2"/>
          <w:szCs w:val="22"/>
          <w:u w:val="single" w:color="auto"/>
          <w:color w:val="auto"/>
        </w:rPr>
        <w:t>Section 11.10(b)(ii)</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460" w:firstLine="644"/>
        <w:spacing w:after="0" w:line="272" w:lineRule="auto"/>
        <w:tabs>
          <w:tab w:leader="none" w:pos="661"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clause (a).</w:t>
      </w:r>
    </w:p>
    <w:p>
      <w:pPr>
        <w:spacing w:after="0" w:line="160" w:lineRule="exact"/>
        <w:rPr>
          <w:rFonts w:ascii="Times New Roman" w:cs="Times New Roman" w:eastAsia="Times New Roman" w:hAnsi="Times New Roman"/>
          <w:sz w:val="21"/>
          <w:szCs w:val="21"/>
          <w:color w:val="auto"/>
        </w:rPr>
      </w:pPr>
    </w:p>
    <w:p>
      <w:pPr>
        <w:ind w:left="660" w:hanging="476"/>
        <w:spacing w:after="0"/>
        <w:tabs>
          <w:tab w:leader="none" w:pos="66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60" w:lineRule="auto"/>
        <w:tabs>
          <w:tab w:leader="none" w:pos="835"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and (y) an Erroneous Payment shall not pay, prepay, repay, discharge or otherwise satisfy any Obligations owed by the Borrower or any Guarantor;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11.10</w:t>
      </w:r>
      <w:r>
        <w:rPr>
          <w:rFonts w:ascii="Times New Roman" w:cs="Times New Roman" w:eastAsia="Times New Roman" w:hAnsi="Times New Roman"/>
          <w:sz w:val="21"/>
          <w:szCs w:val="21"/>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for the avoidance of doubt, immediately preceding clauses (x) and (y) shall not apply to the extent any Erroneous Payment is, and solely with respect to the amount of such Erroneous Payment that is, comprised of funds received by the Administrative Agent from the Borrower or any Guarantor for the purpose of making such Erroneous Payment.</w:t>
      </w:r>
    </w:p>
    <w:p>
      <w:pPr>
        <w:spacing w:after="0" w:line="190" w:lineRule="exact"/>
        <w:rPr>
          <w:rFonts w:ascii="Times New Roman" w:cs="Times New Roman" w:eastAsia="Times New Roman" w:hAnsi="Times New Roman"/>
          <w:sz w:val="21"/>
          <w:szCs w:val="21"/>
          <w:color w:val="auto"/>
        </w:rPr>
      </w:pPr>
    </w:p>
    <w:p>
      <w:pPr>
        <w:jc w:val="both"/>
        <w:ind w:left="-460" w:firstLine="644"/>
        <w:spacing w:after="0" w:line="250" w:lineRule="auto"/>
        <w:tabs>
          <w:tab w:leader="none" w:pos="775"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120"/>
          </w:cols>
          <w:pgMar w:left="1440" w:top="1422" w:right="339" w:bottom="1440" w:gutter="0" w:footer="0" w:header="0"/>
        </w:sectPr>
      </w:pPr>
    </w:p>
    <w:bookmarkStart w:id="241" w:name="page242"/>
    <w:bookmarkEnd w:id="241"/>
    <w:p>
      <w:pPr>
        <w:jc w:val="both"/>
        <w:ind w:left="660" w:firstLine="644"/>
        <w:spacing w:after="0" w:line="256" w:lineRule="auto"/>
        <w:tabs>
          <w:tab w:leader="none" w:pos="1848"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11.10</w:t>
      </w:r>
      <w:r>
        <w:rPr>
          <w:rFonts w:ascii="Times New Roman" w:cs="Times New Roman" w:eastAsia="Times New Roman" w:hAnsi="Times New Roman"/>
          <w:sz w:val="22"/>
          <w:szCs w:val="22"/>
          <w:color w:val="auto"/>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by their respective officers thereunto duly authorized as of the day and year first above written.</w:t>
      </w:r>
    </w:p>
    <w:p>
      <w:pPr>
        <w:spacing w:after="0" w:line="200" w:lineRule="exact"/>
        <w:rPr>
          <w:sz w:val="20"/>
          <w:szCs w:val="20"/>
          <w:color w:val="auto"/>
        </w:rPr>
      </w:pPr>
    </w:p>
    <w:p>
      <w:pPr>
        <w:spacing w:after="0" w:line="22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TRISALUS OPERATING LIFE SCIENCES, INC.,</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7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By: /s/ Sean Murphy</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 Sean Murphy</w:t>
      </w:r>
    </w:p>
    <w:p>
      <w:pPr>
        <w:spacing w:after="0" w:line="5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TRISALUS LIFE SCIENCES, INC.,</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as the Parent</w:t>
      </w:r>
    </w:p>
    <w:p>
      <w:pPr>
        <w:spacing w:after="0" w:line="27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By: /s/ Sean Murphy</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 Sean Murphy</w:t>
      </w:r>
    </w:p>
    <w:p>
      <w:pPr>
        <w:spacing w:after="0" w:line="5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1240"/>
          </w:cols>
          <w:pgMar w:left="320" w:top="1422" w:right="339" w:bottom="1440" w:gutter="0" w:footer="0" w:header="0"/>
        </w:sectPr>
      </w:pPr>
    </w:p>
    <w:bookmarkStart w:id="242" w:name="page243"/>
    <w:bookmarkEnd w:id="242"/>
    <w:p>
      <w:pPr>
        <w:spacing w:after="0" w:line="279" w:lineRule="exact"/>
        <w:rPr>
          <w:sz w:val="20"/>
          <w:szCs w:val="20"/>
          <w:color w:val="auto"/>
        </w:rPr>
      </w:pPr>
    </w:p>
    <w:p>
      <w:pPr>
        <w:ind w:left="2980" w:right="579"/>
        <w:spacing w:after="0" w:line="271" w:lineRule="auto"/>
        <w:rPr>
          <w:sz w:val="20"/>
          <w:szCs w:val="20"/>
          <w:color w:val="auto"/>
        </w:rPr>
      </w:pPr>
      <w:r>
        <w:rPr>
          <w:rFonts w:ascii="Times New Roman" w:cs="Times New Roman" w:eastAsia="Times New Roman" w:hAnsi="Times New Roman"/>
          <w:sz w:val="22"/>
          <w:szCs w:val="22"/>
          <w:color w:val="auto"/>
        </w:rPr>
        <w:t>ORBIMED ROYALTY &amp; CREDIT OPPORTUNITIES IV, LP, as the Initial Lender</w:t>
      </w:r>
    </w:p>
    <w:p>
      <w:pPr>
        <w:spacing w:after="0" w:line="1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By: /s/ Matthew Rizzo</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 Matthew Rizzo</w:t>
      </w:r>
    </w:p>
    <w:p>
      <w:pPr>
        <w:spacing w:after="0" w:line="5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40" w:right="1539"/>
        <w:spacing w:after="0" w:line="271" w:lineRule="auto"/>
        <w:rPr>
          <w:sz w:val="20"/>
          <w:szCs w:val="20"/>
          <w:color w:val="auto"/>
        </w:rPr>
      </w:pPr>
      <w:r>
        <w:rPr>
          <w:rFonts w:ascii="Times New Roman" w:cs="Times New Roman" w:eastAsia="Times New Roman" w:hAnsi="Times New Roman"/>
          <w:sz w:val="22"/>
          <w:szCs w:val="22"/>
          <w:color w:val="auto"/>
        </w:rPr>
        <w:t>ORBIMED ROYALTY &amp; CREDIT OPPORTUNITIES IV, LP, as the Administrative Agent</w:t>
      </w:r>
    </w:p>
    <w:p>
      <w:pPr>
        <w:spacing w:after="0" w:line="21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2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2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2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6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By: /s/ Matthew Rizzo</w:t>
      </w:r>
    </w:p>
    <w:p>
      <w:pPr>
        <w:spacing w:after="0" w:line="5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 Matthew Rizzo</w:t>
      </w:r>
    </w:p>
    <w:p>
      <w:pPr>
        <w:spacing w:after="0" w:line="5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9019"/>
          </w:cols>
          <w:pgMar w:left="1440" w:top="1440" w:right="1440"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18"/>
          <w:szCs w:val="18"/>
          <w:color w:val="auto"/>
        </w:rPr>
        <w:t>CERTIFICATION THE PRINCIPAL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13a-14(a) AND RULE 15d-14(a) UNDER THE SECURITIES EXCHANGE ACT OF 1934, 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Szela, certify that:</w:t>
      </w:r>
    </w:p>
    <w:p>
      <w:pPr>
        <w:spacing w:after="0" w:line="198" w:lineRule="exact"/>
        <w:rPr>
          <w:sz w:val="20"/>
          <w:szCs w:val="20"/>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TriSalus Life Sciences, Inc.</w:t>
      </w:r>
    </w:p>
    <w:p>
      <w:pPr>
        <w:spacing w:after="0" w:line="18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5"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6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2" w:lineRule="exact"/>
        <w:rPr>
          <w:rFonts w:ascii="Times New Roman" w:cs="Times New Roman" w:eastAsia="Times New Roman" w:hAnsi="Times New Roman"/>
          <w:sz w:val="17"/>
          <w:szCs w:val="17"/>
          <w:color w:val="auto"/>
        </w:rPr>
      </w:pPr>
    </w:p>
    <w:p>
      <w:pPr>
        <w:ind w:left="660" w:right="180" w:hanging="328"/>
        <w:spacing w:after="0" w:line="266"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Times New Roman" w:cs="Times New Roman" w:eastAsia="Times New Roman" w:hAnsi="Times New Roman"/>
          <w:sz w:val="18"/>
          <w:szCs w:val="18"/>
          <w:color w:val="auto"/>
        </w:rPr>
      </w:pPr>
    </w:p>
    <w:p>
      <w:pPr>
        <w:jc w:val="both"/>
        <w:ind w:left="1300" w:right="300" w:hanging="320"/>
        <w:spacing w:after="0" w:line="242" w:lineRule="auto"/>
        <w:tabs>
          <w:tab w:leader="none" w:pos="13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May 15, 2024</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54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Mary Szela</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color w:val="auto"/>
        </w:rPr>
        <w:t>CERTIFICATION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RULE 13a-14(a) AND RULE 15d-14(a) UNDER THE SECURITIES EXCHANGE ACT OF 1934, AS ADOPTED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ectPr>
          <w:pgSz w:w="11900" w:h="16838" w:orient="portrait"/>
          <w:cols w:equalWidth="0" w:num="1">
            <w:col w:w="10920"/>
          </w:cols>
          <w:pgMar w:left="480" w:top="121" w:right="499" w:bottom="1440" w:gutter="0" w:footer="0" w:header="0"/>
        </w:sectPr>
      </w:pPr>
    </w:p>
    <w:bookmarkStart w:id="245" w:name="page246"/>
    <w:bookmarkEnd w:id="245"/>
    <w:p>
      <w:pPr>
        <w:ind w:left="3240"/>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PURSUANT TO RULE 13a-14(a) AND RULE 15d-14(a) UNDER THE SECURITIES EXCHANGE ACT OF 1934, AS ADOPTED PURSUANT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Murphy, certify that:</w:t>
      </w:r>
    </w:p>
    <w:p>
      <w:pPr>
        <w:spacing w:after="0" w:line="198" w:lineRule="exact"/>
        <w:rPr>
          <w:sz w:val="20"/>
          <w:szCs w:val="20"/>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TriSalus Life Sciences, Inc.</w:t>
      </w:r>
    </w:p>
    <w:p>
      <w:pPr>
        <w:spacing w:after="0" w:line="18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5"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6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2" w:lineRule="exact"/>
        <w:rPr>
          <w:rFonts w:ascii="Times New Roman" w:cs="Times New Roman" w:eastAsia="Times New Roman" w:hAnsi="Times New Roman"/>
          <w:sz w:val="17"/>
          <w:szCs w:val="17"/>
          <w:color w:val="auto"/>
        </w:rPr>
      </w:pPr>
    </w:p>
    <w:p>
      <w:pPr>
        <w:ind w:left="660" w:right="180" w:hanging="328"/>
        <w:spacing w:after="0" w:line="266"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35" w:lineRule="exact"/>
        <w:rPr>
          <w:rFonts w:ascii="Times New Roman" w:cs="Times New Roman" w:eastAsia="Times New Roman" w:hAnsi="Times New Roman"/>
          <w:sz w:val="18"/>
          <w:szCs w:val="18"/>
          <w:color w:val="auto"/>
        </w:rPr>
      </w:pPr>
    </w:p>
    <w:p>
      <w:pPr>
        <w:jc w:val="both"/>
        <w:ind w:left="1300" w:right="300" w:hanging="320"/>
        <w:spacing w:after="0" w:line="266" w:lineRule="auto"/>
        <w:tabs>
          <w:tab w:leader="none" w:pos="130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May 15, 2024</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Sean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54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Sean Murphy</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246" w:name="page247"/>
    <w:bookmarkEnd w:id="246"/>
    <w:p>
      <w:pPr>
        <w:ind w:left="3080"/>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RULE 13a-14(a) AND RULE 15d-14(a) UNDER THE SECURITIES EXCHANGE ACT OF 1934, AS ADOPTED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ectPr>
          <w:pgSz w:w="11900" w:h="16838" w:orient="portrait"/>
          <w:cols w:equalWidth="0" w:num="1">
            <w:col w:w="10920"/>
          </w:cols>
          <w:pgMar w:left="480" w:top="121" w:right="499" w:bottom="1440" w:gutter="0" w:footer="0" w:header="0"/>
        </w:sectPr>
      </w:pPr>
    </w:p>
    <w:bookmarkStart w:id="247" w:name="page248"/>
    <w:bookmarkEnd w:id="247"/>
    <w:p>
      <w:pPr>
        <w:jc w:val="center"/>
        <w:spacing w:after="0" w:line="329" w:lineRule="auto"/>
        <w:rPr>
          <w:sz w:val="20"/>
          <w:szCs w:val="20"/>
          <w:color w:val="auto"/>
        </w:rPr>
      </w:pPr>
      <w:r>
        <w:rPr>
          <w:rFonts w:ascii="Times New Roman" w:cs="Times New Roman" w:eastAsia="Times New Roman" w:hAnsi="Times New Roman"/>
          <w:sz w:val="18"/>
          <w:szCs w:val="18"/>
          <w:color w:val="auto"/>
        </w:rPr>
        <w:t>CERTIFICATION OF THE CHIEF EXECUTIVE OFFICER PURSUANT TO 18 U.S. 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Mary Szela, Chief Executive Officer of TriSalus Life Sciences, Inc. (the “Company”) certifies that, to the best of her knowledge:</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(1)</w:t>
            </w:r>
          </w:p>
        </w:tc>
        <w:tc>
          <w:tcPr>
            <w:tcW w:w="9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Company’s Quarterly Report on Form 10-Q for the period ended March 31, 2024, to which this Certification is</w:t>
            </w:r>
          </w:p>
        </w:tc>
      </w:tr>
      <w:tr>
        <w:trPr>
          <w:trHeight w:val="216"/>
        </w:trPr>
        <w:tc>
          <w:tcPr>
            <w:tcW w:w="940" w:type="dxa"/>
            <w:vAlign w:val="bottom"/>
          </w:tcPr>
          <w:p>
            <w:pPr>
              <w:spacing w:after="0"/>
              <w:rPr>
                <w:sz w:val="18"/>
                <w:szCs w:val="18"/>
                <w:color w:val="auto"/>
              </w:rPr>
            </w:pPr>
          </w:p>
        </w:tc>
        <w:tc>
          <w:tcPr>
            <w:tcW w:w="93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attached as Exhibit 32.1 (the “Report”), fully complies with the requirements of Section 13(a) or 15(d) of the Exchange</w:t>
            </w:r>
          </w:p>
        </w:tc>
      </w:tr>
      <w:tr>
        <w:trPr>
          <w:trHeight w:val="234"/>
        </w:trPr>
        <w:tc>
          <w:tcPr>
            <w:tcW w:w="940" w:type="dxa"/>
            <w:vAlign w:val="bottom"/>
          </w:tcPr>
          <w:p>
            <w:pPr>
              <w:spacing w:after="0"/>
              <w:rPr>
                <w:sz w:val="20"/>
                <w:szCs w:val="20"/>
                <w:color w:val="auto"/>
              </w:rPr>
            </w:pPr>
          </w:p>
        </w:tc>
        <w:tc>
          <w:tcPr>
            <w:tcW w:w="9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Act of 1934; and</w:t>
            </w:r>
          </w:p>
        </w:tc>
      </w:tr>
      <w:tr>
        <w:trPr>
          <w:trHeight w:val="738"/>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(2)</w:t>
            </w:r>
          </w:p>
        </w:tc>
        <w:tc>
          <w:tcPr>
            <w:tcW w:w="9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w:t>
            </w:r>
          </w:p>
        </w:tc>
      </w:tr>
      <w:tr>
        <w:trPr>
          <w:trHeight w:val="234"/>
        </w:trPr>
        <w:tc>
          <w:tcPr>
            <w:tcW w:w="940" w:type="dxa"/>
            <w:vAlign w:val="bottom"/>
          </w:tcPr>
          <w:p>
            <w:pPr>
              <w:spacing w:after="0"/>
              <w:rPr>
                <w:sz w:val="20"/>
                <w:szCs w:val="20"/>
                <w:color w:val="auto"/>
              </w:rPr>
            </w:pPr>
          </w:p>
        </w:tc>
        <w:tc>
          <w:tcPr>
            <w:tcW w:w="9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operations of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May 15, 2024</w:t>
            </w:r>
          </w:p>
        </w:tc>
      </w:tr>
    </w:tbl>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43180</wp:posOffset>
            </wp:positionV>
            <wp:extent cx="38404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Mary Szela</w:t>
      </w:r>
    </w:p>
    <w:p>
      <w:pPr>
        <w:spacing w:after="0" w:line="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ind w:left="5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135" w:right="339" w:bottom="1440" w:gutter="0" w:footer="0" w:header="0"/>
        </w:sectPr>
      </w:pPr>
    </w:p>
    <w:bookmarkStart w:id="248" w:name="page249"/>
    <w:bookmarkEnd w:id="248"/>
    <w:p>
      <w:pPr>
        <w:jc w:val="center"/>
        <w:spacing w:after="0" w:line="329" w:lineRule="auto"/>
        <w:rPr>
          <w:sz w:val="20"/>
          <w:szCs w:val="20"/>
          <w:color w:val="auto"/>
        </w:rPr>
      </w:pPr>
      <w:r>
        <w:rPr>
          <w:rFonts w:ascii="Times New Roman" w:cs="Times New Roman" w:eastAsia="Times New Roman" w:hAnsi="Times New Roman"/>
          <w:sz w:val="18"/>
          <w:szCs w:val="18"/>
          <w:color w:val="auto"/>
        </w:rPr>
        <w:t>CERTIFICATION OF THE CHIEF FINANCIAL OFFICER PURSUANT TO 18 U.S. 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Murphy, Chief Financial Officer of TriSalus Life Sciences, Inc. (the “Company”) certifies that, to the best of his knowledge:</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5"/>
              </w:rPr>
              <w:t>(1)</w:t>
            </w:r>
          </w:p>
        </w:tc>
        <w:tc>
          <w:tcPr>
            <w:tcW w:w="94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Company’s Quarterly Report on Form 10-Q for the period ended March 31, 2024, to which this Certification is</w:t>
            </w:r>
          </w:p>
        </w:tc>
      </w:tr>
      <w:tr>
        <w:trPr>
          <w:trHeight w:val="216"/>
        </w:trPr>
        <w:tc>
          <w:tcPr>
            <w:tcW w:w="1000" w:type="dxa"/>
            <w:vAlign w:val="bottom"/>
          </w:tcPr>
          <w:p>
            <w:pPr>
              <w:spacing w:after="0"/>
              <w:rPr>
                <w:sz w:val="18"/>
                <w:szCs w:val="18"/>
                <w:color w:val="auto"/>
              </w:rPr>
            </w:pPr>
          </w:p>
        </w:tc>
        <w:tc>
          <w:tcPr>
            <w:tcW w:w="94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attached as Exhibit 32.1 (the “Report”), fully complies with the requirements of Section 13(a) or 15(d) of the Exchange</w:t>
            </w:r>
          </w:p>
        </w:tc>
      </w:tr>
      <w:tr>
        <w:trPr>
          <w:trHeight w:val="234"/>
        </w:trPr>
        <w:tc>
          <w:tcPr>
            <w:tcW w:w="1000" w:type="dxa"/>
            <w:vAlign w:val="bottom"/>
          </w:tcPr>
          <w:p>
            <w:pPr>
              <w:spacing w:after="0"/>
              <w:rPr>
                <w:sz w:val="20"/>
                <w:szCs w:val="20"/>
                <w:color w:val="auto"/>
              </w:rPr>
            </w:pPr>
          </w:p>
        </w:tc>
        <w:tc>
          <w:tcPr>
            <w:tcW w:w="94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Act of 1934; and</w:t>
            </w:r>
          </w:p>
        </w:tc>
      </w:tr>
      <w:tr>
        <w:trPr>
          <w:trHeight w:val="738"/>
        </w:trPr>
        <w:tc>
          <w:tcPr>
            <w:tcW w:w="1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5"/>
              </w:rPr>
              <w:t>(2)</w:t>
            </w:r>
          </w:p>
        </w:tc>
        <w:tc>
          <w:tcPr>
            <w:tcW w:w="94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w:t>
            </w:r>
          </w:p>
        </w:tc>
      </w:tr>
      <w:tr>
        <w:trPr>
          <w:trHeight w:val="234"/>
        </w:trPr>
        <w:tc>
          <w:tcPr>
            <w:tcW w:w="1000" w:type="dxa"/>
            <w:vAlign w:val="bottom"/>
          </w:tcPr>
          <w:p>
            <w:pPr>
              <w:spacing w:after="0"/>
              <w:rPr>
                <w:sz w:val="20"/>
                <w:szCs w:val="20"/>
                <w:color w:val="auto"/>
              </w:rPr>
            </w:pPr>
          </w:p>
        </w:tc>
        <w:tc>
          <w:tcPr>
            <w:tcW w:w="94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operations of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May 15, 2024</w:t>
            </w:r>
          </w:p>
        </w:tc>
      </w:tr>
    </w:tbl>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Sean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43180</wp:posOffset>
            </wp:positionV>
            <wp:extent cx="38404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Sean Murphy</w:t>
      </w:r>
    </w:p>
    <w:p>
      <w:pPr>
        <w:spacing w:after="0" w:line="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ind w:left="5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B7AAA2"/>
    <w:multiLevelType w:val="hybridMultilevel"/>
    <w:lvl w:ilvl="0">
      <w:lvlJc w:val="left"/>
      <w:lvlText w:val="x"/>
      <w:numFmt w:val="bullet"/>
      <w:start w:val="1"/>
    </w:lvl>
  </w:abstractNum>
  <w:abstractNum w:abstractNumId="1">
    <w:nsid w:val="2B0D8DBE"/>
    <w:multiLevelType w:val="hybridMultilevel"/>
    <w:lvl w:ilvl="0">
      <w:lvlJc w:val="left"/>
      <w:lvlText w:val="o"/>
      <w:numFmt w:val="bullet"/>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
      <w:numFmt w:val="bullet"/>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1)"/>
      <w:numFmt w:val="decimal"/>
      <w:start w:val="1"/>
    </w:lvl>
  </w:abstractNum>
  <w:abstractNum w:abstractNumId="7">
    <w:nsid w:val="6AA7B75C"/>
    <w:multiLevelType w:val="hybridMultilevel"/>
    <w:lvl w:ilvl="0">
      <w:lvlJc w:val="left"/>
      <w:lvlText w:val="(%1)"/>
      <w:numFmt w:val="decimal"/>
      <w:start w:val="2"/>
    </w:lvl>
  </w:abstractNum>
  <w:abstractNum w:abstractNumId="8">
    <w:nsid w:val="1DF029D3"/>
    <w:multiLevelType w:val="hybridMultilevel"/>
    <w:lvl w:ilvl="0">
      <w:lvlJc w:val="left"/>
      <w:lvlText w:val="(%1)"/>
      <w:numFmt w:val="decimal"/>
      <w:start w:val="4"/>
    </w:lvl>
  </w:abstractNum>
  <w:abstractNum w:abstractNumId="9">
    <w:nsid w:val="5675FF36"/>
    <w:multiLevelType w:val="hybridMultilevel"/>
    <w:lvl w:ilvl="0">
      <w:lvlJc w:val="left"/>
      <w:lvlText w:val="(%1)"/>
      <w:numFmt w:val="lowerLetter"/>
      <w:start w:val="5"/>
    </w:lvl>
  </w:abstractNum>
  <w:abstractNum w:abstractNumId="10">
    <w:nsid w:val="3DD15094"/>
    <w:multiLevelType w:val="hybridMultilevel"/>
    <w:lvl w:ilvl="0">
      <w:lvlJc w:val="left"/>
      <w:lvlText w:val="(%1)"/>
      <w:numFmt w:val="decimal"/>
      <w:start w:val="3"/>
    </w:lvl>
  </w:abstractNum>
  <w:abstractNum w:abstractNumId="11">
    <w:nsid w:val="3DB012B3"/>
    <w:multiLevelType w:val="hybridMultilevel"/>
    <w:lvl w:ilvl="0">
      <w:lvlJc w:val="left"/>
      <w:lvlText w:val="(%1)"/>
      <w:numFmt w:val="decimal"/>
      <w:start w:val="4"/>
    </w:lvl>
  </w:abstractNum>
  <w:abstractNum w:abstractNumId="12">
    <w:nsid w:val="2708C9AF"/>
    <w:multiLevelType w:val="hybridMultilevel"/>
    <w:lvl w:ilvl="0">
      <w:lvlJc w:val="left"/>
      <w:lvlText w:val="(%1)"/>
      <w:numFmt w:val="lowerLetter"/>
      <w:start w:val="1"/>
    </w:lvl>
  </w:abstractNum>
  <w:abstractNum w:abstractNumId="13">
    <w:nsid w:val="5B25ACE2"/>
    <w:multiLevelType w:val="hybridMultilevel"/>
    <w:lvl w:ilvl="0">
      <w:lvlJc w:val="left"/>
      <w:lvlText w:val="%1."/>
      <w:numFmt w:val="lowerLetter"/>
      <w:start w:val="1"/>
    </w:lvl>
  </w:abstractNum>
  <w:abstractNum w:abstractNumId="14">
    <w:nsid w:val="175DFCF0"/>
    <w:multiLevelType w:val="hybridMultilevel"/>
    <w:lvl w:ilvl="0">
      <w:lvlJc w:val="left"/>
      <w:lvlText w:val="(%1)"/>
      <w:numFmt w:val="decimal"/>
      <w:start w:val="11"/>
    </w:lvl>
  </w:abstractNum>
  <w:abstractNum w:abstractNumId="15">
    <w:nsid w:val="4F97E3E4"/>
    <w:multiLevelType w:val="hybridMultilevel"/>
    <w:lvl w:ilvl="0">
      <w:lvlJc w:val="left"/>
      <w:lvlText w:val="(%1)"/>
      <w:numFmt w:val="lowerLetter"/>
      <w:start w:val="1"/>
    </w:lvl>
  </w:abstractNum>
  <w:abstractNum w:abstractNumId="16">
    <w:nsid w:val="53B0A9E"/>
    <w:multiLevelType w:val="hybridMultilevel"/>
    <w:lvl w:ilvl="0">
      <w:lvlJc w:val="left"/>
      <w:lvlText w:val="(%1)"/>
      <w:numFmt w:val="lowerLetter"/>
      <w:start w:val="9"/>
    </w:lvl>
    <w:lvl w:ilvl="1">
      <w:lvlJc w:val="left"/>
      <w:lvlText w:val="(%2)"/>
      <w:numFmt w:val="lowerLetter"/>
      <w:start w:val="1"/>
    </w:lvl>
  </w:abstractNum>
  <w:abstractNum w:abstractNumId="17">
    <w:nsid w:val="34FD6B4F"/>
    <w:multiLevelType w:val="hybridMultilevel"/>
    <w:lvl w:ilvl="0">
      <w:lvlJc w:val="left"/>
      <w:lvlText w:val="(%1)"/>
      <w:numFmt w:val="lowerLetter"/>
      <w:start w:val="2"/>
    </w:lvl>
  </w:abstractNum>
  <w:abstractNum w:abstractNumId="18">
    <w:nsid w:val="5915FF32"/>
    <w:multiLevelType w:val="hybridMultilevel"/>
    <w:lvl w:ilvl="0">
      <w:lvlJc w:val="left"/>
      <w:lvlText w:val="%1"/>
      <w:numFmt w:val="lowerRoman"/>
      <w:start w:val="1"/>
    </w:lvl>
    <w:lvl w:ilvl="1">
      <w:lvlJc w:val="left"/>
      <w:lvlText w:val="(%2)"/>
      <w:numFmt w:val="lowerRoman"/>
      <w:start w:val="1"/>
    </w:lvl>
  </w:abstractNum>
  <w:abstractNum w:abstractNumId="19">
    <w:nsid w:val="56438D15"/>
    <w:multiLevelType w:val="hybridMultilevel"/>
    <w:lvl w:ilvl="0">
      <w:lvlJc w:val="left"/>
      <w:lvlText w:val="(%1)"/>
      <w:numFmt w:val="lowerRoman"/>
      <w:start w:val="4"/>
    </w:lvl>
    <w:lvl w:ilvl="1">
      <w:lvlJc w:val="left"/>
      <w:lvlText w:val="%2"/>
      <w:numFmt w:val="lowerRoman"/>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1)"/>
      <w:numFmt w:val="lowerRoman"/>
      <w:start w:val="1"/>
    </w:lvl>
    <w:lvl w:ilvl="1">
      <w:lvlJc w:val="left"/>
      <w:lvlText w:val="%2."/>
      <w:numFmt w:val="decimal"/>
      <w:start w:val="1"/>
    </w:lvl>
  </w:abstractNum>
  <w:abstractNum w:abstractNumId="22">
    <w:nsid w:val="17A1B582"/>
    <w:multiLevelType w:val="hybridMultilevel"/>
    <w:lvl w:ilvl="0">
      <w:lvlJc w:val="left"/>
      <w:lvlText w:val="◦"/>
      <w:numFmt w:val="bullet"/>
      <w:start w:val="1"/>
    </w:lvl>
  </w:abstractNum>
  <w:abstractNum w:abstractNumId="23">
    <w:nsid w:val="4DF72E4E"/>
    <w:multiLevelType w:val="hybridMultilevel"/>
    <w:lvl w:ilvl="0">
      <w:lvlJc w:val="left"/>
      <w:lvlText w:val="•"/>
      <w:numFmt w:val="bullet"/>
      <w:start w:val="1"/>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
      <w:numFmt w:val="bullet"/>
      <w:start w:val="1"/>
    </w:lvl>
  </w:abstractNum>
  <w:abstractNum w:abstractNumId="26">
    <w:nsid w:val="2A082C70"/>
    <w:multiLevelType w:val="hybridMultilevel"/>
    <w:lvl w:ilvl="0">
      <w:lvlJc w:val="left"/>
      <w:lvlText w:val="•"/>
      <w:numFmt w:val="bullet"/>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
      <w:numFmt w:val="bullet"/>
      <w:start w:val="1"/>
    </w:lvl>
  </w:abstractNum>
  <w:abstractNum w:abstractNumId="29">
    <w:nsid w:val="75E0858A"/>
    <w:multiLevelType w:val="hybridMultilevel"/>
    <w:lvl w:ilvl="0">
      <w:lvlJc w:val="left"/>
      <w:lvlText w:val="•"/>
      <w:numFmt w:val="bullet"/>
      <w:start w:val="1"/>
    </w:lvl>
  </w:abstractNum>
  <w:abstractNum w:abstractNumId="30">
    <w:nsid w:val="57A61A29"/>
    <w:multiLevelType w:val="hybridMultilevel"/>
    <w:lvl w:ilvl="0">
      <w:lvlJc w:val="left"/>
      <w:lvlText w:val="•"/>
      <w:numFmt w:val="bullet"/>
      <w:start w:val="1"/>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
      <w:numFmt w:val="bullet"/>
      <w:start w:val="1"/>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
      <w:numFmt w:val="bullet"/>
      <w:start w:val="1"/>
    </w:lvl>
  </w:abstractNum>
  <w:abstractNum w:abstractNumId="36">
    <w:nsid w:val="704E1DD5"/>
    <w:multiLevelType w:val="hybridMultilevel"/>
    <w:lvl w:ilvl="0">
      <w:lvlJc w:val="left"/>
      <w:lvlText w:val="•"/>
      <w:numFmt w:val="bullet"/>
      <w:start w:val="1"/>
    </w:lvl>
  </w:abstractNum>
  <w:abstractNum w:abstractNumId="37">
    <w:nsid w:val="57D2F10E"/>
    <w:multiLevelType w:val="hybridMultilevel"/>
    <w:lvl w:ilvl="0">
      <w:lvlJc w:val="left"/>
      <w:lvlText w:val="•"/>
      <w:numFmt w:val="bullet"/>
      <w:start w:val="1"/>
    </w:lvl>
  </w:abstractNum>
  <w:abstractNum w:abstractNumId="38">
    <w:nsid w:val="BFFAE18"/>
    <w:multiLevelType w:val="hybridMultilevel"/>
    <w:lvl w:ilvl="0">
      <w:lvlJc w:val="left"/>
      <w:lvlText w:val="•"/>
      <w:numFmt w:val="bullet"/>
      <w:start w:val="1"/>
    </w:lvl>
  </w:abstractNum>
  <w:abstractNum w:abstractNumId="39">
    <w:nsid w:val="E3E47A8"/>
    <w:multiLevelType w:val="hybridMultilevel"/>
    <w:lvl w:ilvl="0">
      <w:lvlJc w:val="left"/>
      <w:lvlText w:val="◦"/>
      <w:numFmt w:val="bullet"/>
      <w:start w:val="1"/>
    </w:lvl>
  </w:abstractNum>
  <w:abstractNum w:abstractNumId="40">
    <w:nsid w:val="2E48F044"/>
    <w:multiLevelType w:val="hybridMultilevel"/>
    <w:lvl w:ilvl="0">
      <w:lvlJc w:val="left"/>
      <w:lvlText w:val="◦"/>
      <w:numFmt w:val="bullet"/>
      <w:start w:val="1"/>
    </w:lvl>
  </w:abstractNum>
  <w:abstractNum w:abstractNumId="41">
    <w:nsid w:val="49D0FEAC"/>
    <w:multiLevelType w:val="hybridMultilevel"/>
    <w:lvl w:ilvl="0">
      <w:lvlJc w:val="left"/>
      <w:lvlText w:val="◦"/>
      <w:numFmt w:val="bullet"/>
      <w:start w:val="1"/>
    </w:lvl>
  </w:abstractNum>
  <w:abstractNum w:abstractNumId="42">
    <w:nsid w:val="4BEE5A5B"/>
    <w:multiLevelType w:val="hybridMultilevel"/>
    <w:lvl w:ilvl="0">
      <w:lvlJc w:val="left"/>
      <w:lvlText w:val="•"/>
      <w:numFmt w:val="bullet"/>
      <w:start w:val="1"/>
    </w:lvl>
  </w:abstractNum>
  <w:abstractNum w:abstractNumId="43">
    <w:nsid w:val="5551B9F3"/>
    <w:multiLevelType w:val="hybridMultilevel"/>
    <w:lvl w:ilvl="0">
      <w:lvlJc w:val="left"/>
      <w:lvlText w:val="•"/>
      <w:numFmt w:val="bullet"/>
      <w:start w:val="1"/>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
      <w:numFmt w:val="bullet"/>
      <w:start w:val="1"/>
    </w:lvl>
  </w:abstractNum>
  <w:abstractNum w:abstractNumId="46">
    <w:nsid w:val="24E99DD7"/>
    <w:multiLevelType w:val="hybridMultilevel"/>
    <w:lvl w:ilvl="0">
      <w:lvlJc w:val="left"/>
      <w:lvlText w:val="•"/>
      <w:numFmt w:val="bullet"/>
      <w:start w:val="1"/>
    </w:lvl>
  </w:abstractNum>
  <w:abstractNum w:abstractNumId="47">
    <w:nsid w:val="2A31B62D"/>
    <w:multiLevelType w:val="hybridMultilevel"/>
    <w:lvl w:ilvl="0">
      <w:lvlJc w:val="left"/>
      <w:lvlText w:val="•"/>
      <w:numFmt w:val="bullet"/>
      <w:start w:val="1"/>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
      <w:numFmt w:val="bullet"/>
      <w:start w:val="1"/>
    </w:lvl>
  </w:abstractNum>
  <w:abstractNum w:abstractNumId="50">
    <w:nsid w:val="754342"/>
    <w:multiLevelType w:val="hybridMultilevel"/>
    <w:lvl w:ilvl="0">
      <w:lvlJc w:val="left"/>
      <w:lvlText w:val="(%1)"/>
      <w:numFmt w:val="lowerLetter"/>
      <w:start w:val="5"/>
    </w:lvl>
  </w:abstractNum>
  <w:abstractNum w:abstractNumId="51">
    <w:nsid w:val="69E7F3E5"/>
    <w:multiLevelType w:val="hybridMultilevel"/>
    <w:lvl w:ilvl="0">
      <w:lvlJc w:val="left"/>
      <w:lvlText w:val="•"/>
      <w:numFmt w:val="bullet"/>
      <w:start w:val="1"/>
    </w:lvl>
  </w:abstractNum>
  <w:abstractNum w:abstractNumId="52">
    <w:nsid w:val="2A6DE806"/>
    <w:multiLevelType w:val="hybridMultilevel"/>
    <w:lvl w:ilvl="0">
      <w:lvlJc w:val="left"/>
      <w:lvlText w:val="(%1)"/>
      <w:numFmt w:val="lowerRoman"/>
      <w:start w:val="4"/>
    </w:lvl>
  </w:abstractNum>
  <w:abstractNum w:abstractNumId="53">
    <w:nsid w:val="1816F8C4"/>
    <w:multiLevelType w:val="hybridMultilevel"/>
    <w:lvl w:ilvl="0">
      <w:lvlJc w:val="left"/>
      <w:lvlText w:val="+"/>
      <w:numFmt w:val="bullet"/>
      <w:start w:val="1"/>
    </w:lvl>
    <w:lvl w:ilvl="1">
      <w:lvlJc w:val="left"/>
      <w:lvlText w:val="%2"/>
      <w:numFmt w:val="decimal"/>
      <w:start w:val="104"/>
    </w:lvl>
  </w:abstractNum>
  <w:abstractNum w:abstractNumId="54">
    <w:nsid w:val="37DF2233"/>
    <w:multiLevelType w:val="hybridMultilevel"/>
    <w:lvl w:ilvl="0">
      <w:lvlJc w:val="left"/>
      <w:lvlText w:val="&amp;"/>
      <w:numFmt w:val="bullet"/>
      <w:start w:val="1"/>
    </w:lvl>
  </w:abstractNum>
  <w:abstractNum w:abstractNumId="55">
    <w:nsid w:val="7AB49DAF"/>
    <w:multiLevelType w:val="hybridMultilevel"/>
    <w:lvl w:ilvl="0">
      <w:lvlJc w:val="left"/>
      <w:lvlText w:val="%1."/>
      <w:numFmt w:val="decimal"/>
      <w:start w:val="1"/>
    </w:lvl>
  </w:abstractNum>
  <w:abstractNum w:abstractNumId="56">
    <w:nsid w:val="759F82CD"/>
    <w:multiLevelType w:val="hybridMultilevel"/>
    <w:lvl w:ilvl="0">
      <w:lvlJc w:val="left"/>
      <w:lvlText w:val="(%1)"/>
      <w:numFmt w:val="upperLetter"/>
      <w:start w:val="1"/>
    </w:lvl>
  </w:abstractNum>
  <w:abstractNum w:abstractNumId="57">
    <w:nsid w:val="61E74EA3"/>
    <w:multiLevelType w:val="hybridMultilevel"/>
    <w:lvl w:ilvl="0">
      <w:lvlJc w:val="left"/>
      <w:lvlText w:val="%1."/>
      <w:numFmt w:val="decimal"/>
      <w:start w:val="2"/>
    </w:lvl>
  </w:abstractNum>
  <w:abstractNum w:abstractNumId="58">
    <w:nsid w:val="597B4D84"/>
    <w:multiLevelType w:val="hybridMultilevel"/>
    <w:lvl w:ilvl="0">
      <w:lvlJc w:val="left"/>
      <w:lvlText w:val="(%1)"/>
      <w:numFmt w:val="lowerLetter"/>
      <w:start w:val="1"/>
    </w:lvl>
  </w:abstractNum>
  <w:abstractNum w:abstractNumId="59">
    <w:nsid w:val="F819E7F"/>
    <w:multiLevelType w:val="hybridMultilevel"/>
    <w:lvl w:ilvl="0">
      <w:lvlJc w:val="left"/>
      <w:lvlText w:val="(%1)"/>
      <w:numFmt w:val="lowerRoman"/>
      <w:start w:val="2"/>
    </w:lvl>
  </w:abstractNum>
  <w:abstractNum w:abstractNumId="60">
    <w:nsid w:val="57C7D42D"/>
    <w:multiLevelType w:val="hybridMultilevel"/>
    <w:lvl w:ilvl="0">
      <w:lvlJc w:val="left"/>
      <w:lvlText w:val="(%1)"/>
      <w:numFmt w:val="upperLetter"/>
      <w:start w:val="3"/>
    </w:lvl>
  </w:abstractNum>
  <w:abstractNum w:abstractNumId="61">
    <w:nsid w:val="312167AD"/>
    <w:multiLevelType w:val="hybridMultilevel"/>
    <w:lvl w:ilvl="0">
      <w:lvlJc w:val="left"/>
      <w:lvlText w:val="(%1)"/>
      <w:numFmt w:val="lowerLetter"/>
      <w:start w:val="2"/>
    </w:lvl>
  </w:abstractNum>
  <w:abstractNum w:abstractNumId="62">
    <w:nsid w:val="631B64D4"/>
    <w:multiLevelType w:val="hybridMultilevel"/>
    <w:lvl w:ilvl="0">
      <w:lvlJc w:val="left"/>
      <w:lvlText w:val="(%1)"/>
      <w:numFmt w:val="lowerLetter"/>
      <w:start w:val="4"/>
    </w:lvl>
  </w:abstractNum>
  <w:abstractNum w:abstractNumId="63">
    <w:nsid w:val="78B5E776"/>
    <w:multiLevelType w:val="hybridMultilevel"/>
    <w:lvl w:ilvl="0">
      <w:lvlJc w:val="left"/>
      <w:lvlText w:val="%1."/>
      <w:numFmt w:val="decimal"/>
      <w:start w:val="3"/>
    </w:lvl>
  </w:abstractNum>
  <w:abstractNum w:abstractNumId="64">
    <w:nsid w:val="75486E47"/>
    <w:multiLevelType w:val="hybridMultilevel"/>
    <w:lvl w:ilvl="0">
      <w:lvlJc w:val="left"/>
      <w:lvlText w:val="(%1)"/>
      <w:numFmt w:val="lowerLetter"/>
      <w:start w:val="1"/>
    </w:lvl>
  </w:abstractNum>
  <w:abstractNum w:abstractNumId="65">
    <w:nsid w:val="6E534CDE"/>
    <w:multiLevelType w:val="hybridMultilevel"/>
    <w:lvl w:ilvl="0">
      <w:lvlJc w:val="left"/>
      <w:lvlText w:val="(%1)"/>
      <w:numFmt w:val="lowerLetter"/>
      <w:start w:val="3"/>
    </w:lvl>
  </w:abstractNum>
  <w:abstractNum w:abstractNumId="66">
    <w:nsid w:val="1A0DDE32"/>
    <w:multiLevelType w:val="hybridMultilevel"/>
    <w:lvl w:ilvl="0">
      <w:lvlJc w:val="left"/>
      <w:lvlText w:val="(%1)"/>
      <w:numFmt w:val="lowerLetter"/>
      <w:start w:val="4"/>
    </w:lvl>
  </w:abstractNum>
  <w:abstractNum w:abstractNumId="67">
    <w:nsid w:val="65968C1C"/>
    <w:multiLevelType w:val="hybridMultilevel"/>
    <w:lvl w:ilvl="0">
      <w:lvlJc w:val="left"/>
      <w:lvlText w:val="(%1)"/>
      <w:numFmt w:val="lowerLetter"/>
      <w:start w:val="7"/>
    </w:lvl>
  </w:abstractNum>
  <w:abstractNum w:abstractNumId="68">
    <w:nsid w:val="46263DEC"/>
    <w:multiLevelType w:val="hybridMultilevel"/>
    <w:lvl w:ilvl="0">
      <w:lvlJc w:val="left"/>
      <w:lvlText w:val="(%1)"/>
      <w:numFmt w:val="lowerLetter"/>
      <w:start w:val="10"/>
    </w:lvl>
  </w:abstractNum>
  <w:abstractNum w:abstractNumId="69">
    <w:nsid w:val="260D8C4A"/>
    <w:multiLevelType w:val="hybridMultilevel"/>
    <w:lvl w:ilvl="0">
      <w:lvlJc w:val="left"/>
      <w:lvlText w:val="(%1)"/>
      <w:numFmt w:val="lowerLetter"/>
      <w:start w:val="11"/>
    </w:lvl>
  </w:abstractNum>
  <w:abstractNum w:abstractNumId="70">
    <w:nsid w:val="73D4D3C4"/>
    <w:multiLevelType w:val="hybridMultilevel"/>
    <w:lvl w:ilvl="0">
      <w:lvlJc w:val="left"/>
      <w:lvlText w:val="%1."/>
      <w:numFmt w:val="decimal"/>
      <w:start w:val="4"/>
    </w:lvl>
  </w:abstractNum>
  <w:abstractNum w:abstractNumId="71">
    <w:nsid w:val="746F2E30"/>
    <w:multiLevelType w:val="hybridMultilevel"/>
    <w:lvl w:ilvl="0">
      <w:lvlJc w:val="left"/>
      <w:lvlText w:val="(%1)"/>
      <w:numFmt w:val="lowerLetter"/>
      <w:start w:val="1"/>
    </w:lvl>
  </w:abstractNum>
  <w:abstractNum w:abstractNumId="72">
    <w:nsid w:val="6FDE8AF6"/>
    <w:multiLevelType w:val="hybridMultilevel"/>
    <w:lvl w:ilvl="0">
      <w:lvlJc w:val="left"/>
      <w:lvlText w:val="(%1)"/>
      <w:numFmt w:val="lowerLetter"/>
      <w:start w:val="2"/>
    </w:lvl>
  </w:abstractNum>
  <w:abstractNum w:abstractNumId="73">
    <w:nsid w:val="3FC32E20"/>
    <w:multiLevelType w:val="hybridMultilevel"/>
    <w:lvl w:ilvl="0">
      <w:lvlJc w:val="left"/>
      <w:lvlText w:val="(%1)"/>
      <w:numFmt w:val="lowerRoman"/>
      <w:start w:val="1"/>
    </w:lvl>
  </w:abstractNum>
  <w:abstractNum w:abstractNumId="74">
    <w:nsid w:val="49C0E823"/>
    <w:multiLevelType w:val="hybridMultilevel"/>
    <w:lvl w:ilvl="0">
      <w:lvlJc w:val="left"/>
      <w:lvlText w:val="%1"/>
      <w:numFmt w:val="upperLetter"/>
      <w:start w:val="1"/>
    </w:lvl>
    <w:lvl w:ilvl="1">
      <w:lvlJc w:val="left"/>
      <w:lvlText w:val="(%2)"/>
      <w:numFmt w:val="lowerLetter"/>
      <w:start w:val="3"/>
    </w:lvl>
  </w:abstractNum>
  <w:abstractNum w:abstractNumId="75">
    <w:nsid w:val="14D53685"/>
    <w:multiLevelType w:val="hybridMultilevel"/>
    <w:lvl w:ilvl="0">
      <w:lvlJc w:val="left"/>
      <w:lvlText w:val="(%1)"/>
      <w:numFmt w:val="upperLetter"/>
      <w:start w:val="2"/>
    </w:lvl>
    <w:lvl w:ilvl="1">
      <w:lvlJc w:val="left"/>
      <w:lvlText w:val="%2"/>
      <w:numFmt w:val="lowerLetter"/>
      <w:start w:val="1"/>
    </w:lvl>
  </w:abstractNum>
  <w:abstractNum w:abstractNumId="76">
    <w:nsid w:val="230F856C"/>
    <w:multiLevelType w:val="hybridMultilevel"/>
    <w:lvl w:ilvl="0">
      <w:lvlJc w:val="left"/>
      <w:lvlText w:val="(%1)"/>
      <w:numFmt w:val="lowerLetter"/>
      <w:start w:val="4"/>
    </w:lvl>
  </w:abstractNum>
  <w:abstractNum w:abstractNumId="77">
    <w:nsid w:val="6EAA85FB"/>
    <w:multiLevelType w:val="hybridMultilevel"/>
    <w:lvl w:ilvl="0">
      <w:lvlJc w:val="left"/>
      <w:lvlText w:val="(%1)"/>
      <w:numFmt w:val="lowerLetter"/>
      <w:start w:val="5"/>
    </w:lvl>
  </w:abstractNum>
  <w:abstractNum w:abstractNumId="78">
    <w:nsid w:val="3F06ECB2"/>
    <w:multiLevelType w:val="hybridMultilevel"/>
    <w:lvl w:ilvl="0">
      <w:lvlJc w:val="left"/>
      <w:lvlText w:val="%1."/>
      <w:numFmt w:val="decimal"/>
      <w:start w:val="6"/>
    </w:lvl>
  </w:abstractNum>
  <w:abstractNum w:abstractNumId="79">
    <w:nsid w:val="3B594807"/>
    <w:multiLevelType w:val="hybridMultilevel"/>
    <w:lvl w:ilvl="0">
      <w:lvlJc w:val="left"/>
      <w:lvlText w:val="%1."/>
      <w:numFmt w:val="decimal"/>
      <w:start w:val="7"/>
    </w:lvl>
  </w:abstractNum>
  <w:abstractNum w:abstractNumId="80">
    <w:nsid w:val="6CAA2304"/>
    <w:multiLevelType w:val="hybridMultilevel"/>
    <w:lvl w:ilvl="0">
      <w:lvlJc w:val="left"/>
      <w:lvlText w:val="(%1)"/>
      <w:numFmt w:val="lowerLetter"/>
      <w:start w:val="1"/>
    </w:lvl>
  </w:abstractNum>
  <w:abstractNum w:abstractNumId="81">
    <w:nsid w:val="3F7C2FF4"/>
    <w:multiLevelType w:val="hybridMultilevel"/>
    <w:lvl w:ilvl="0">
      <w:lvlJc w:val="left"/>
      <w:lvlText w:val="(%1)"/>
      <w:numFmt w:val="lowerLetter"/>
      <w:start w:val="2"/>
    </w:lvl>
  </w:abstractNum>
  <w:abstractNum w:abstractNumId="82">
    <w:nsid w:val="25413BEC"/>
    <w:multiLevelType w:val="hybridMultilevel"/>
    <w:lvl w:ilvl="0">
      <w:lvlJc w:val="left"/>
      <w:lvlText w:val="(%1)"/>
      <w:numFmt w:val="lowerLetter"/>
      <w:start w:val="4"/>
    </w:lvl>
  </w:abstractNum>
  <w:abstractNum w:abstractNumId="83">
    <w:nsid w:val="17180B0B"/>
    <w:multiLevelType w:val="hybridMultilevel"/>
    <w:lvl w:ilvl="0">
      <w:lvlJc w:val="left"/>
      <w:lvlText w:val="%1"/>
      <w:numFmt w:val="lowerRoman"/>
      <w:start w:val="1"/>
    </w:lvl>
    <w:lvl w:ilvl="1">
      <w:lvlJc w:val="left"/>
      <w:lvlText w:val="(%2)"/>
      <w:numFmt w:val="lowerLetter"/>
      <w:start w:val="7"/>
    </w:lvl>
  </w:abstractNum>
  <w:abstractNum w:abstractNumId="84">
    <w:nsid w:val="579328B9"/>
    <w:multiLevelType w:val="hybridMultilevel"/>
    <w:lvl w:ilvl="0">
      <w:lvlJc w:val="left"/>
      <w:lvlText w:val="(%1)"/>
      <w:numFmt w:val="lowerRoman"/>
      <w:start w:val="1"/>
    </w:lvl>
    <w:lvl w:ilvl="1">
      <w:lvlJc w:val="left"/>
      <w:lvlText w:val="(%2)"/>
      <w:numFmt w:val="lowerLetter"/>
      <w:start w:val="8"/>
    </w:lvl>
  </w:abstractNum>
  <w:abstractNum w:abstractNumId="85">
    <w:nsid w:val="5D205E20"/>
    <w:multiLevelType w:val="hybridMultilevel"/>
    <w:lvl w:ilvl="0">
      <w:lvlJc w:val="left"/>
      <w:lvlText w:val="(%1)"/>
      <w:numFmt w:val="lowerLetter"/>
      <w:start w:val="11"/>
    </w:lvl>
  </w:abstractNum>
  <w:abstractNum w:abstractNumId="86">
    <w:nsid w:val="11CCA8BA"/>
    <w:multiLevelType w:val="hybridMultilevel"/>
    <w:lvl w:ilvl="0">
      <w:lvlJc w:val="left"/>
      <w:lvlText w:val="(%1)"/>
      <w:numFmt w:val="lowerLetter"/>
      <w:start w:val="13"/>
    </w:lvl>
  </w:abstractNum>
  <w:abstractNum w:abstractNumId="87">
    <w:nsid w:val="4D32AB86"/>
    <w:multiLevelType w:val="hybridMultilevel"/>
    <w:lvl w:ilvl="0">
      <w:lvlJc w:val="left"/>
      <w:lvlText w:val="(%1)"/>
      <w:numFmt w:val="lowerLetter"/>
      <w:start w:val="14"/>
    </w:lvl>
  </w:abstractNum>
  <w:abstractNum w:abstractNumId="88">
    <w:nsid w:val="3F07ACC3"/>
    <w:multiLevelType w:val="hybridMultilevel"/>
    <w:lvl w:ilvl="0">
      <w:lvlJc w:val="left"/>
      <w:lvlText w:val="(%1)"/>
      <w:numFmt w:val="lowerLetter"/>
      <w:start w:val="1"/>
    </w:lvl>
  </w:abstractNum>
  <w:abstractNum w:abstractNumId="89">
    <w:nsid w:val="6B47F63E"/>
    <w:multiLevelType w:val="hybridMultilevel"/>
    <w:lvl w:ilvl="0">
      <w:lvlJc w:val="left"/>
      <w:lvlText w:val="(%1)"/>
      <w:numFmt w:val="lowerLetter"/>
      <w:start w:val="3"/>
    </w:lvl>
  </w:abstractNum>
  <w:abstractNum w:abstractNumId="90">
    <w:nsid w:val="5CB44A05"/>
    <w:multiLevelType w:val="hybridMultilevel"/>
    <w:lvl w:ilvl="0">
      <w:lvlJc w:val="left"/>
      <w:lvlText w:val="(%1)"/>
      <w:numFmt w:val="lowerLetter"/>
      <w:start w:val="1"/>
    </w:lvl>
  </w:abstractNum>
  <w:abstractNum w:abstractNumId="91">
    <w:nsid w:val="16CF80F1"/>
    <w:multiLevelType w:val="hybridMultilevel"/>
    <w:lvl w:ilvl="0">
      <w:lvlJc w:val="left"/>
      <w:lvlText w:val="(%1)"/>
      <w:numFmt w:val="lowerLetter"/>
      <w:start w:val="1"/>
    </w:lvl>
  </w:abstractNum>
  <w:abstractNum w:abstractNumId="92">
    <w:nsid w:val="1C695DEC"/>
    <w:multiLevelType w:val="hybridMultilevel"/>
    <w:lvl w:ilvl="0">
      <w:lvlJc w:val="left"/>
      <w:lvlText w:val="(%1)"/>
      <w:numFmt w:val="lowerLetter"/>
      <w:start w:val="1"/>
    </w:lvl>
  </w:abstractNum>
  <w:abstractNum w:abstractNumId="93">
    <w:nsid w:val="3FCFAED9"/>
    <w:multiLevelType w:val="hybridMultilevel"/>
    <w:lvl w:ilvl="0">
      <w:lvlJc w:val="left"/>
      <w:lvlText w:val="(%1)"/>
      <w:numFmt w:val="lowerLetter"/>
      <w:start w:val="3"/>
    </w:lvl>
  </w:abstractNum>
  <w:abstractNum w:abstractNumId="94">
    <w:nsid w:val="F856867"/>
    <w:multiLevelType w:val="hybridMultilevel"/>
    <w:lvl w:ilvl="0">
      <w:lvlJc w:val="left"/>
      <w:lvlText w:val="(%1)"/>
      <w:numFmt w:val="lowerLetter"/>
      <w:start w:val="1"/>
    </w:lvl>
  </w:abstractNum>
  <w:abstractNum w:abstractNumId="95">
    <w:nsid w:val="11B1CC33"/>
    <w:multiLevelType w:val="hybridMultilevel"/>
    <w:lvl w:ilvl="0">
      <w:lvlJc w:val="left"/>
      <w:lvlText w:val="•"/>
      <w:numFmt w:val="bullet"/>
      <w:start w:val="1"/>
    </w:lvl>
  </w:abstractNum>
  <w:abstractNum w:abstractNumId="96">
    <w:nsid w:val="2E22FBB7"/>
    <w:multiLevelType w:val="hybridMultilevel"/>
    <w:lvl w:ilvl="0">
      <w:lvlJc w:val="left"/>
      <w:lvlText w:val="•"/>
      <w:numFmt w:val="bullet"/>
      <w:start w:val="1"/>
    </w:lvl>
  </w:abstractNum>
  <w:abstractNum w:abstractNumId="97">
    <w:nsid w:val="29934699"/>
    <w:multiLevelType w:val="hybridMultilevel"/>
    <w:lvl w:ilvl="0">
      <w:lvlJc w:val="left"/>
      <w:lvlText w:val="&amp;"/>
      <w:numFmt w:val="bullet"/>
      <w:start w:val="1"/>
    </w:lvl>
  </w:abstractNum>
  <w:abstractNum w:abstractNumId="98">
    <w:nsid w:val="77485850"/>
    <w:multiLevelType w:val="hybridMultilevel"/>
    <w:lvl w:ilvl="0">
      <w:lvlJc w:val="left"/>
      <w:lvlText w:val="(%1)"/>
      <w:numFmt w:val="lowerLetter"/>
      <w:start w:val="1"/>
    </w:lvl>
  </w:abstractNum>
  <w:abstractNum w:abstractNumId="99">
    <w:nsid w:val="744939A3"/>
    <w:multiLevelType w:val="hybridMultilevel"/>
    <w:lvl w:ilvl="0">
      <w:lvlJc w:val="left"/>
      <w:lvlText w:val="%1"/>
      <w:numFmt w:val="lowerLetter"/>
      <w:start w:val="1"/>
    </w:lvl>
    <w:lvl w:ilvl="1">
      <w:lvlJc w:val="left"/>
      <w:lvlText w:val="(%2)"/>
      <w:numFmt w:val="lowerLetter"/>
      <w:start w:val="35"/>
    </w:lvl>
  </w:abstractNum>
  <w:abstractNum w:abstractNumId="100">
    <w:nsid w:val="4FA0D2E3"/>
    <w:multiLevelType w:val="hybridMultilevel"/>
    <w:lvl w:ilvl="0">
      <w:lvlJc w:val="left"/>
      <w:lvlText w:val="(%1)"/>
      <w:numFmt w:val="lowerLetter"/>
      <w:start w:val="2"/>
    </w:lvl>
    <w:lvl w:ilvl="1">
      <w:lvlJc w:val="left"/>
      <w:lvlText w:val="%2"/>
      <w:numFmt w:val="lowerLetter"/>
      <w:start w:val="1"/>
    </w:lvl>
  </w:abstractNum>
  <w:abstractNum w:abstractNumId="101">
    <w:nsid w:val="6B1D2C14"/>
    <w:multiLevelType w:val="hybridMultilevel"/>
    <w:lvl w:ilvl="0">
      <w:lvlJc w:val="left"/>
      <w:lvlText w:val="(%1)"/>
      <w:numFmt w:val="lowerRoman"/>
      <w:start w:val="2"/>
    </w:lvl>
  </w:abstractNum>
  <w:abstractNum w:abstractNumId="102">
    <w:nsid w:val="68B867D3"/>
    <w:multiLevelType w:val="hybridMultilevel"/>
    <w:lvl w:ilvl="0">
      <w:lvlJc w:val="left"/>
      <w:lvlText w:val="%1"/>
      <w:numFmt w:val="lowerLetter"/>
      <w:start w:val="1"/>
    </w:lvl>
    <w:lvl w:ilvl="1">
      <w:lvlJc w:val="left"/>
      <w:lvlText w:val="(%2)"/>
      <w:numFmt w:val="lowerLetter"/>
      <w:start w:val="1"/>
    </w:lvl>
  </w:abstractNum>
  <w:abstractNum w:abstractNumId="103">
    <w:nsid w:val="3F7F5DD9"/>
    <w:multiLevelType w:val="hybridMultilevel"/>
    <w:lvl w:ilvl="0">
      <w:lvlJc w:val="left"/>
      <w:lvlText w:val="(%1)"/>
      <w:numFmt w:val="lowerLetter"/>
      <w:start w:val="35"/>
    </w:lvl>
    <w:lvl w:ilvl="1">
      <w:lvlJc w:val="left"/>
      <w:lvlText w:val="%2"/>
      <w:numFmt w:val="lowerLetter"/>
      <w:start w:val="1"/>
    </w:lvl>
  </w:abstractNum>
  <w:abstractNum w:abstractNumId="104">
    <w:nsid w:val="2AE05A34"/>
    <w:multiLevelType w:val="hybridMultilevel"/>
    <w:lvl w:ilvl="0">
      <w:lvlJc w:val="left"/>
      <w:lvlText w:val="(%1)"/>
      <w:numFmt w:val="lowerLetter"/>
      <w:start w:val="2"/>
    </w:lvl>
  </w:abstractNum>
  <w:abstractNum w:abstractNumId="105">
    <w:nsid w:val="32794FF7"/>
    <w:multiLevelType w:val="hybridMultilevel"/>
    <w:lvl w:ilvl="0">
      <w:lvlJc w:val="left"/>
      <w:lvlText w:val="(%1)"/>
      <w:numFmt w:val="lowerLetter"/>
      <w:start w:val="3"/>
    </w:lvl>
  </w:abstractNum>
  <w:abstractNum w:abstractNumId="106">
    <w:nsid w:val="5454945E"/>
    <w:multiLevelType w:val="hybridMultilevel"/>
    <w:lvl w:ilvl="0">
      <w:lvlJc w:val="left"/>
      <w:lvlText w:val="%1"/>
      <w:numFmt w:val="lowerLetter"/>
      <w:start w:val="1"/>
    </w:lvl>
    <w:lvl w:ilvl="1">
      <w:lvlJc w:val="left"/>
      <w:lvlText w:val="(%2)"/>
      <w:numFmt w:val="lowerLetter"/>
      <w:start w:val="35"/>
    </w:lvl>
  </w:abstractNum>
  <w:abstractNum w:abstractNumId="107">
    <w:nsid w:val="4DEFDFA0"/>
    <w:multiLevelType w:val="hybridMultilevel"/>
    <w:lvl w:ilvl="0">
      <w:lvlJc w:val="left"/>
      <w:lvlText w:val="(%1)"/>
      <w:numFmt w:val="lowerLetter"/>
      <w:start w:val="3"/>
    </w:lvl>
    <w:lvl w:ilvl="1">
      <w:lvlJc w:val="left"/>
      <w:lvlText w:val="%2"/>
      <w:numFmt w:val="lowerLetter"/>
      <w:start w:val="1"/>
    </w:lvl>
  </w:abstractNum>
  <w:abstractNum w:abstractNumId="108">
    <w:nsid w:val="2123D5F2"/>
    <w:multiLevelType w:val="hybridMultilevel"/>
    <w:lvl w:ilvl="0">
      <w:lvlJc w:val="left"/>
      <w:lvlText w:val="%1"/>
      <w:numFmt w:val="lowerLetter"/>
      <w:start w:val="1"/>
    </w:lvl>
    <w:lvl w:ilvl="1">
      <w:lvlJc w:val="left"/>
      <w:lvlText w:val="(%2)"/>
      <w:numFmt w:val="lowerRoman"/>
      <w:start w:val="2"/>
    </w:lvl>
  </w:abstractNum>
  <w:abstractNum w:abstractNumId="109">
    <w:nsid w:val="135B8110"/>
    <w:multiLevelType w:val="hybridMultilevel"/>
    <w:lvl w:ilvl="0">
      <w:lvlJc w:val="left"/>
      <w:lvlText w:val="(%1)"/>
      <w:numFmt w:val="lowerLetter"/>
      <w:start w:val="4"/>
    </w:lvl>
    <w:lvl w:ilvl="1">
      <w:lvlJc w:val="left"/>
      <w:lvlText w:val="%2"/>
      <w:numFmt w:val="lowerRoman"/>
      <w:start w:val="1"/>
    </w:lvl>
  </w:abstractNum>
  <w:abstractNum w:abstractNumId="110">
    <w:nsid w:val="94927A8"/>
    <w:multiLevelType w:val="hybridMultilevel"/>
    <w:lvl w:ilvl="0">
      <w:lvlJc w:val="left"/>
      <w:lvlText w:val="(%1)"/>
      <w:numFmt w:val="lowerLetter"/>
      <w:start w:val="5"/>
    </w:lvl>
  </w:abstractNum>
  <w:abstractNum w:abstractNumId="111">
    <w:nsid w:val="DCDF8F6"/>
    <w:multiLevelType w:val="hybridMultilevel"/>
    <w:lvl w:ilvl="0">
      <w:lvlJc w:val="left"/>
      <w:lvlText w:val="%1"/>
      <w:numFmt w:val="lowerLetter"/>
      <w:start w:val="1"/>
    </w:lvl>
    <w:lvl w:ilvl="1">
      <w:lvlJc w:val="left"/>
      <w:lvlText w:val="(%2)"/>
      <w:numFmt w:val="lowerRoman"/>
      <w:start w:val="2"/>
    </w:lvl>
  </w:abstractNum>
  <w:abstractNum w:abstractNumId="112">
    <w:nsid w:val="52D7B105"/>
    <w:multiLevelType w:val="hybridMultilevel"/>
    <w:lvl w:ilvl="0">
      <w:lvlJc w:val="left"/>
      <w:lvlText w:val="(%1)"/>
      <w:numFmt w:val="lowerLetter"/>
      <w:start w:val="7"/>
    </w:lvl>
    <w:lvl w:ilvl="1">
      <w:lvlJc w:val="left"/>
      <w:lvlText w:val="%2"/>
      <w:numFmt w:val="lowerRoman"/>
      <w:start w:val="1"/>
    </w:lvl>
  </w:abstractNum>
  <w:abstractNum w:abstractNumId="113">
    <w:nsid w:val="2E8A6394"/>
    <w:multiLevelType w:val="hybridMultilevel"/>
    <w:lvl w:ilvl="0">
      <w:lvlJc w:val="left"/>
      <w:lvlText w:val="(%1)"/>
      <w:numFmt w:val="lowerLetter"/>
      <w:start w:val="8"/>
    </w:lvl>
  </w:abstractNum>
  <w:abstractNum w:abstractNumId="114">
    <w:nsid w:val="24E60401"/>
    <w:multiLevelType w:val="hybridMultilevel"/>
    <w:lvl w:ilvl="0">
      <w:lvlJc w:val="left"/>
      <w:lvlText w:val="(%1)"/>
      <w:numFmt w:val="lowerLetter"/>
      <w:start w:val="1"/>
    </w:lvl>
  </w:abstractNum>
  <w:abstractNum w:abstractNumId="115">
    <w:nsid w:val="2A6AD9BE"/>
    <w:multiLevelType w:val="hybridMultilevel"/>
    <w:lvl w:ilvl="0">
      <w:lvlJc w:val="left"/>
      <w:lvlText w:val="(%1)"/>
      <w:numFmt w:val="lowerLetter"/>
      <w:start w:val="2"/>
    </w:lvl>
  </w:abstractNum>
  <w:abstractNum w:abstractNumId="116">
    <w:nsid w:val="BAAC1B4"/>
    <w:multiLevelType w:val="hybridMultilevel"/>
    <w:lvl w:ilvl="0">
      <w:lvlJc w:val="left"/>
      <w:lvlText w:val="(%1)"/>
      <w:numFmt w:val="lowerRoman"/>
      <w:start w:val="10"/>
    </w:lvl>
    <w:lvl w:ilvl="1">
      <w:lvlJc w:val="left"/>
      <w:lvlText w:val="(%2)"/>
      <w:numFmt w:val="lowerRoman"/>
      <w:start w:val="2"/>
    </w:lvl>
    <w:lvl w:ilvl="2">
      <w:lvlJc w:val="left"/>
      <w:lvlText w:val="(%3)"/>
      <w:numFmt w:val="upperLetter"/>
      <w:start w:val="1"/>
    </w:lvl>
  </w:abstractNum>
  <w:abstractNum w:abstractNumId="117">
    <w:nsid w:val="36B2ACBC"/>
    <w:multiLevelType w:val="hybridMultilevel"/>
    <w:lvl w:ilvl="0">
      <w:lvlJc w:val="left"/>
      <w:lvlText w:val="(%1)"/>
      <w:numFmt w:val="lowerLetter"/>
      <w:start w:val="3"/>
    </w:lvl>
  </w:abstractNum>
  <w:abstractNum w:abstractNumId="118">
    <w:nsid w:val="779D8544"/>
    <w:multiLevelType w:val="hybridMultilevel"/>
    <w:lvl w:ilvl="0">
      <w:lvlJc w:val="left"/>
      <w:lvlText w:val="(%1)"/>
      <w:numFmt w:val="lowerRoman"/>
      <w:start w:val="2"/>
    </w:lvl>
  </w:abstractNum>
  <w:abstractNum w:abstractNumId="119">
    <w:nsid w:val="4AB26E78"/>
    <w:multiLevelType w:val="hybridMultilevel"/>
    <w:lvl w:ilvl="0">
      <w:lvlJc w:val="left"/>
      <w:lvlText w:val="(%1)"/>
      <w:numFmt w:val="lowerRoman"/>
      <w:start w:val="2"/>
    </w:lvl>
  </w:abstractNum>
  <w:abstractNum w:abstractNumId="120">
    <w:nsid w:val="21FAA2FA"/>
    <w:multiLevelType w:val="hybridMultilevel"/>
    <w:lvl w:ilvl="0">
      <w:lvlJc w:val="left"/>
      <w:lvlText w:val="(%1)"/>
      <w:numFmt w:val="decimal"/>
      <w:start w:val="10"/>
    </w:lvl>
  </w:abstractNum>
  <w:abstractNum w:abstractNumId="121">
    <w:nsid w:val="5451CF49"/>
    <w:multiLevelType w:val="hybridMultilevel"/>
    <w:lvl w:ilvl="0">
      <w:lvlJc w:val="left"/>
      <w:lvlText w:val="(%1)"/>
      <w:numFmt w:val="lowerRoman"/>
      <w:start w:val="2"/>
    </w:lvl>
  </w:abstractNum>
  <w:abstractNum w:abstractNumId="122">
    <w:nsid w:val="6181EF69"/>
    <w:multiLevelType w:val="hybridMultilevel"/>
    <w:lvl w:ilvl="0">
      <w:lvlJc w:val="left"/>
      <w:lvlText w:val="(%1)"/>
      <w:numFmt w:val="lowerLetter"/>
      <w:start w:val="1"/>
    </w:lvl>
  </w:abstractNum>
  <w:abstractNum w:abstractNumId="123">
    <w:nsid w:val="3E6400E6"/>
    <w:multiLevelType w:val="hybridMultilevel"/>
    <w:lvl w:ilvl="0">
      <w:lvlJc w:val="left"/>
      <w:lvlText w:val="(%1)"/>
      <w:numFmt w:val="lowerLetter"/>
      <w:start w:val="2"/>
    </w:lvl>
  </w:abstractNum>
  <w:abstractNum w:abstractNumId="124">
    <w:nsid w:val="14217E23"/>
    <w:multiLevelType w:val="hybridMultilevel"/>
    <w:lvl w:ilvl="0">
      <w:lvlJc w:val="left"/>
      <w:lvlText w:val="(%1)"/>
      <w:numFmt w:val="lowerLetter"/>
      <w:start w:val="1"/>
    </w:lvl>
  </w:abstractNum>
  <w:abstractNum w:abstractNumId="125">
    <w:nsid w:val="710757D0"/>
    <w:multiLevelType w:val="hybridMultilevel"/>
    <w:lvl w:ilvl="0">
      <w:lvlJc w:val="left"/>
      <w:lvlText w:val="(%1)"/>
      <w:numFmt w:val="lowerLetter"/>
      <w:start w:val="3"/>
    </w:lvl>
  </w:abstractNum>
  <w:abstractNum w:abstractNumId="126">
    <w:nsid w:val="5015CD1A"/>
    <w:multiLevelType w:val="hybridMultilevel"/>
    <w:lvl w:ilvl="0">
      <w:lvlJc w:val="left"/>
      <w:lvlText w:val="(%1)"/>
      <w:numFmt w:val="lowerLetter"/>
      <w:start w:val="1"/>
    </w:lvl>
  </w:abstractNum>
  <w:abstractNum w:abstractNumId="127">
    <w:nsid w:val="424479DA"/>
    <w:multiLevelType w:val="hybridMultilevel"/>
    <w:lvl w:ilvl="0">
      <w:lvlJc w:val="left"/>
      <w:lvlText w:val="(%1)"/>
      <w:numFmt w:val="lowerRoman"/>
      <w:start w:val="2"/>
    </w:lvl>
  </w:abstractNum>
  <w:abstractNum w:abstractNumId="128">
    <w:nsid w:val="1A9A9E69"/>
    <w:multiLevelType w:val="hybridMultilevel"/>
    <w:lvl w:ilvl="0">
      <w:lvlJc w:val="left"/>
      <w:lvlText w:val="%1"/>
      <w:numFmt w:val="decimal"/>
      <w:start w:val="1"/>
    </w:lvl>
    <w:lvl w:ilvl="1">
      <w:lvlJc w:val="left"/>
      <w:lvlText w:val="(%2)"/>
      <w:numFmt w:val="lowerRoman"/>
      <w:start w:val="3"/>
    </w:lvl>
  </w:abstractNum>
  <w:abstractNum w:abstractNumId="129">
    <w:nsid w:val="475E256A"/>
    <w:multiLevelType w:val="hybridMultilevel"/>
    <w:lvl w:ilvl="0">
      <w:lvlJc w:val="left"/>
      <w:lvlText w:val="(%1)"/>
      <w:numFmt w:val="decimal"/>
      <w:start w:val="10"/>
    </w:lvl>
    <w:lvl w:ilvl="1">
      <w:lvlJc w:val="left"/>
      <w:lvlText w:val="(%2)"/>
      <w:numFmt w:val="lowerRoman"/>
      <w:start w:val="4"/>
    </w:lvl>
  </w:abstractNum>
  <w:abstractNum w:abstractNumId="130">
    <w:nsid w:val="368DB37E"/>
    <w:multiLevelType w:val="hybridMultilevel"/>
    <w:lvl w:ilvl="0">
      <w:lvlJc w:val="left"/>
      <w:lvlText w:val="(%1)"/>
      <w:numFmt w:val="lowerLetter"/>
      <w:start w:val="2"/>
    </w:lvl>
  </w:abstractNum>
  <w:abstractNum w:abstractNumId="131">
    <w:nsid w:val="6A3B714C"/>
    <w:multiLevelType w:val="hybridMultilevel"/>
    <w:lvl w:ilvl="0">
      <w:lvlJc w:val="left"/>
      <w:lvlText w:val="(%1)"/>
      <w:numFmt w:val="lowerRoman"/>
      <w:start w:val="2"/>
    </w:lvl>
  </w:abstractNum>
  <w:abstractNum w:abstractNumId="132">
    <w:nsid w:val="327B517E"/>
    <w:multiLevelType w:val="hybridMultilevel"/>
    <w:lvl w:ilvl="0">
      <w:lvlJc w:val="left"/>
      <w:lvlText w:val="(%1)"/>
      <w:numFmt w:val="lowerRoman"/>
      <w:start w:val="3"/>
    </w:lvl>
  </w:abstractNum>
  <w:abstractNum w:abstractNumId="133">
    <w:nsid w:val="1F461B51"/>
    <w:multiLevelType w:val="hybridMultilevel"/>
    <w:lvl w:ilvl="0">
      <w:lvlJc w:val="left"/>
      <w:lvlText w:val="%1"/>
      <w:numFmt w:val="lowerLetter"/>
      <w:start w:val="1"/>
    </w:lvl>
    <w:lvl w:ilvl="1">
      <w:lvlJc w:val="left"/>
      <w:lvlText w:val="(%2)"/>
      <w:numFmt w:val="lowerLetter"/>
      <w:start w:val="1"/>
    </w:lvl>
  </w:abstractNum>
  <w:abstractNum w:abstractNumId="134">
    <w:nsid w:val="29BACF25"/>
    <w:multiLevelType w:val="hybridMultilevel"/>
    <w:lvl w:ilvl="0">
      <w:lvlJc w:val="left"/>
      <w:lvlText w:val="(%1)"/>
      <w:numFmt w:val="lowerLetter"/>
      <w:start w:val="35"/>
    </w:lvl>
    <w:lvl w:ilvl="1">
      <w:lvlJc w:val="left"/>
      <w:lvlText w:val="%2"/>
      <w:numFmt w:val="lowerLetter"/>
      <w:start w:val="1"/>
    </w:lvl>
  </w:abstractNum>
  <w:abstractNum w:abstractNumId="135">
    <w:nsid w:val="5D5BABB3"/>
    <w:multiLevelType w:val="hybridMultilevel"/>
    <w:lvl w:ilvl="0">
      <w:lvlJc w:val="left"/>
      <w:lvlText w:val="("/>
      <w:numFmt w:val="bullet"/>
      <w:start w:val="1"/>
    </w:lvl>
  </w:abstractNum>
  <w:abstractNum w:abstractNumId="136">
    <w:nsid w:val="51BF6B48"/>
    <w:multiLevelType w:val="hybridMultilevel"/>
    <w:lvl w:ilvl="0">
      <w:lvlJc w:val="left"/>
      <w:lvlText w:val="("/>
      <w:numFmt w:val="bullet"/>
      <w:start w:val="1"/>
    </w:lvl>
  </w:abstractNum>
  <w:abstractNum w:abstractNumId="137">
    <w:nsid w:val="7E0F6384"/>
    <w:multiLevelType w:val="hybridMultilevel"/>
    <w:lvl w:ilvl="0">
      <w:lvlJc w:val="left"/>
      <w:lvlText w:val="("/>
      <w:numFmt w:val="bullet"/>
      <w:start w:val="1"/>
    </w:lvl>
  </w:abstractNum>
  <w:abstractNum w:abstractNumId="138">
    <w:nsid w:val="2B4B8B53"/>
    <w:multiLevelType w:val="hybridMultilevel"/>
    <w:lvl w:ilvl="0">
      <w:lvlJc w:val="left"/>
      <w:lvlText w:val="(%1)"/>
      <w:numFmt w:val="lowerLetter"/>
      <w:start w:val="1"/>
    </w:lvl>
  </w:abstractNum>
  <w:abstractNum w:abstractNumId="139">
    <w:nsid w:val="72E3413A"/>
    <w:multiLevelType w:val="hybridMultilevel"/>
    <w:lvl w:ilvl="0">
      <w:lvlJc w:val="left"/>
      <w:lvlText w:val="(%1)"/>
      <w:numFmt w:val="decimal"/>
      <w:start w:val="5"/>
    </w:lvl>
  </w:abstractNum>
  <w:abstractNum w:abstractNumId="140">
    <w:nsid w:val="116AE494"/>
    <w:multiLevelType w:val="hybridMultilevel"/>
    <w:lvl w:ilvl="0">
      <w:lvlJc w:val="left"/>
      <w:lvlText w:val="(%1)"/>
      <w:numFmt w:val="lowerLetter"/>
      <w:start w:val="1"/>
    </w:lvl>
  </w:abstractNum>
  <w:abstractNum w:abstractNumId="141">
    <w:nsid w:val="3494B2FB"/>
    <w:multiLevelType w:val="hybridMultilevel"/>
    <w:lvl w:ilvl="0">
      <w:lvlJc w:val="left"/>
      <w:lvlText w:val="(%1)"/>
      <w:numFmt w:val="lowerRoman"/>
      <w:start w:val="6"/>
    </w:lvl>
  </w:abstractNum>
  <w:abstractNum w:abstractNumId="142">
    <w:nsid w:val="B13A31"/>
    <w:multiLevelType w:val="hybridMultilevel"/>
    <w:lvl w:ilvl="0">
      <w:lvlJc w:val="left"/>
      <w:lvlText w:val="(%1)"/>
      <w:numFmt w:val="lowerLetter"/>
      <w:start w:val="1"/>
    </w:lvl>
  </w:abstractNum>
  <w:abstractNum w:abstractNumId="143">
    <w:nsid w:val="64429599"/>
    <w:multiLevelType w:val="hybridMultilevel"/>
    <w:lvl w:ilvl="0">
      <w:lvlJc w:val="left"/>
      <w:lvlText w:val="(%1)"/>
      <w:numFmt w:val="lowerLetter"/>
      <w:start w:val="3"/>
    </w:lvl>
  </w:abstractNum>
  <w:abstractNum w:abstractNumId="144">
    <w:nsid w:val="631F1690"/>
    <w:multiLevelType w:val="hybridMultilevel"/>
    <w:lvl w:ilvl="0">
      <w:lvlJc w:val="left"/>
      <w:lvlText w:val="%1"/>
      <w:numFmt w:val="lowerLetter"/>
      <w:start w:val="1"/>
    </w:lvl>
    <w:lvl w:ilvl="1">
      <w:lvlJc w:val="left"/>
      <w:lvlText w:val="(%2)"/>
      <w:numFmt w:val="lowerLetter"/>
      <w:start w:val="1"/>
    </w:lvl>
  </w:abstractNum>
  <w:abstractNum w:abstractNumId="145">
    <w:nsid w:val="25973E32"/>
    <w:multiLevelType w:val="hybridMultilevel"/>
    <w:lvl w:ilvl="0">
      <w:lvlJc w:val="left"/>
      <w:lvlText w:val="(%1)"/>
      <w:numFmt w:val="lowerLetter"/>
      <w:start w:val="35"/>
    </w:lvl>
    <w:lvl w:ilvl="1">
      <w:lvlJc w:val="left"/>
      <w:lvlText w:val="%2"/>
      <w:numFmt w:val="lowerLetter"/>
      <w:start w:val="1"/>
    </w:lvl>
  </w:abstractNum>
  <w:abstractNum w:abstractNumId="146">
    <w:nsid w:val="EAD6F57"/>
    <w:multiLevelType w:val="hybridMultilevel"/>
    <w:lvl w:ilvl="0">
      <w:lvlJc w:val="left"/>
      <w:lvlText w:val="(%1)"/>
      <w:numFmt w:val="lowerLetter"/>
      <w:start w:val="3"/>
    </w:lvl>
  </w:abstractNum>
  <w:abstractNum w:abstractNumId="147">
    <w:nsid w:val="6EC9D844"/>
    <w:multiLevelType w:val="hybridMultilevel"/>
    <w:lvl w:ilvl="0">
      <w:lvlJc w:val="left"/>
      <w:lvlText w:val="(%1)"/>
      <w:numFmt w:val="lowerLetter"/>
      <w:start w:val="1"/>
    </w:lvl>
  </w:abstractNum>
  <w:abstractNum w:abstractNumId="148">
    <w:nsid w:val="5C49EAEE"/>
    <w:multiLevelType w:val="hybridMultilevel"/>
    <w:lvl w:ilvl="0">
      <w:lvlJc w:val="left"/>
      <w:lvlText w:val="(%1)"/>
      <w:numFmt w:val="lowerLetter"/>
      <w:start w:val="1"/>
    </w:lvl>
  </w:abstractNum>
  <w:abstractNum w:abstractNumId="149">
    <w:nsid w:val="64AF49B"/>
    <w:multiLevelType w:val="hybridMultilevel"/>
    <w:lvl w:ilvl="0">
      <w:lvlJc w:val="left"/>
      <w:lvlText w:val="(%1)"/>
      <w:numFmt w:val="lowerLetter"/>
      <w:start w:val="3"/>
    </w:lvl>
  </w:abstractNum>
  <w:abstractNum w:abstractNumId="150">
    <w:nsid w:val="397C46BC"/>
    <w:multiLevelType w:val="hybridMultilevel"/>
    <w:lvl w:ilvl="0">
      <w:lvlJc w:val="left"/>
      <w:lvlText w:val="(%1)"/>
      <w:numFmt w:val="lowerLetter"/>
      <w:start w:val="1"/>
    </w:lvl>
    <w:lvl w:ilvl="1">
      <w:lvlJc w:val="left"/>
      <w:lvlText w:val="(%2)"/>
      <w:numFmt w:val="lowerRoman"/>
      <w:start w:val="1"/>
    </w:lvl>
  </w:abstractNum>
  <w:abstractNum w:abstractNumId="151">
    <w:nsid w:val="7E448DE9"/>
    <w:multiLevelType w:val="hybridMultilevel"/>
    <w:lvl w:ilvl="0">
      <w:lvlJc w:val="left"/>
      <w:lvlText w:val="(%1)"/>
      <w:numFmt w:val="lowerLetter"/>
      <w:start w:val="4"/>
    </w:lvl>
  </w:abstractNum>
  <w:abstractNum w:abstractNumId="152">
    <w:nsid w:val="5A9CC3E5"/>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53">
    <w:nsid w:val="1AFE3625"/>
    <w:multiLevelType w:val="hybridMultilevel"/>
    <w:lvl w:ilvl="0">
      <w:lvlJc w:val="left"/>
      <w:lvlText w:val="%1"/>
      <w:numFmt w:val="upperLetter"/>
      <w:start w:val="1"/>
    </w:lvl>
    <w:lvl w:ilvl="1">
      <w:lvlJc w:val="left"/>
      <w:lvlText w:val="(%2)"/>
      <w:numFmt w:val="decimal"/>
      <w:start w:val="2"/>
    </w:lvl>
  </w:abstractNum>
  <w:abstractNum w:abstractNumId="154">
    <w:nsid w:val="3CA88ECF"/>
    <w:multiLevelType w:val="hybridMultilevel"/>
    <w:lvl w:ilvl="0">
      <w:lvlJc w:val="left"/>
      <w:lvlText w:val="(%1)"/>
      <w:numFmt w:val="upperLetter"/>
      <w:start w:val="3"/>
    </w:lvl>
    <w:lvl w:ilvl="1">
      <w:lvlJc w:val="left"/>
      <w:lvlText w:val="%2"/>
      <w:numFmt w:val="decimal"/>
      <w:start w:val="1"/>
    </w:lvl>
  </w:abstractNum>
  <w:abstractNum w:abstractNumId="155">
    <w:nsid w:val="6EBE4208"/>
    <w:multiLevelType w:val="hybridMultilevel"/>
    <w:lvl w:ilvl="0">
      <w:lvlJc w:val="left"/>
      <w:lvlText w:val="(%1)"/>
      <w:numFmt w:val="upperLetter"/>
      <w:start w:val="4"/>
    </w:lvl>
  </w:abstractNum>
  <w:abstractNum w:abstractNumId="156">
    <w:nsid w:val="C058DF5"/>
    <w:multiLevelType w:val="hybridMultilevel"/>
    <w:lvl w:ilvl="0">
      <w:lvlJc w:val="left"/>
      <w:lvlText w:val="(%1)"/>
      <w:numFmt w:val="lowerLetter"/>
      <w:start w:val="8"/>
    </w:lvl>
  </w:abstractNum>
  <w:abstractNum w:abstractNumId="157">
    <w:nsid w:val="CBE5BE9"/>
    <w:multiLevelType w:val="hybridMultilevel"/>
    <w:lvl w:ilvl="0">
      <w:lvlJc w:val="left"/>
      <w:lvlText w:val="(%1)"/>
      <w:numFmt w:val="lowerLetter"/>
      <w:start w:val="1"/>
    </w:lvl>
  </w:abstractNum>
  <w:abstractNum w:abstractNumId="158">
    <w:nsid w:val="3102BBE2"/>
    <w:multiLevelType w:val="hybridMultilevel"/>
    <w:lvl w:ilvl="0">
      <w:lvlJc w:val="left"/>
      <w:lvlText w:val="(%1)"/>
      <w:numFmt w:val="lowerLetter"/>
      <w:start w:val="5"/>
    </w:lvl>
    <w:lvl w:ilvl="1">
      <w:lvlJc w:val="left"/>
      <w:lvlText w:val="(%2)"/>
      <w:numFmt w:val="lowerRoman"/>
      <w:start w:val="1"/>
    </w:lvl>
  </w:abstractNum>
  <w:abstractNum w:abstractNumId="159">
    <w:nsid w:val="26A02C5E"/>
    <w:multiLevelType w:val="hybridMultilevel"/>
    <w:lvl w:ilvl="0">
      <w:lvlJc w:val="left"/>
      <w:lvlText w:val="(%1)"/>
      <w:numFmt w:val="lowerLetter"/>
      <w:start w:val="1"/>
    </w:lvl>
  </w:abstractNum>
  <w:abstractNum w:abstractNumId="160">
    <w:nsid w:val="541C8153"/>
    <w:multiLevelType w:val="hybridMultilevel"/>
    <w:lvl w:ilvl="0">
      <w:lvlJc w:val="left"/>
      <w:lvlText w:val="(%1)"/>
      <w:numFmt w:val="lowerLetter"/>
      <w:start w:val="1"/>
    </w:lvl>
  </w:abstractNum>
  <w:abstractNum w:abstractNumId="161">
    <w:nsid w:val="67906F60"/>
    <w:multiLevelType w:val="hybridMultilevel"/>
    <w:lvl w:ilvl="0">
      <w:lvlJc w:val="left"/>
      <w:lvlText w:val="(%1)"/>
      <w:numFmt w:val="lowerLetter"/>
      <w:start w:val="1"/>
    </w:lvl>
  </w:abstractNum>
  <w:abstractNum w:abstractNumId="162">
    <w:nsid w:val="10DB9DAA"/>
    <w:multiLevelType w:val="hybridMultilevel"/>
    <w:lvl w:ilvl="0">
      <w:lvlJc w:val="left"/>
      <w:lvlText w:val="(%1)"/>
      <w:numFmt w:val="lowerLetter"/>
      <w:start w:val="1"/>
    </w:lvl>
  </w:abstractNum>
  <w:abstractNum w:abstractNumId="163">
    <w:nsid w:val="697D2D2"/>
    <w:multiLevelType w:val="hybridMultilevel"/>
    <w:lvl w:ilvl="0">
      <w:lvlJc w:val="left"/>
      <w:lvlText w:val="(%1)"/>
      <w:numFmt w:val="lowerLetter"/>
      <w:start w:val="1"/>
    </w:lvl>
  </w:abstractNum>
  <w:abstractNum w:abstractNumId="164">
    <w:nsid w:val="6D68AB2"/>
    <w:multiLevelType w:val="hybridMultilevel"/>
    <w:lvl w:ilvl="0">
      <w:lvlJc w:val="left"/>
      <w:lvlText w:val="(%1)"/>
      <w:numFmt w:val="lowerLetter"/>
      <w:start w:val="1"/>
    </w:lvl>
  </w:abstractNum>
  <w:abstractNum w:abstractNumId="165">
    <w:nsid w:val="3A966CD0"/>
    <w:multiLevelType w:val="hybridMultilevel"/>
    <w:lvl w:ilvl="0">
      <w:lvlJc w:val="left"/>
      <w:lvlText w:val="(%1)"/>
      <w:numFmt w:val="lowerLetter"/>
      <w:start w:val="1"/>
    </w:lvl>
  </w:abstractNum>
  <w:abstractNum w:abstractNumId="166">
    <w:nsid w:val="63F37E85"/>
    <w:multiLevelType w:val="hybridMultilevel"/>
    <w:lvl w:ilvl="0">
      <w:lvlJc w:val="left"/>
      <w:lvlText w:val="(%1)"/>
      <w:numFmt w:val="lowerLetter"/>
      <w:start w:val="2"/>
    </w:lvl>
  </w:abstractNum>
  <w:abstractNum w:abstractNumId="167">
    <w:nsid w:val="5895F5FA"/>
    <w:multiLevelType w:val="hybridMultilevel"/>
    <w:lvl w:ilvl="0">
      <w:lvlJc w:val="left"/>
      <w:lvlText w:val="(%1)"/>
      <w:numFmt w:val="lowerLetter"/>
      <w:start w:val="1"/>
    </w:lvl>
  </w:abstractNum>
  <w:abstractNum w:abstractNumId="168">
    <w:nsid w:val="38A5D054"/>
    <w:multiLevelType w:val="hybridMultilevel"/>
    <w:lvl w:ilvl="0">
      <w:lvlJc w:val="left"/>
      <w:lvlText w:val="(%1)"/>
      <w:numFmt w:val="lowerLetter"/>
      <w:start w:val="3"/>
    </w:lvl>
  </w:abstractNum>
  <w:abstractNum w:abstractNumId="169">
    <w:nsid w:val="F3F09D8"/>
    <w:multiLevelType w:val="hybridMultilevel"/>
    <w:lvl w:ilvl="0">
      <w:lvlJc w:val="left"/>
      <w:lvlText w:val="(%1)"/>
      <w:numFmt w:val="lowerLetter"/>
      <w:start w:val="1"/>
    </w:lvl>
  </w:abstractNum>
  <w:abstractNum w:abstractNumId="170">
    <w:nsid w:val="4B793735"/>
    <w:multiLevelType w:val="hybridMultilevel"/>
    <w:lvl w:ilvl="0">
      <w:lvlJc w:val="left"/>
      <w:lvlText w:val="(%1)"/>
      <w:numFmt w:val="lowerLetter"/>
      <w:start w:val="4"/>
    </w:lvl>
  </w:abstractNum>
  <w:abstractNum w:abstractNumId="171">
    <w:nsid w:val="4A10B4E8"/>
    <w:multiLevelType w:val="hybridMultilevel"/>
    <w:lvl w:ilvl="0">
      <w:lvlJc w:val="left"/>
      <w:lvlText w:val="(%1)"/>
      <w:numFmt w:val="lowerLetter"/>
      <w:start w:val="11"/>
    </w:lvl>
  </w:abstractNum>
  <w:abstractNum w:abstractNumId="172">
    <w:nsid w:val="43D3BCD4"/>
    <w:multiLevelType w:val="hybridMultilevel"/>
    <w:lvl w:ilvl="0">
      <w:lvlJc w:val="left"/>
      <w:lvlText w:val="(%1)"/>
      <w:numFmt w:val="lowerLetter"/>
      <w:start w:val="1"/>
    </w:lvl>
  </w:abstractNum>
  <w:abstractNum w:abstractNumId="173">
    <w:nsid w:val="4C2A7166"/>
    <w:multiLevelType w:val="hybridMultilevel"/>
    <w:lvl w:ilvl="0">
      <w:lvlJc w:val="left"/>
      <w:lvlText w:val="(%1)"/>
      <w:numFmt w:val="lowerLetter"/>
      <w:start w:val="1"/>
    </w:lvl>
  </w:abstractNum>
  <w:abstractNum w:abstractNumId="174">
    <w:nsid w:val="2E534A82"/>
    <w:multiLevelType w:val="hybridMultilevel"/>
    <w:lvl w:ilvl="0">
      <w:lvlJc w:val="left"/>
      <w:lvlText w:val="(%1)"/>
      <w:numFmt w:val="lowerLetter"/>
      <w:start w:val="3"/>
    </w:lvl>
  </w:abstractNum>
  <w:abstractNum w:abstractNumId="175">
    <w:nsid w:val="26F2D364"/>
    <w:multiLevelType w:val="hybridMultilevel"/>
    <w:lvl w:ilvl="0">
      <w:lvlJc w:val="left"/>
      <w:lvlText w:val="(%1)"/>
      <w:numFmt w:val="lowerLetter"/>
      <w:start w:val="6"/>
    </w:lvl>
  </w:abstractNum>
  <w:abstractNum w:abstractNumId="176">
    <w:nsid w:val="71C1AF98"/>
    <w:multiLevelType w:val="hybridMultilevel"/>
    <w:lvl w:ilvl="0">
      <w:lvlJc w:val="left"/>
      <w:lvlText w:val="(%1)"/>
      <w:numFmt w:val="lowerLetter"/>
      <w:start w:val="10"/>
    </w:lvl>
  </w:abstractNum>
  <w:abstractNum w:abstractNumId="177">
    <w:nsid w:val="3D00B9D9"/>
    <w:multiLevelType w:val="hybridMultilevel"/>
    <w:lvl w:ilvl="0">
      <w:lvlJc w:val="left"/>
      <w:lvlText w:val="(%1)"/>
      <w:numFmt w:val="lowerLetter"/>
      <w:start w:val="12"/>
    </w:lvl>
  </w:abstractNum>
  <w:abstractNum w:abstractNumId="178">
    <w:nsid w:val="15BCABA8"/>
    <w:multiLevelType w:val="hybridMultilevel"/>
    <w:lvl w:ilvl="0">
      <w:lvlJc w:val="left"/>
      <w:lvlText w:val="%1"/>
      <w:numFmt w:val="lowerLetter"/>
      <w:start w:val="1"/>
    </w:lvl>
    <w:lvl w:ilvl="1">
      <w:lvlJc w:val="left"/>
      <w:lvlText w:val="(%2)"/>
      <w:numFmt w:val="lowerLetter"/>
      <w:start w:val="1"/>
    </w:lvl>
  </w:abstractNum>
  <w:abstractNum w:abstractNumId="179">
    <w:nsid w:val="4E0B9A87"/>
    <w:multiLevelType w:val="hybridMultilevel"/>
    <w:lvl w:ilvl="0">
      <w:lvlJc w:val="left"/>
      <w:lvlText w:val="(%1)"/>
      <w:numFmt w:val="lowerLetter"/>
      <w:start w:val="61"/>
    </w:lvl>
    <w:lvl w:ilvl="1">
      <w:lvlJc w:val="left"/>
      <w:lvlText w:val="(%2)"/>
      <w:numFmt w:val="lowerLetter"/>
      <w:start w:val="3"/>
    </w:lvl>
  </w:abstractNum>
  <w:abstractNum w:abstractNumId="180">
    <w:nsid w:val="434BAE75"/>
    <w:multiLevelType w:val="hybridMultilevel"/>
    <w:lvl w:ilvl="0">
      <w:lvlJc w:val="left"/>
      <w:lvlText w:val="(%1)"/>
      <w:numFmt w:val="lowerLetter"/>
      <w:start w:val="4"/>
    </w:lvl>
  </w:abstractNum>
  <w:abstractNum w:abstractNumId="181">
    <w:nsid w:val="4F38F265"/>
    <w:multiLevelType w:val="hybridMultilevel"/>
    <w:lvl w:ilvl="0">
      <w:lvlJc w:val="left"/>
      <w:lvlText w:val="(%1)"/>
      <w:numFmt w:val="lowerLetter"/>
      <w:start w:val="1"/>
    </w:lvl>
  </w:abstractNum>
  <w:abstractNum w:abstractNumId="182">
    <w:nsid w:val="4C502870"/>
    <w:multiLevelType w:val="hybridMultilevel"/>
    <w:lvl w:ilvl="0">
      <w:lvlJc w:val="left"/>
      <w:lvlText w:val="(%1)"/>
      <w:numFmt w:val="lowerLetter"/>
      <w:start w:val="2"/>
    </w:lvl>
  </w:abstractNum>
  <w:abstractNum w:abstractNumId="183">
    <w:nsid w:val="1DE8725A"/>
    <w:multiLevelType w:val="hybridMultilevel"/>
    <w:lvl w:ilvl="0">
      <w:lvlJc w:val="left"/>
      <w:lvlText w:val="(%1)"/>
      <w:numFmt w:val="lowerLetter"/>
      <w:start w:val="5"/>
    </w:lvl>
  </w:abstractNum>
  <w:abstractNum w:abstractNumId="184">
    <w:nsid w:val="6A37288A"/>
    <w:multiLevelType w:val="hybridMultilevel"/>
    <w:lvl w:ilvl="0">
      <w:lvlJc w:val="left"/>
      <w:lvlText w:val="(%1)"/>
      <w:numFmt w:val="lowerLetter"/>
      <w:start w:val="11"/>
    </w:lvl>
  </w:abstractNum>
  <w:abstractNum w:abstractNumId="185">
    <w:nsid w:val="8F8B73F"/>
    <w:multiLevelType w:val="hybridMultilevel"/>
    <w:lvl w:ilvl="0">
      <w:lvlJc w:val="left"/>
      <w:lvlText w:val="(%1)"/>
      <w:numFmt w:val="lowerLetter"/>
      <w:start w:val="1"/>
    </w:lvl>
  </w:abstractNum>
  <w:abstractNum w:abstractNumId="186">
    <w:nsid w:val="CA6B462"/>
    <w:multiLevelType w:val="hybridMultilevel"/>
    <w:lvl w:ilvl="0">
      <w:lvlJc w:val="left"/>
      <w:lvlText w:val="%1"/>
      <w:numFmt w:val="lowerRoman"/>
      <w:start w:val="1"/>
    </w:lvl>
    <w:lvl w:ilvl="1">
      <w:lvlJc w:val="left"/>
      <w:lvlText w:val="(%2)"/>
      <w:numFmt w:val="lowerLetter"/>
      <w:start w:val="1"/>
    </w:lvl>
  </w:abstractNum>
  <w:abstractNum w:abstractNumId="187">
    <w:nsid w:val="763CB680"/>
    <w:multiLevelType w:val="hybridMultilevel"/>
    <w:lvl w:ilvl="0">
      <w:lvlJc w:val="left"/>
      <w:lvlText w:val="(%1)"/>
      <w:numFmt w:val="lowerRoman"/>
      <w:start w:val="4"/>
    </w:lvl>
    <w:lvl w:ilvl="1">
      <w:lvlJc w:val="left"/>
      <w:lvlText w:val="%2"/>
      <w:numFmt w:val="lowerLetter"/>
      <w:start w:val="1"/>
    </w:lvl>
  </w:abstractNum>
  <w:abstractNum w:abstractNumId="188">
    <w:nsid w:val="15B71329"/>
    <w:multiLevelType w:val="hybridMultilevel"/>
    <w:lvl w:ilvl="0">
      <w:lvlJc w:val="left"/>
      <w:lvlText w:val="(%1)"/>
      <w:numFmt w:val="lowerLetter"/>
      <w:start w:val="2"/>
    </w:lvl>
    <w:lvl w:ilvl="1">
      <w:lvlJc w:val="left"/>
      <w:lvlText w:val="(%2)"/>
      <w:numFmt w:val="lowerRoman"/>
      <w:start w:val="1"/>
    </w:lvl>
  </w:abstractNum>
  <w:abstractNum w:abstractNumId="189">
    <w:nsid w:val="3DA97044"/>
    <w:multiLevelType w:val="hybridMultilevel"/>
    <w:lvl w:ilvl="0">
      <w:lvlJc w:val="left"/>
      <w:lvlText w:val="(%1)"/>
      <w:numFmt w:val="lowerLetter"/>
      <w:start w:val="1"/>
    </w:lvl>
  </w:abstractNum>
  <w:abstractNum w:abstractNumId="190">
    <w:nsid w:val="1CDCE2DE"/>
    <w:multiLevelType w:val="hybridMultilevel"/>
    <w:lvl w:ilvl="0">
      <w:lvlJc w:val="left"/>
      <w:lvlText w:val="(%1)"/>
      <w:numFmt w:val="lowerLetter"/>
      <w:start w:val="1"/>
    </w:lvl>
  </w:abstractNum>
  <w:abstractNum w:abstractNumId="191">
    <w:nsid w:val="69D3947C"/>
    <w:multiLevelType w:val="hybridMultilevel"/>
    <w:lvl w:ilvl="0">
      <w:lvlJc w:val="left"/>
      <w:lvlText w:val="(%1)"/>
      <w:numFmt w:val="lowerLetter"/>
      <w:start w:val="1"/>
    </w:lvl>
  </w:abstractNum>
  <w:abstractNum w:abstractNumId="192">
    <w:nsid w:val="2539DFA5"/>
    <w:multiLevelType w:val="hybridMultilevel"/>
    <w:lvl w:ilvl="0">
      <w:lvlJc w:val="left"/>
      <w:lvlText w:val="(%1)"/>
      <w:numFmt w:val="lowerLetter"/>
      <w:start w:val="6"/>
    </w:lvl>
  </w:abstractNum>
  <w:abstractNum w:abstractNumId="193">
    <w:nsid w:val="2DB88089"/>
    <w:multiLevelType w:val="hybridMultilevel"/>
    <w:lvl w:ilvl="0">
      <w:lvlJc w:val="left"/>
      <w:lvlText w:val="(%1)"/>
      <w:numFmt w:val="lowerLetter"/>
      <w:start w:val="1"/>
    </w:lvl>
  </w:abstractNum>
  <w:abstractNum w:abstractNumId="194">
    <w:nsid w:val="706B674E"/>
    <w:multiLevelType w:val="hybridMultilevel"/>
    <w:lvl w:ilvl="0">
      <w:lvlJc w:val="left"/>
      <w:lvlText w:val="(%1)"/>
      <w:numFmt w:val="lowerLetter"/>
      <w:start w:val="3"/>
    </w:lvl>
  </w:abstractNum>
  <w:abstractNum w:abstractNumId="195">
    <w:nsid w:val="2C106A57"/>
    <w:multiLevelType w:val="hybridMultilevel"/>
    <w:lvl w:ilvl="0">
      <w:lvlJc w:val="left"/>
      <w:lvlText w:val="(%1)"/>
      <w:numFmt w:val="lowerLetter"/>
      <w:start w:val="11"/>
    </w:lvl>
  </w:abstractNum>
  <w:abstractNum w:abstractNumId="196">
    <w:nsid w:val="684EED59"/>
    <w:multiLevelType w:val="hybridMultilevel"/>
    <w:lvl w:ilvl="0">
      <w:lvlJc w:val="left"/>
      <w:lvlText w:val="(%1)"/>
      <w:numFmt w:val="lowerLetter"/>
      <w:start w:val="1"/>
    </w:lvl>
  </w:abstractNum>
  <w:abstractNum w:abstractNumId="197">
    <w:nsid w:val="545EE5D3"/>
    <w:multiLevelType w:val="hybridMultilevel"/>
    <w:lvl w:ilvl="0">
      <w:lvlJc w:val="left"/>
      <w:lvlText w:val="(%1)"/>
      <w:numFmt w:val="lowerLetter"/>
      <w:start w:val="4"/>
    </w:lvl>
  </w:abstractNum>
  <w:abstractNum w:abstractNumId="198">
    <w:nsid w:val="4A66051"/>
    <w:multiLevelType w:val="hybridMultilevel"/>
    <w:lvl w:ilvl="0">
      <w:lvlJc w:val="left"/>
      <w:lvlText w:val="(%1)"/>
      <w:numFmt w:val="lowerLetter"/>
      <w:start w:val="1"/>
    </w:lvl>
  </w:abstractNum>
  <w:abstractNum w:abstractNumId="199">
    <w:nsid w:val="20F4BDAD"/>
    <w:multiLevelType w:val="hybridMultilevel"/>
    <w:lvl w:ilvl="0">
      <w:lvlJc w:val="left"/>
      <w:lvlText w:val="(%1)"/>
      <w:numFmt w:val="lowerRoman"/>
      <w:start w:val="7"/>
    </w:lvl>
  </w:abstractNum>
  <w:abstractNum w:abstractNumId="200">
    <w:nsid w:val="639DEFAC"/>
    <w:multiLevelType w:val="hybridMultilevel"/>
    <w:lvl w:ilvl="0">
      <w:lvlJc w:val="left"/>
      <w:lvlText w:val="(%1)"/>
      <w:numFmt w:val="lowerRoman"/>
      <w:start w:val="7"/>
    </w:lvl>
  </w:abstractNum>
  <w:abstractNum w:abstractNumId="201">
    <w:nsid w:val="501F9786"/>
    <w:multiLevelType w:val="hybridMultilevel"/>
    <w:lvl w:ilvl="0">
      <w:lvlJc w:val="left"/>
      <w:lvlText w:val="(%1)"/>
      <w:numFmt w:val="lowerLetter"/>
      <w:start w:val="1"/>
    </w:lvl>
  </w:abstractNum>
  <w:abstractNum w:abstractNumId="202">
    <w:nsid w:val="6B057295"/>
    <w:multiLevelType w:val="hybridMultilevel"/>
    <w:lvl w:ilvl="0">
      <w:lvlJc w:val="left"/>
      <w:lvlText w:val="(%1)"/>
      <w:numFmt w:val="lowerLetter"/>
      <w:start w:val="6"/>
    </w:lvl>
    <w:lvl w:ilvl="1">
      <w:lvlJc w:val="left"/>
      <w:lvlText w:val="(%2)"/>
      <w:numFmt w:val="lowerRoman"/>
      <w:start w:val="1"/>
    </w:lvl>
  </w:abstractNum>
  <w:abstractNum w:abstractNumId="203">
    <w:nsid w:val="2771AC80"/>
    <w:multiLevelType w:val="hybridMultilevel"/>
    <w:lvl w:ilvl="0">
      <w:lvlJc w:val="left"/>
      <w:lvlText w:val="%1"/>
      <w:numFmt w:val="lowerLetter"/>
      <w:start w:val="1"/>
    </w:lvl>
    <w:lvl w:ilvl="1">
      <w:lvlJc w:val="left"/>
      <w:lvlText w:val="(%2)"/>
      <w:numFmt w:val="lowerLetter"/>
      <w:start w:val="22"/>
    </w:lvl>
  </w:abstractNum>
  <w:abstractNum w:abstractNumId="204">
    <w:nsid w:val="1C4A08EC"/>
    <w:multiLevelType w:val="hybridMultilevel"/>
    <w:lvl w:ilvl="0">
      <w:lvlJc w:val="left"/>
      <w:lvlText w:val="(%1)"/>
      <w:numFmt w:val="lowerLetter"/>
      <w:start w:val="9"/>
    </w:lvl>
    <w:lvl w:ilvl="1">
      <w:lvlJc w:val="left"/>
      <w:lvlText w:val="%2"/>
      <w:numFmt w:val="lowerLetter"/>
      <w:start w:val="1"/>
    </w:lvl>
  </w:abstractNum>
  <w:abstractNum w:abstractNumId="205">
    <w:nsid w:val="1958BD17"/>
    <w:multiLevelType w:val="hybridMultilevel"/>
    <w:lvl w:ilvl="0">
      <w:lvlJc w:val="left"/>
      <w:lvlText w:val="(%1)"/>
      <w:numFmt w:val="lowerLetter"/>
      <w:start w:val="1"/>
    </w:lvl>
  </w:abstractNum>
  <w:abstractNum w:abstractNumId="206">
    <w:nsid w:val="4E647FE4"/>
    <w:multiLevelType w:val="hybridMultilevel"/>
    <w:lvl w:ilvl="0">
      <w:lvlJc w:val="left"/>
      <w:lvlText w:val="(%1)"/>
      <w:numFmt w:val="lowerLetter"/>
      <w:start w:val="2"/>
    </w:lvl>
  </w:abstractNum>
  <w:abstractNum w:abstractNumId="207">
    <w:nsid w:val="E0BB885"/>
    <w:multiLevelType w:val="hybridMultilevel"/>
    <w:lvl w:ilvl="0">
      <w:lvlJc w:val="left"/>
      <w:lvlText w:val="(%1)"/>
      <w:numFmt w:val="lowerLetter"/>
      <w:start w:val="1"/>
    </w:lvl>
  </w:abstractNum>
  <w:abstractNum w:abstractNumId="208">
    <w:nsid w:val="565976F1"/>
    <w:multiLevelType w:val="hybridMultilevel"/>
    <w:lvl w:ilvl="0">
      <w:lvlJc w:val="left"/>
      <w:lvlText w:val="(%1)"/>
      <w:numFmt w:val="lowerLetter"/>
      <w:start w:val="2"/>
    </w:lvl>
    <w:lvl w:ilvl="1">
      <w:lvlJc w:val="left"/>
      <w:lvlText w:val="(%2)"/>
      <w:numFmt w:val="lowerRoman"/>
      <w:start w:val="1"/>
    </w:lvl>
  </w:abstractNum>
  <w:abstractNum w:abstractNumId="209">
    <w:nsid w:val="64212B8C"/>
    <w:multiLevelType w:val="hybridMultilevel"/>
    <w:lvl w:ilvl="0">
      <w:lvlJc w:val="left"/>
      <w:lvlText w:val="(%1)"/>
      <w:numFmt w:val="lowerLetter"/>
      <w:start w:val="3"/>
    </w:lvl>
  </w:abstractNum>
  <w:abstractNum w:abstractNumId="210">
    <w:nsid w:val="5C17530C"/>
    <w:multiLevelType w:val="hybridMultilevel"/>
    <w:lvl w:ilvl="0">
      <w:lvlJc w:val="left"/>
      <w:lvlText w:val="(%1)"/>
      <w:numFmt w:val="lowerLetter"/>
      <w:start w:val="1"/>
    </w:lvl>
  </w:abstractNum>
  <w:abstractNum w:abstractNumId="211">
    <w:nsid w:val="19A52566"/>
    <w:multiLevelType w:val="hybridMultilevel"/>
    <w:lvl w:ilvl="0">
      <w:lvlJc w:val="left"/>
      <w:lvlText w:val="(%1)"/>
      <w:numFmt w:val="lowerLetter"/>
      <w:start w:val="2"/>
    </w:lvl>
    <w:lvl w:ilvl="1">
      <w:lvlJc w:val="left"/>
      <w:lvlText w:val="(%2)"/>
      <w:numFmt w:val="lowerRoman"/>
      <w:start w:val="1"/>
    </w:lvl>
  </w:abstractNum>
  <w:abstractNum w:abstractNumId="212">
    <w:nsid w:val="335A1DF1"/>
    <w:multiLevelType w:val="hybridMultilevel"/>
    <w:lvl w:ilvl="0">
      <w:lvlJc w:val="left"/>
      <w:lvlText w:val="%1"/>
      <w:numFmt w:val="decimal"/>
      <w:start w:val="1"/>
    </w:lvl>
    <w:lvl w:ilvl="1">
      <w:lvlJc w:val="left"/>
      <w:lvlText w:val="(%2)"/>
      <w:numFmt w:val="lowerLetter"/>
      <w:start w:val="4"/>
    </w:lvl>
  </w:abstractNum>
  <w:abstractNum w:abstractNumId="213">
    <w:nsid w:val="28677B7C"/>
    <w:multiLevelType w:val="hybridMultilevel"/>
    <w:lvl w:ilvl="0">
      <w:lvlJc w:val="left"/>
      <w:lvlText w:val="(%1)"/>
      <w:numFmt w:val="decimal"/>
      <w:start w:val="2"/>
    </w:lvl>
    <w:lvl w:ilvl="1">
      <w:lvlJc w:val="left"/>
      <w:lvlText w:val="(%2)"/>
      <w:numFmt w:val="lowerLetter"/>
      <w:start w:val="5"/>
    </w:lvl>
  </w:abstractNum>
  <w:abstractNum w:abstractNumId="214">
    <w:nsid w:val="378D97C0"/>
    <w:multiLevelType w:val="hybridMultilevel"/>
    <w:lvl w:ilvl="0">
      <w:lvlJc w:val="left"/>
      <w:lvlText w:val="(%1)"/>
      <w:numFmt w:val="lowerLetter"/>
      <w:start w:val="7"/>
    </w:lvl>
  </w:abstractNum>
  <w:abstractNum w:abstractNumId="215">
    <w:nsid w:val="1D91467C"/>
    <w:multiLevelType w:val="hybridMultilevel"/>
    <w:lvl w:ilvl="0">
      <w:lvlJc w:val="left"/>
      <w:lvlText w:val="(%1)"/>
      <w:numFmt w:val="lowerLetter"/>
      <w:start w:val="1"/>
    </w:lvl>
  </w:abstractNum>
  <w:abstractNum w:abstractNumId="216">
    <w:nsid w:val="316032BB"/>
    <w:multiLevelType w:val="hybridMultilevel"/>
    <w:lvl w:ilvl="0">
      <w:lvlJc w:val="left"/>
      <w:lvlText w:val="(%1)"/>
      <w:numFmt w:val="lowerLetter"/>
      <w:start w:val="2"/>
    </w:lvl>
  </w:abstractNum>
  <w:abstractNum w:abstractNumId="217">
    <w:nsid w:val="44344C22"/>
    <w:multiLevelType w:val="hybridMultilevel"/>
    <w:lvl w:ilvl="0">
      <w:lvlJc w:val="left"/>
      <w:lvlText w:val="(%1)"/>
      <w:numFmt w:val="lowerLetter"/>
      <w:start w:val="1"/>
    </w:lvl>
  </w:abstractNum>
  <w:abstractNum w:abstractNumId="218">
    <w:nsid w:val="13CDFCFC"/>
    <w:multiLevelType w:val="hybridMultilevel"/>
    <w:lvl w:ilvl="0">
      <w:lvlJc w:val="left"/>
      <w:lvlText w:val="(%1)"/>
      <w:numFmt w:val="lowerLetter"/>
      <w:start w:val="2"/>
    </w:lvl>
  </w:abstractNum>
  <w:abstractNum w:abstractNumId="219">
    <w:nsid w:val="471745E4"/>
    <w:multiLevelType w:val="hybridMultilevel"/>
    <w:lvl w:ilvl="0">
      <w:lvlJc w:val="left"/>
      <w:lvlText w:val="(%1)"/>
      <w:numFmt w:val="lowerLetter"/>
      <w:start w:val="1"/>
    </w:lvl>
  </w:abstractNum>
  <w:abstractNum w:abstractNumId="220">
    <w:nsid w:val="1DDBC66"/>
    <w:multiLevelType w:val="hybridMultilevel"/>
    <w:lvl w:ilvl="0">
      <w:lvlJc w:val="left"/>
      <w:lvlText w:val="(%1)"/>
      <w:numFmt w:val="lowerLetter"/>
      <w:start w:val="1"/>
    </w:lvl>
  </w:abstractNum>
  <w:abstractNum w:abstractNumId="221">
    <w:nsid w:val="30AADFDA"/>
    <w:multiLevelType w:val="hybridMultilevel"/>
    <w:lvl w:ilvl="0">
      <w:lvlJc w:val="left"/>
      <w:lvlText w:val="(%1)"/>
      <w:numFmt w:val="lowerLetter"/>
      <w:start w:val="1"/>
    </w:lvl>
  </w:abstractNum>
  <w:abstractNum w:abstractNumId="222">
    <w:nsid w:val="30EADA61"/>
    <w:multiLevelType w:val="hybridMultilevel"/>
    <w:lvl w:ilvl="0">
      <w:lvlJc w:val="left"/>
      <w:lvlText w:val="(%1)"/>
      <w:numFmt w:val="lowerLetter"/>
      <w:start w:val="1"/>
    </w:lvl>
  </w:abstractNum>
  <w:abstractNum w:abstractNumId="223">
    <w:nsid w:val="27179C0B"/>
    <w:multiLevelType w:val="hybridMultilevel"/>
    <w:lvl w:ilvl="0">
      <w:lvlJc w:val="left"/>
      <w:lvlText w:val="(%1)"/>
      <w:numFmt w:val="lowerLetter"/>
      <w:start w:val="2"/>
    </w:lvl>
  </w:abstractNum>
  <w:abstractNum w:abstractNumId="224">
    <w:nsid w:val="5E636063"/>
    <w:multiLevelType w:val="hybridMultilevel"/>
    <w:lvl w:ilvl="0">
      <w:lvlJc w:val="left"/>
      <w:lvlText w:val="(%1)"/>
      <w:numFmt w:val="lowerLetter"/>
      <w:start w:val="1"/>
    </w:lvl>
  </w:abstractNum>
  <w:abstractNum w:abstractNumId="225">
    <w:nsid w:val="215641AF"/>
    <w:multiLevelType w:val="hybridMultilevel"/>
    <w:lvl w:ilvl="0">
      <w:lvlJc w:val="left"/>
      <w:lvlText w:val="(%1)"/>
      <w:numFmt w:val="lowerLetter"/>
      <w:start w:val="2"/>
    </w:lvl>
    <w:lvl w:ilvl="1">
      <w:lvlJc w:val="left"/>
      <w:lvlText w:val="(%2)"/>
      <w:numFmt w:val="lowerLetter"/>
      <w:start w:val="9"/>
    </w:lvl>
  </w:abstractNum>
  <w:abstractNum w:abstractNumId="226">
    <w:nsid w:val="53280662"/>
    <w:multiLevelType w:val="hybridMultilevel"/>
    <w:lvl w:ilvl="0">
      <w:lvlJc w:val="left"/>
      <w:lvlText w:val="%1"/>
      <w:numFmt w:val="lowerLetter"/>
      <w:start w:val="1"/>
    </w:lvl>
    <w:lvl w:ilvl="1">
      <w:lvlJc w:val="left"/>
      <w:lvlText w:val="(%2)"/>
      <w:numFmt w:val="lowerLetter"/>
      <w:start w:val="35"/>
    </w:lvl>
  </w:abstractNum>
  <w:abstractNum w:abstractNumId="227">
    <w:nsid w:val="46B24DBC"/>
    <w:multiLevelType w:val="hybridMultilevel"/>
    <w:lvl w:ilvl="0">
      <w:lvlJc w:val="left"/>
      <w:lvlText w:val="(%1)"/>
      <w:numFmt w:val="lowerLetter"/>
      <w:start w:val="3"/>
    </w:lvl>
    <w:lvl w:ilvl="1">
      <w:lvlJc w:val="left"/>
      <w:lvlText w:val="%2"/>
      <w:numFmt w:val="lowerLetter"/>
      <w:start w:val="1"/>
    </w:lvl>
  </w:abstractNum>
  <w:abstractNum w:abstractNumId="228">
    <w:nsid w:val="75B52783"/>
    <w:multiLevelType w:val="hybridMultilevel"/>
    <w:lvl w:ilvl="0">
      <w:lvlJc w:val="left"/>
      <w:lvlText w:val="(%1)"/>
      <w:numFmt w:val="lowerLetter"/>
      <w:start w:val="7"/>
    </w:lvl>
  </w:abstractNum>
  <w:abstractNum w:abstractNumId="229">
    <w:nsid w:val="57CE66B4"/>
    <w:multiLevelType w:val="hybridMultilevel"/>
    <w:lvl w:ilvl="0">
      <w:lvlJc w:val="left"/>
      <w:lvlText w:val="%1."/>
      <w:numFmt w:val="decimal"/>
      <w:start w:val="1"/>
    </w:lvl>
    <w:lvl w:ilvl="1">
      <w:lvlJc w:val="left"/>
      <w:lvlText w:val="%2."/>
      <w:numFmt w:val="lowerLetter"/>
      <w:start w:val="1"/>
    </w:lvl>
  </w:abstractNum>
  <w:abstractNum w:abstractNumId="230">
    <w:nsid w:val="67A70B6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183" Type="http://schemas.openxmlformats.org/officeDocument/2006/relationships/hyperlink" Target="https://www.sec.gov/Archives/edgar/data/1826667/000110465923092586/tm2321991d1_ex3-1.htm" TargetMode="External"/><Relationship Id="rId184" Type="http://schemas.openxmlformats.org/officeDocument/2006/relationships/hyperlink" Target="https://www.sec.gov/Archives/edgar/data/1826667/000110465923092586/tm2321991d1_ex3-2.htm" TargetMode="External"/><Relationship Id="rId185" Type="http://schemas.openxmlformats.org/officeDocument/2006/relationships/hyperlink" Target="https://www.sec.gov/Archives/edgar/data/1826667/000110465923092586/tm2321991d1_ex3-3.htm" TargetMode="External"/><Relationship Id="rId186" Type="http://schemas.openxmlformats.org/officeDocument/2006/relationships/hyperlink" Target="https://www.sec.gov/Archives/edgar/data/1826667/000110465923092586/tm2321991d1_ex4-1.htm" TargetMode="External"/><Relationship Id="rId187" Type="http://schemas.openxmlformats.org/officeDocument/2006/relationships/hyperlink" Target="https://www.sec.gov/Archives/edgar/data/1826667/000110465923092586/tm2321991d1_ex4-2.htm" TargetMode="External"/><Relationship Id="rId188" Type="http://schemas.openxmlformats.org/officeDocument/2006/relationships/hyperlink" Target="https://www.sec.gov/Archives/edgar/data/1826667/000110465920139004/tm203916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2024-05-15T08:17:52Z</dcterms:created>
  <dcterms:modified xsi:type="dcterms:W3CDTF">2024-05-15T08:17:52Z</dcterms:modified>
</cp:coreProperties>
</file>