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Section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12, 2022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MedTech Acquisition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001-39813</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85-3009869</w:t>
            </w:r>
          </w:p>
        </w:tc>
      </w:tr>
      <w:tr>
        <w:trPr>
          <w:trHeight w:val="195"/>
        </w:trPr>
        <w:tc>
          <w:tcPr>
            <w:tcW w:w="3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5"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2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0"/>
              </w:rPr>
              <w:t>48 Maple Avenue,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4420" w:type="dxa"/>
            <w:vAlign w:val="bottom"/>
            <w:tcBorders>
              <w:bottom w:val="single" w:sz="8" w:color="auto"/>
            </w:tcBorders>
            <w:gridSpan w:val="3"/>
          </w:tcPr>
          <w:p>
            <w:pPr>
              <w:ind w:left="2180"/>
              <w:spacing w:after="0"/>
              <w:rPr>
                <w:sz w:val="20"/>
                <w:szCs w:val="20"/>
                <w:color w:val="auto"/>
              </w:rPr>
            </w:pPr>
            <w:r>
              <w:rPr>
                <w:rFonts w:ascii="Arial" w:cs="Arial" w:eastAsia="Arial" w:hAnsi="Arial"/>
                <w:sz w:val="18"/>
                <w:szCs w:val="18"/>
                <w:b w:val="1"/>
                <w:bCs w:val="1"/>
                <w:color w:val="auto"/>
              </w:rPr>
              <w:t>Greenwich, CT</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06830</w:t>
            </w:r>
          </w:p>
        </w:tc>
      </w:tr>
      <w:tr>
        <w:trPr>
          <w:trHeight w:val="224"/>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(908) 391-1288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80" w:firstLine="8"/>
        <w:spacing w:after="0" w:line="498" w:lineRule="auto"/>
        <w:tabs>
          <w:tab w:leader="none" w:pos="51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4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4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Units, each consisting of one share of Class A common stock</w:t>
            </w:r>
          </w:p>
        </w:tc>
        <w:tc>
          <w:tcPr>
            <w:tcW w:w="24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MTACU</w:t>
            </w:r>
          </w:p>
        </w:tc>
        <w:tc>
          <w:tcPr>
            <w:tcW w:w="220" w:type="dxa"/>
            <w:vAlign w:val="bottom"/>
            <w:tcBorders>
              <w:top w:val="single" w:sz="8" w:color="CCEEFF"/>
            </w:tcBorders>
            <w:shd w:val="clear" w:color="auto" w:fill="CCEEFF"/>
          </w:tcPr>
          <w:p>
            <w:pPr>
              <w:spacing w:after="0"/>
              <w:rPr>
                <w:sz w:val="16"/>
                <w:szCs w:val="16"/>
                <w:color w:val="auto"/>
              </w:rPr>
            </w:pPr>
          </w:p>
        </w:tc>
        <w:tc>
          <w:tcPr>
            <w:tcW w:w="44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and one-third of one Redeemable Warrant</w:t>
            </w: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Class A common stock, par value $0.0001 per share</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rPr>
              <w:t>MTAC</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02"/>
        </w:trPr>
        <w:tc>
          <w:tcPr>
            <w:tcW w:w="47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9"/>
              </w:rPr>
              <w:t>Warrants, each whole warrant exercisable for one share of</w:t>
            </w:r>
          </w:p>
        </w:tc>
        <w:tc>
          <w:tcPr>
            <w:tcW w:w="20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9"/>
              </w:rPr>
              <w:t>MTACW</w:t>
            </w:r>
          </w:p>
        </w:tc>
        <w:tc>
          <w:tcPr>
            <w:tcW w:w="4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4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Class A common stock, each at an exercise price of $11.50</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r>
      <w:tr>
        <w:trPr>
          <w:trHeight w:val="230"/>
        </w:trPr>
        <w:tc>
          <w:tcPr>
            <w:tcW w:w="4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per share</w:t>
            </w: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previously reported, on November 11, 2022, MedTech Acquisition Corporation, a Delaware corporation (“MedTech” or the “Company”) entered into an Agreement and Plan of Merger (the “Merger Agreement”) with MTAC Merger Sub, Inc., a Delaware corporation and direct wholly owned subsidiary of MedTech (“Merger Sub”), and TriSalus Life Sciences, Inc., a Delaware corporation (“TriSalus”), pursuant to which subject to the satisfaction or waiver of certain conditions set forth therein, Merger Sub will merge with and into TriSalus (the “Merger”), with TriSalus surviving the Merger as a wholly owned subsidiary of MedTech (the transactions contemplated by the Merger Agreement and related ancillary agreements, the “Business Combination”). Upon consummation of the Business Combination, MedTech will be renamed “TriSalus Life Sciences, Inc.”</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16, 2022, the Company issued a promissory note (the “Extension Note”) in the aggregate principal amount of up to $468,821.28 to the Company’s sponsor, MedTech Acquisition Sponsor LLC (the “Sponsor”) pursuant to which the Sponsor agreed to loan to the Company up to $468,821.28 (the “Extension Funds”) to deposit into the Company’s trust account (the “Trust Account”) for the shares of Class A common stock of the Company (the “Public Shares”) that were not redeemed in connection with the extension of the Company’s termination date from December 22, 2022 to June 22, 2023 or such earlier date as determined by the board of directors of the Company (the “Board”). The Extension Note bears no interest and is repayable in full upon the date of the consummation of an initial business combination.</w:t>
      </w:r>
    </w:p>
    <w:p>
      <w:pPr>
        <w:spacing w:after="0" w:line="19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will deposit $0.04 per share into the Trust Account for each month (commencing on December 23, 2022 and ending on the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each subsequent month), or portion thereof, that is needed by the Company to complete an initial business combination until June 22, 2023 or such earlier date as determined by the Board (the “Extension”).</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Merger Agreement, TriSalus has agreed to pay, as a transactional expense and not as a loan, for 50% of the costs incurred by the Company in connection with the preparation and filing of applicable proxy materials and the holding of the Meeting (as defined below) (TriSalus’s portion of such fees, the “TriSalus Extension Fees”), in addition to 50% of the amounts deposited into the Trust Account in connection with the Extension, with the remainder to be funded by the Sponsor and/or its designee in the form of a loan to the Company; provided that TriSalus’s obligation to pay the TriSalus Extension Fees and its portion of the deposits for the Extension will terminate immediately at the earliest to occur of (i) the closing date of the Business Combination and (ii) the valid termination of the Merger Agreement. Upon such termination, the Company will have no obligation to repay the TriSalus Extension Fees or any portion of the Extension Funds paid by TriSalus.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on December 16, 2022, the Company issued an unsecured promissory note in the principal amount of up to $1,000,000 (the “Working Capital Note”) to the Sponsor for working capital purposes, , which may be drawn down from time to time upon request by the Company. The Working Capital Note does not bear interest and the principal amount will not be payable if the Company fails to complete its initial business combination within the required time period as set forth in its amendment and restated certificate of incorporation,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issuances of the Extension Note and the Working Capital Note were made pursuant to the exemption from registration contained in Section 4(a)(2) of the Securities Act of 1933, as amended.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Extension Note and the Working Capital Note does not purport to be complete and is qualified in its entirety by reference to the full text of the Extension Note and the Working Capital Note, respectively, copies of which are filed with this Current Report on Form 8-K as Exhibit 10.1 and 10.2, respectively and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contained in Item 1.01 of this Current Report on Form 8-K is incorporated by reference in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December 12, 2022, the Company held a special meeting in lieu of the 2022 annual meeting of stockholders (the “Meeting”). At the Meeting, the Company’s stockholders approved an amendment to the Company’s Amended and Restated Certificate of Incorporation (the “Extension Amendment”) to extend the date by which the Company must consummate its initial business combination from December 22, 2022 to June 22, 2023 (or such earlier date as determined by the Board). The Company filed the Extension Amendment with the Secretary of State of the State of Delaware on December 12, 2022.</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Extension Amendment does not purport to be complete and is qualified in its entirety by reference to the Extension Amendment, a copy of which is attached as Exhibit 3.1 hereto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Meeting, an aggregate of 23,938,513 shares of the Company’s common stock, which represents a quorum of the outstanding shares of common stock entitled to vote as of the record date of October 24, 2022, were represented in person or by proxy at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the Company’s stockholders voted on the following proposals, each of which was approved:</w:t>
      </w:r>
    </w:p>
    <w:p>
      <w:pPr>
        <w:spacing w:after="0" w:line="221" w:lineRule="exact"/>
        <w:rPr>
          <w:sz w:val="20"/>
          <w:szCs w:val="20"/>
          <w:color w:val="auto"/>
        </w:rPr>
      </w:pPr>
    </w:p>
    <w:p>
      <w:pPr>
        <w:jc w:val="both"/>
        <w:ind w:firstLine="8"/>
        <w:spacing w:after="0" w:line="314" w:lineRule="auto"/>
        <w:tabs>
          <w:tab w:leader="none" w:pos="2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Extension Amendment Proposal </w:t>
      </w:r>
      <w:r>
        <w:rPr>
          <w:rFonts w:ascii="Arial" w:cs="Arial" w:eastAsia="Arial" w:hAnsi="Arial"/>
          <w:sz w:val="16"/>
          <w:szCs w:val="16"/>
          <w:color w:val="auto"/>
        </w:rPr>
        <w:t>— a proposal to amend the Company’s amended and restated certificate of incorporation to extend the date by</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has to consummate a business combination from December 22, 2022 to June 22, 2023 (or such earlier date as determined by the Board). The following is a tabulation of the votes with respect to this proposal, which was approved by the Company’s stockholders: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2"/>
          </w:tcPr>
          <w:p>
            <w:pPr>
              <w:ind w:left="1560"/>
              <w:spacing w:after="0"/>
              <w:rPr>
                <w:sz w:val="20"/>
                <w:szCs w:val="20"/>
                <w:color w:val="auto"/>
              </w:rPr>
            </w:pPr>
            <w:r>
              <w:rPr>
                <w:rFonts w:ascii="Arial" w:cs="Arial" w:eastAsia="Arial" w:hAnsi="Arial"/>
                <w:sz w:val="18"/>
                <w:szCs w:val="18"/>
                <w:b w:val="1"/>
                <w:bCs w:val="1"/>
                <w:color w:val="auto"/>
              </w:rPr>
              <w:t>FOR</w:t>
            </w:r>
          </w:p>
        </w:tc>
        <w:tc>
          <w:tcPr>
            <w:tcW w:w="3800" w:type="dxa"/>
            <w:vAlign w:val="bottom"/>
            <w:gridSpan w:val="2"/>
          </w:tcPr>
          <w:p>
            <w:pPr>
              <w:ind w:left="1320"/>
              <w:spacing w:after="0"/>
              <w:rPr>
                <w:sz w:val="20"/>
                <w:szCs w:val="20"/>
                <w:color w:val="auto"/>
              </w:rPr>
            </w:pPr>
            <w:r>
              <w:rPr>
                <w:rFonts w:ascii="Arial" w:cs="Arial" w:eastAsia="Arial" w:hAnsi="Arial"/>
                <w:sz w:val="18"/>
                <w:szCs w:val="18"/>
                <w:b w:val="1"/>
                <w:bCs w:val="1"/>
                <w:color w:val="auto"/>
              </w:rPr>
              <w:t>AGAINST</w:t>
            </w:r>
          </w:p>
        </w:tc>
        <w:tc>
          <w:tcPr>
            <w:tcW w:w="3580" w:type="dxa"/>
            <w:vAlign w:val="bottom"/>
            <w:gridSpan w:val="2"/>
          </w:tcPr>
          <w:p>
            <w:pPr>
              <w:ind w:left="1340"/>
              <w:spacing w:after="0"/>
              <w:rPr>
                <w:sz w:val="20"/>
                <w:szCs w:val="20"/>
                <w:color w:val="auto"/>
              </w:rPr>
            </w:pPr>
            <w:r>
              <w:rPr>
                <w:rFonts w:ascii="Arial" w:cs="Arial" w:eastAsia="Arial" w:hAnsi="Arial"/>
                <w:sz w:val="18"/>
                <w:szCs w:val="18"/>
                <w:b w:val="1"/>
                <w:bCs w:val="1"/>
                <w:color w:val="auto"/>
              </w:rPr>
              <w:t>ABSTAIN</w:t>
            </w:r>
          </w:p>
        </w:tc>
      </w:tr>
      <w:tr>
        <w:trPr>
          <w:trHeight w:val="209"/>
        </w:trPr>
        <w:tc>
          <w:tcPr>
            <w:tcW w:w="350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20,943,728</w:t>
            </w:r>
          </w:p>
        </w:tc>
        <w:tc>
          <w:tcPr>
            <w:tcW w:w="36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rPr>
              <w:t>2,962,183</w:t>
            </w:r>
          </w:p>
        </w:tc>
        <w:tc>
          <w:tcPr>
            <w:tcW w:w="3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rPr>
              <w:t>32,602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8"/>
        <w:spacing w:after="0" w:line="266" w:lineRule="auto"/>
        <w:tabs>
          <w:tab w:leader="none" w:pos="25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Director Election Proposal </w:t>
      </w:r>
      <w:r>
        <w:rPr>
          <w:rFonts w:ascii="Arial" w:cs="Arial" w:eastAsia="Arial" w:hAnsi="Arial"/>
          <w:sz w:val="18"/>
          <w:szCs w:val="18"/>
          <w:color w:val="auto"/>
        </w:rPr>
        <w:t>— to re-elect each of Karim Karti, Martin Roche, MD, Thierry Thaure and Manuel Aguero as Class I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to serve until the 2024 annual meeting of the Company or until their successors are appointed and qualified. The following is a tabulation of the votes with respect to the election of directors, each of whom was elected by the Company’s stockholders: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Name</w:t>
            </w:r>
          </w:p>
        </w:tc>
        <w:tc>
          <w:tcPr>
            <w:tcW w:w="1520" w:type="dxa"/>
            <w:vAlign w:val="bottom"/>
            <w:gridSpan w:val="2"/>
          </w:tcPr>
          <w:p>
            <w:pPr>
              <w:ind w:left="440"/>
              <w:spacing w:after="0"/>
              <w:rPr>
                <w:sz w:val="20"/>
                <w:szCs w:val="20"/>
                <w:color w:val="auto"/>
              </w:rPr>
            </w:pPr>
            <w:r>
              <w:rPr>
                <w:rFonts w:ascii="Arial" w:cs="Arial" w:eastAsia="Arial" w:hAnsi="Arial"/>
                <w:sz w:val="18"/>
                <w:szCs w:val="18"/>
                <w:b w:val="1"/>
                <w:bCs w:val="1"/>
                <w:color w:val="auto"/>
              </w:rPr>
              <w:t>FOR</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ABSTAIN</w:t>
            </w:r>
          </w:p>
        </w:tc>
      </w:tr>
      <w:tr>
        <w:trPr>
          <w:trHeight w:val="209"/>
        </w:trPr>
        <w:tc>
          <w:tcPr>
            <w:tcW w:w="4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Karim Karti</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19,508,998</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4,429,515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Martin Roche, MD</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20,704,879</w:t>
            </w:r>
          </w:p>
        </w:tc>
        <w:tc>
          <w:tcPr>
            <w:tcW w:w="24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3,233,634</w:t>
            </w:r>
          </w:p>
        </w:tc>
        <w:tc>
          <w:tcPr>
            <w:tcW w:w="6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Thierry Thaure</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20,704,623</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3,233,890</w:t>
            </w:r>
          </w:p>
        </w:tc>
        <w:tc>
          <w:tcPr>
            <w:tcW w:w="60" w:type="dxa"/>
            <w:vAlign w:val="bottom"/>
            <w:shd w:val="clear" w:color="auto" w:fill="CCEEFF"/>
          </w:tcPr>
          <w:p>
            <w:pPr>
              <w:spacing w:after="0"/>
              <w:rPr>
                <w:sz w:val="18"/>
                <w:szCs w:val="18"/>
                <w:color w:val="auto"/>
              </w:rPr>
            </w:pPr>
          </w:p>
        </w:tc>
      </w:tr>
      <w:tr>
        <w:trPr>
          <w:trHeight w:val="230"/>
        </w:trPr>
        <w:tc>
          <w:tcPr>
            <w:tcW w:w="50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Manuel Aguero</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20,704,875</w:t>
            </w:r>
          </w:p>
        </w:tc>
        <w:tc>
          <w:tcPr>
            <w:tcW w:w="24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3,233,638</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Meeting, stockholders holding 23,046,578 Public Shares exercised their right to redeem their shares for a pro rata portion of the funds in the Trust Account. As a result, approximately $232.37 million (approximately $10.08 per Public Share) will be removed from the Trust Account to pay such holders and approximately $19.70 million will remain in the Trust Account. Following redemptions, the Company has 1,953,422 Public Shares outstanding, and the Company will deposit $78,136.88 into the Trust Account of which 50% will be drawn down under the Extension Note and 50% will be funded by TriSalus.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Current Report on Form 8-K contains certain “forward-looking statements” within the meaning of the United States federal securities laws. These forward-looking statements generally are identified by words such as “anticipate,” “believe,” “continue,” “could,” “estimate,” “expect,” “intend,” “may,” “might,” “plan,” “possible,” “potential,” “predict,” “project,” “should,” “strive,” “would,” “will” and similar expressions or the negative or other variations of such statements. These statements are predictions, projections and other statements about future events that are based on various assumptions, whether or not identified in this Current Report on Form 8-K and on the current expectations of MedTech’s and TriSalus’ respective managements and are not predictions of actual performance and, as a result, are subject to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-837565</wp:posOffset>
            </wp:positionV>
            <wp:extent cx="7132320" cy="822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84" w:lineRule="auto"/>
        <w:rPr>
          <w:sz w:val="20"/>
          <w:szCs w:val="20"/>
          <w:color w:val="auto"/>
        </w:rPr>
      </w:pPr>
      <w:r>
        <w:rPr>
          <w:rFonts w:ascii="Arial" w:cs="Arial" w:eastAsia="Arial" w:hAnsi="Arial"/>
          <w:sz w:val="16"/>
          <w:szCs w:val="16"/>
          <w:color w:val="auto"/>
        </w:rPr>
        <w:t>Many factors could cause actual results or developments to differ materially from those expressed or implied by such forward-looking statements, including but not limited to: (i) the risk that the Business Combination may not be completed in a timely manner or at all, which may adversely affect the price of MedTech’s securities; (ii) the risk that the Business Combination may not be completed by MedTech’s business combination deadline and the potential failure to obtain an extension of the business combination deadline; (iii) the failure to satisfy the conditions to the consummation of the Business Combination, including the approval of the Merger Agreement by the stockholders of MedTech, the satisfaction of the minimum cash amount following any redemptions by MedTech’s public stockholders, and the receipt of certain governmental and regulatory approvals, including reimbursement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3429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00"/>
                    </a:xfrm>
                    <a:prstGeom prst="rect">
                      <a:avLst/>
                    </a:prstGeom>
                    <a:noFill/>
                  </pic:spPr>
                </pic:pic>
              </a:graphicData>
            </a:graphic>
          </wp:anchor>
        </w:drawing>
      </w:r>
    </w:p>
    <w:p>
      <w:pPr>
        <w:jc w:val="both"/>
        <w:ind w:firstLine="8"/>
        <w:spacing w:after="0" w:line="281" w:lineRule="auto"/>
        <w:tabs>
          <w:tab w:leader="none" w:pos="31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lack of a third-party valuation in determining whether or not to pursue the Business Combination; (v) the occurrence of any event, change or other circumstance that could give rise to the termination of the Merger Agreement; (vi) the receipt of an unsolicited offer from another party for an alternative transaction that could interfere with the Business Combination, (vii) the effect of the announcement or pendency of the Business Combination on TriSalus’s business relationships, operating results and business generally; (viii) risks that the Business Combination disrupts current plans and operations of TriSalus;</w:t>
      </w:r>
    </w:p>
    <w:p>
      <w:pPr>
        <w:spacing w:after="0" w:line="2" w:lineRule="exact"/>
        <w:rPr>
          <w:rFonts w:ascii="Arial" w:cs="Arial" w:eastAsia="Arial" w:hAnsi="Arial"/>
          <w:sz w:val="16"/>
          <w:szCs w:val="16"/>
          <w:color w:val="auto"/>
        </w:rPr>
      </w:pPr>
    </w:p>
    <w:p>
      <w:pPr>
        <w:jc w:val="both"/>
        <w:ind w:firstLine="8"/>
        <w:spacing w:after="0" w:line="281" w:lineRule="auto"/>
        <w:tabs>
          <w:tab w:leader="none" w:pos="34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outcome of any legal proceedings that may be instituted against TriSalus or MedTech related to the Merger Agreement or the Business Combination; (x) the ability to maintain the listing of MedTech’s securities on the Nasdaq; (xi) changes in business, market, financial, political and legal conditions; (xii) unfavorable changes in the reimbursement environment for TriSalus’s products; (xiii) TriSalus’s product candidates not achieving success in preclinical or clinical trials or not being able to obtain regulatory approval, either on a timely basis or at all or subject to any conditions that negatively impact TriSalus’s ability to commercialize the applicable product candidates; (xiv) TriSalus being unable to continue to grow TriNav sales; (xv) the size of the addressable markets for TriNav and TriSalus’s product candidates, if successfully developed and approved by the applicable regulatory authorities, being less than TriSalus estimates; (xvi) TriSalus’s ability to successfully commercialize any product candidates that it successfully develops and that are approved by applicable regulatory authorities; (xvii) TriSalus’s ability to continue to fund preclinical and clinical trials for its product candidates;</w:t>
      </w:r>
    </w:p>
    <w:p>
      <w:pPr>
        <w:spacing w:after="0" w:line="4" w:lineRule="exact"/>
        <w:rPr>
          <w:rFonts w:ascii="Arial" w:cs="Arial" w:eastAsia="Arial" w:hAnsi="Arial"/>
          <w:sz w:val="16"/>
          <w:szCs w:val="16"/>
          <w:color w:val="auto"/>
        </w:rPr>
      </w:pPr>
    </w:p>
    <w:p>
      <w:pPr>
        <w:jc w:val="both"/>
        <w:ind w:firstLine="8"/>
        <w:spacing w:after="0" w:line="288" w:lineRule="auto"/>
        <w:tabs>
          <w:tab w:leader="none" w:pos="502" w:val="left"/>
        </w:tabs>
        <w:numPr>
          <w:ilvl w:val="0"/>
          <w:numId w:val="7"/>
        </w:numPr>
        <w:rPr>
          <w:rFonts w:ascii="Arial" w:cs="Arial" w:eastAsia="Arial" w:hAnsi="Arial"/>
          <w:sz w:val="16"/>
          <w:szCs w:val="16"/>
          <w:color w:val="auto"/>
        </w:rPr>
      </w:pPr>
      <w:r>
        <w:rPr>
          <w:rFonts w:ascii="Arial" w:cs="Arial" w:eastAsia="Arial" w:hAnsi="Arial"/>
          <w:sz w:val="16"/>
          <w:szCs w:val="16"/>
          <w:color w:val="auto"/>
        </w:rPr>
        <w:t>TriSalus’s ability to partner with other companies; (xix) future economic and market conditions; (xx) the development, effects and enforcement of laws and regulations affecting TriSalus's business or industry; (xxi) TriSalus’s ability to manage future growth; (xxii) TriSalus’s ability to maintain and grow its market share; (xxiii) the effects of competition on TriSalus’s business; (xxiv) the ability of MedTech or the combined company to raise additional financing in connection with the Business Combination or to finance its operations in the future; (xxv) the ability to implement business plans, forecasts and other expectations after the completion of the Business Combination, and identify and realize additional opportunities; (xxvi) costs related to the Business Combination; and (xxvii) the failure to realize the anticipated benefits of the Business Combination or to realize estimated pro forma results and the underlying assumptions, including with respect to estimated stockholder redemptions. The foregoing list of factors is not exclusive.</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You should carefully consider the foregoing factors and other risks and uncertainties described in the “Risk Factors” section of MedTech’s Annual Report on Form 10-K for the fiscal year ended December 31, 2021, filed with the Securities and Exchange Commission (the “SEC”) on March 2, 2022 (the “2021 Form 10-K”), MedTech’s definitive proxy statement dated November 4, 2022 related to the Meeting, as amended and supplemented by the Amendment No. 1 to the definitive proxy statement dated November 28, 2022 (the “Proxy Statement”), the preliminary proxy statement/prospectus on Form S-4 relating to the Business Combination, which is expected to be filed by MedTech with the SEC and other documents filed by MedTech from time to time with the SEC. These filings identify and address other important risks and uncertainties that could cause actual events and results to differ materially from those expressed or implied in the forward-looking statements. Forward-looking statements speak only as of the date they are made. Readers are cautioned not to put undue reliance on forward-looking statements, and none of MedTech, TriSalus, or any of their respective representatives assume any obligation and do not intend to update or revise these forward-looking statements, whether as a result of new information, future events, or otherwise. None of MedTech, TriSalus, or any of their respective representatives gives any assurance that either MedTech or TriSalus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-1391920</wp:posOffset>
            </wp:positionV>
            <wp:extent cx="7132320" cy="1371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Changes and Additional Information in Connection with SEC Filing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MedTech intends to file a registration statement on Form S-4 (the “Registration Statement”) that will include a proxy statement/prospectus of MedTech, that will be both the proxy statement to be distributed to holders of MedTech’s common stock in connection with its solicitation of proxies for the vote by MedTech’s stockholders with respect to the Business Combination and other matters as may be described in the Registration Statement, as well as the prospectus relating to the offer and sale of the securities to be issued in the Business Combination. The Registration Statement is not yet effective. The Registration Statement, including the proxy statement/prospectus contained therein, when it is declared effective by the SEC, will contain important information about the Business Combination and the other matters to be voted upon at a meeting of MedTech’s stockholders to be held to approve the Business Combination and other matters (the “Combination Meeting”). MedTech may also file other documents with the SEC regarding the Business Combination. MedTech stockholders and other interested persons are advised to read, when available, the Registration Statement, including the proxy statement/prospectus contained therein, as well as any amendments or supplements thereto, because they will contain important information about the Business Combination. When available, the definitive proxy statement /prospectus will be mailed to MedTech stockholders as of a record date to be established for voting on the Business Combination and the other matters to be voted upon at the Combination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Solicitation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MedTech and TriSalus and their respective directors and executive officers, under SEC rules, may be deemed to be participants in the solicitation of proxies of MedTech’s stockholders in connection with the Business Combination. Investors and security holders may obtain more detailed information regarding the names and interests in the Business Combination of MedTech’s directors and officers in MedTech’s filings with the SEC, including MedTech’s registration statement on Form S-1, which was originally filed with the SEC on November 30, 2020, as amended, the Proxy Statement, and MedTech’s 2021 Form 10-K. To the extent that holdings of MedTech’s securities have changed from the amounts reported in MedTech’s 2021 Form 10-K, such changes have been or will be reflected on Statements of Change in Ownership on Form 4 filed with the SEC. Information regarding the persons who may, under SEC rules, be deemed participants in the solicitation of proxies from MedTech’s stockholders in connection with the Business Combination will be set forth in the proxy statement/prospectus forming a part of the Registration Statement. Investors and security holders of MedTech and TriSalus are urged to carefully read in their entirety the proxy statement/prospectus and other relevant documents that will be filed with the SEC, when they become available, because they will contain important information about the Business Combination.</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Investors and security holders will be able to obtain free copies of the proxy statement/prospectus and other documents containing important information about MedTech and TriSalus through the website maintained by the SEC at www.sec.gov. Copies of the documents filed with the SEC by MedTech can be obtained free of charge by directing a written request to MedTech Acquisition Corporation at 48 Maple Avenue, Greenwich, CT 06830.</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THEREOF OR THE ACCURACY OR ADEQUACY OF THE INFORMATION CONTAINED HEREIN. ANY REPRESENTATION TO THE CONTRARY IS A CRIMINAL OFFENSE.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Offer or Solicitation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Current Report on Form 8-K shall not constitute an offer to sell, a solicitation of an offer to buy or a recommendation to purchase any securities, or the solicitation of any proxy, vote, consent or approval in any jurisdiction in connection with the Business Combination, nor shall there be any offer, solicitation or sale of securities in any jurisdiction in which the offer, solicitation or sale would be unlawful prior to the registration or qualification under the securities laws of such jurisdictions. This Current Report on Form 8-K is restricted by law; it is not intended for distribution to, or use by any person in, any jurisdiction where such distribution or use would be contrary to local law or regulation. No offering of securities shall be made except by means of a prospectus meeting the requirements of Section 10 of the U.S. Securities Act of 1933, as amended.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 The following exhibits are filed with this Form 8-K: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1"/>
                <w:szCs w:val="21"/>
                <w:color w:val="auto"/>
              </w:rPr>
            </w:pPr>
          </w:p>
        </w:tc>
        <w:tc>
          <w:tcPr>
            <w:tcW w:w="9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189"/>
        </w:trPr>
        <w:tc>
          <w:tcPr>
            <w:tcW w:w="240" w:type="dxa"/>
            <w:vAlign w:val="bottom"/>
            <w:tcBorders>
              <w:bottom w:val="single" w:sz="8" w:color="0000EE"/>
            </w:tcBorders>
            <w:shd w:val="clear" w:color="auto" w:fill="CCEEFF"/>
          </w:tcPr>
          <w:p>
            <w:pPr>
              <w:spacing w:after="0" w:line="169" w:lineRule="exact"/>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0000EE"/>
            </w:tcBorders>
            <w:shd w:val="clear" w:color="auto" w:fill="CCEEFF"/>
          </w:tcPr>
          <w:p>
            <w:pPr>
              <w:spacing w:after="0" w:line="169" w:lineRule="exact"/>
              <w:rPr>
                <w:sz w:val="20"/>
                <w:szCs w:val="20"/>
                <w:color w:val="auto"/>
              </w:rPr>
            </w:pPr>
            <w:r>
              <w:rPr>
                <w:rFonts w:ascii="Arial" w:cs="Arial" w:eastAsia="Arial" w:hAnsi="Arial"/>
                <w:sz w:val="18"/>
                <w:szCs w:val="18"/>
                <w:color w:val="0000EE"/>
                <w:w w:val="90"/>
              </w:rPr>
              <w:t>Amendment to Amended and Restated Certificate of Incorporation.</w:t>
            </w:r>
          </w:p>
        </w:tc>
        <w:tc>
          <w:tcPr>
            <w:tcW w:w="5020" w:type="dxa"/>
            <w:vAlign w:val="bottom"/>
            <w:tcBorders>
              <w:bottom w:val="single" w:sz="8" w:color="CCEEFF"/>
            </w:tcBorders>
            <w:gridSpan w:val="2"/>
            <w:shd w:val="clear" w:color="auto" w:fill="CCEEFF"/>
          </w:tcPr>
          <w:p>
            <w:pPr>
              <w:spacing w:after="0"/>
              <w:rPr>
                <w:sz w:val="16"/>
                <w:szCs w:val="16"/>
                <w:color w:val="auto"/>
              </w:rPr>
            </w:pPr>
          </w:p>
        </w:tc>
      </w:tr>
      <w:tr>
        <w:trPr>
          <w:trHeight w:val="175"/>
        </w:trPr>
        <w:tc>
          <w:tcPr>
            <w:tcW w:w="1240" w:type="dxa"/>
            <w:vAlign w:val="bottom"/>
            <w:gridSpan w:val="3"/>
          </w:tcPr>
          <w:p>
            <w:pPr>
              <w:spacing w:after="0" w:line="17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120" w:type="dxa"/>
            <w:vAlign w:val="bottom"/>
          </w:tcPr>
          <w:p>
            <w:pPr>
              <w:spacing w:after="0"/>
              <w:rPr>
                <w:sz w:val="15"/>
                <w:szCs w:val="15"/>
                <w:color w:val="auto"/>
              </w:rPr>
            </w:pPr>
          </w:p>
        </w:tc>
        <w:tc>
          <w:tcPr>
            <w:tcW w:w="9880" w:type="dxa"/>
            <w:vAlign w:val="bottom"/>
            <w:gridSpan w:val="3"/>
          </w:tcPr>
          <w:p>
            <w:pPr>
              <w:spacing w:after="0" w:line="176" w:lineRule="exact"/>
              <w:rPr>
                <w:sz w:val="20"/>
                <w:szCs w:val="20"/>
                <w:color w:val="auto"/>
              </w:rPr>
            </w:pPr>
            <w:r>
              <w:rPr>
                <w:rFonts w:ascii="Arial" w:cs="Arial" w:eastAsia="Arial" w:hAnsi="Arial"/>
                <w:sz w:val="18"/>
                <w:szCs w:val="18"/>
                <w:color w:val="0000EE"/>
              </w:rPr>
              <w:t>Promissory Note issued to MedTech Acquisition Sponsor LLC, dated December 16, 2022.</w:t>
            </w: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6"/>
        </w:trPr>
        <w:tc>
          <w:tcPr>
            <w:tcW w:w="12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2</w:t>
            </w:r>
          </w:p>
        </w:tc>
        <w:tc>
          <w:tcPr>
            <w:tcW w:w="120" w:type="dxa"/>
            <w:vAlign w:val="bottom"/>
            <w:shd w:val="clear" w:color="auto" w:fill="CCEEFF"/>
          </w:tcPr>
          <w:p>
            <w:pPr>
              <w:spacing w:after="0"/>
              <w:rPr>
                <w:sz w:val="17"/>
                <w:szCs w:val="17"/>
                <w:color w:val="auto"/>
              </w:rPr>
            </w:pPr>
          </w:p>
        </w:tc>
        <w:tc>
          <w:tcPr>
            <w:tcW w:w="98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Promissory Note issued to MedTech Acquisition Sponsor LLC, dated December 16, 2022.</w:t>
            </w:r>
          </w:p>
        </w:tc>
      </w:tr>
      <w:tr>
        <w:trPr>
          <w:trHeight w:val="230"/>
        </w:trPr>
        <w:tc>
          <w:tcPr>
            <w:tcW w:w="3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9"/>
              </w:rPr>
              <w:t>104</w:t>
            </w:r>
          </w:p>
        </w:tc>
        <w:tc>
          <w:tcPr>
            <w:tcW w:w="9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65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3380" w:type="dxa"/>
            <w:vAlign w:val="bottom"/>
            <w:tcBorders>
              <w:top w:val="single" w:sz="8" w:color="CCEEFF"/>
            </w:tcBorders>
          </w:tcPr>
          <w:p>
            <w:pPr>
              <w:spacing w:after="0"/>
              <w:rPr>
                <w:sz w:val="20"/>
                <w:szCs w:val="20"/>
                <w:color w:val="auto"/>
              </w:rPr>
            </w:pPr>
          </w:p>
        </w:tc>
      </w:tr>
      <w:tr>
        <w:trPr>
          <w:trHeight w:val="661"/>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Arial" w:cs="Arial" w:eastAsia="Arial" w:hAnsi="Arial"/>
                <w:sz w:val="18"/>
                <w:szCs w:val="18"/>
                <w:b w:val="1"/>
                <w:bCs w:val="1"/>
                <w:color w:val="auto"/>
              </w:rPr>
              <w:t>MEDTECH ACQUISITION CORP.</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December 16, 2022</w:t>
            </w: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Dewey</w:t>
            </w:r>
          </w:p>
        </w:tc>
      </w:tr>
      <w:tr>
        <w:trPr>
          <w:trHeight w:val="195"/>
        </w:trPr>
        <w:tc>
          <w:tcPr>
            <w:tcW w:w="3800" w:type="dxa"/>
            <w:vAlign w:val="bottom"/>
          </w:tcPr>
          <w:p>
            <w:pPr>
              <w:spacing w:after="0"/>
              <w:rPr>
                <w:sz w:val="16"/>
                <w:szCs w:val="16"/>
                <w:color w:val="auto"/>
              </w:rPr>
            </w:pPr>
          </w:p>
        </w:tc>
        <w:tc>
          <w:tcPr>
            <w:tcW w:w="2400" w:type="dxa"/>
            <w:vAlign w:val="bottom"/>
          </w:tcPr>
          <w:p>
            <w:pPr>
              <w:ind w:left="18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Christopher C. Dewey</w:t>
            </w:r>
          </w:p>
        </w:tc>
      </w:tr>
      <w:tr>
        <w:trPr>
          <w:trHeight w:val="230"/>
        </w:trPr>
        <w:tc>
          <w:tcPr>
            <w:tcW w:w="3800" w:type="dxa"/>
            <w:vAlign w:val="bottom"/>
          </w:tcPr>
          <w:p>
            <w:pPr>
              <w:spacing w:after="0"/>
              <w:rPr>
                <w:sz w:val="20"/>
                <w:szCs w:val="20"/>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ind w:left="10240"/>
        <w:spacing w:after="0"/>
        <w:rPr>
          <w:sz w:val="20"/>
          <w:szCs w:val="20"/>
          <w:color w:val="auto"/>
        </w:rPr>
      </w:pPr>
      <w:r>
        <w:rPr>
          <w:rFonts w:ascii="Arial" w:cs="Arial" w:eastAsia="Arial" w:hAnsi="Arial"/>
          <w:sz w:val="19"/>
          <w:szCs w:val="19"/>
          <w:b w:val="1"/>
          <w:bCs w:val="1"/>
          <w:color w:val="auto"/>
        </w:rPr>
        <w:t>Exhibit 3.1</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MEDTECH ACQUISITION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General Corporation Law</w:t>
      </w:r>
    </w:p>
    <w:p>
      <w:pPr>
        <w:spacing w:after="0" w:line="207"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MedTech Acquisition Corporation </w:t>
      </w:r>
      <w:r>
        <w:rPr>
          <w:rFonts w:ascii="Arial" w:cs="Arial" w:eastAsia="Arial" w:hAnsi="Arial"/>
          <w:sz w:val="18"/>
          <w:szCs w:val="18"/>
          <w:color w:val="auto"/>
        </w:rPr>
        <w:t>(the “Corporation”), a corporation organized and existing under the laws of the State of Delaware, does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certify as follows:</w:t>
      </w:r>
    </w:p>
    <w:p>
      <w:pPr>
        <w:spacing w:after="0" w:line="166" w:lineRule="exact"/>
        <w:rPr>
          <w:sz w:val="20"/>
          <w:szCs w:val="20"/>
          <w:color w:val="auto"/>
        </w:rPr>
      </w:pPr>
    </w:p>
    <w:p>
      <w:pPr>
        <w:jc w:val="both"/>
        <w:ind w:left="340" w:hanging="332"/>
        <w:spacing w:after="0" w:line="286"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name of the Corporation is MedTech Acquisition Corporation. The Corporation’s Certificate of Incorporation was filed in the office of the Secretary of State of the State of Delaware on September 11, 2020. An Amended and Restated Certificate of Incorporation was filed in the office of the Secretary of State of the State of Delaware on December 17, 2020 (the “Amended and Restated Certificate of Incorporation”).</w:t>
      </w:r>
    </w:p>
    <w:p>
      <w:pPr>
        <w:spacing w:after="0" w:line="165"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Amendment to the Amended and Restated Certificate of Incorporation amends the Amended and Restated Certificate of Incorporation of the Corporation.</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Amendment to the Amended and Restated Certificate of Incorporation was duly adopted by the affirmative vote of the holders of at least 65% of the stock entitled to vote at a meeting of stockholders in accordance with the provisions of Section 242 of the General Corporation Law of the State of Delaware (the “DGCL”).</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text of Section 9.1(b) of Article IX is hereby amended and restated to read in full as follows:</w:t>
      </w:r>
    </w:p>
    <w:p>
      <w:pPr>
        <w:spacing w:after="0" w:line="225" w:lineRule="exact"/>
        <w:rPr>
          <w:rFonts w:ascii="Arial" w:cs="Arial" w:eastAsia="Arial" w:hAnsi="Arial"/>
          <w:sz w:val="18"/>
          <w:szCs w:val="18"/>
          <w:color w:val="auto"/>
        </w:rPr>
      </w:pPr>
    </w:p>
    <w:p>
      <w:pPr>
        <w:jc w:val="both"/>
        <w:ind w:left="340"/>
        <w:spacing w:after="0" w:line="285" w:lineRule="auto"/>
        <w:rPr>
          <w:rFonts w:ascii="Arial" w:cs="Arial" w:eastAsia="Arial" w:hAnsi="Arial"/>
          <w:sz w:val="18"/>
          <w:szCs w:val="18"/>
          <w:color w:val="auto"/>
        </w:rPr>
      </w:pPr>
      <w:r>
        <w:rPr>
          <w:rFonts w:ascii="Arial" w:cs="Arial" w:eastAsia="Arial" w:hAnsi="Arial"/>
          <w:sz w:val="16"/>
          <w:szCs w:val="16"/>
          <w:color w:val="auto"/>
        </w:rPr>
        <w:t>(b)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on November 30, 2020, as amended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deposited in a trust account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established for the benefit of the Public Stockholders (as defined below)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 trust agreement described in the Registration Statement. Except for the withdrawal of interest to pay taxes (less up to $100,000 of interest to pay dissolution expenses),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by June 22, 2023 (or, if the Office of the Delaware Division of Corporations shall not be open for a full business day (including filing of corporate documents) on such date the next date upon which the Office of the Delaware Division of Corporations shall be open for a full business day (the “</w:t>
      </w:r>
      <w:r>
        <w:rPr>
          <w:rFonts w:ascii="Arial" w:cs="Arial" w:eastAsia="Arial" w:hAnsi="Arial"/>
          <w:sz w:val="16"/>
          <w:szCs w:val="16"/>
          <w:b w:val="1"/>
          <w:bCs w:val="1"/>
          <w:i w:val="1"/>
          <w:iCs w:val="1"/>
          <w:color w:val="auto"/>
        </w:rPr>
        <w:t>Deadline Date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and (iii) the redemption of shares in connection with a vote seeking to amend such provisions of this Amended and Restated Certificate (a) to modify the substance or timing of the Corporation’s obligation to provide for the redemption of the Offering Shares in connection with an initial Business Combination or to redeem 100% of such shares if the Corporation has not consummated an initial Business Combination by the Deadline Date or (b) with respect to any other material provisions relating to stockholders’ rights or pre-initial Business Combination activity (as described in </w:t>
      </w:r>
      <w:r>
        <w:rPr>
          <w:rFonts w:ascii="Arial" w:cs="Arial" w:eastAsia="Arial" w:hAnsi="Arial"/>
          <w:sz w:val="16"/>
          <w:szCs w:val="16"/>
          <w:u w:val="single" w:color="auto"/>
          <w:color w:val="auto"/>
        </w:rPr>
        <w:t>Section 9.7)</w:t>
      </w:r>
      <w:r>
        <w:rPr>
          <w:rFonts w:ascii="Arial" w:cs="Arial" w:eastAsia="Arial" w:hAnsi="Arial"/>
          <w:sz w:val="16"/>
          <w:szCs w:val="16"/>
          <w:color w:val="auto"/>
        </w:rPr>
        <w:t>. Holders of shares of Common Stock included as part of the units sold in the Offering (the “</w:t>
      </w:r>
      <w:r>
        <w:rPr>
          <w:rFonts w:ascii="Arial" w:cs="Arial" w:eastAsia="Arial" w:hAnsi="Arial"/>
          <w:sz w:val="16"/>
          <w:szCs w:val="16"/>
          <w:b w:val="1"/>
          <w:bCs w:val="1"/>
          <w:i w:val="1"/>
          <w:iCs w:val="1"/>
          <w:color w:val="auto"/>
        </w:rPr>
        <w:t>Offering Shares</w:t>
      </w:r>
      <w:r>
        <w:rPr>
          <w:rFonts w:ascii="Arial" w:cs="Arial" w:eastAsia="Arial" w:hAnsi="Arial"/>
          <w:sz w:val="16"/>
          <w:szCs w:val="16"/>
          <w:i w:val="1"/>
          <w:iCs w:val="1"/>
          <w:color w:val="auto"/>
        </w:rPr>
        <w:t>”)</w:t>
      </w:r>
      <w:r>
        <w:rPr>
          <w:rFonts w:ascii="Arial" w:cs="Arial" w:eastAsia="Arial" w:hAnsi="Arial"/>
          <w:sz w:val="16"/>
          <w:szCs w:val="16"/>
          <w:color w:val="auto"/>
        </w:rPr>
        <w:t xml:space="preserve"> (whether such Offering Shares were purchased in the Offering or in the secondary market following the Offering and whether or not such holders are either MedTech Acquisition Sponsor LLC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or officers or directors of the Corporation, or affiliates of any of the foregoing) are referred to herein as “</w:t>
      </w:r>
      <w:r>
        <w:rPr>
          <w:rFonts w:ascii="Arial" w:cs="Arial" w:eastAsia="Arial" w:hAnsi="Arial"/>
          <w:sz w:val="16"/>
          <w:szCs w:val="16"/>
          <w:b w:val="1"/>
          <w:bCs w:val="1"/>
          <w:i w:val="1"/>
          <w:iCs w:val="1"/>
          <w:color w:val="auto"/>
        </w:rPr>
        <w:t>Public Stockholders</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ind w:firstLine="324"/>
        <w:spacing w:after="0" w:line="29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MedTech Acquisition Corporation has caused this Amendment to the Amended and Restated Certificate to be duly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in its name and on its behalf by an authorized officer as of this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2022.</w:t>
      </w:r>
    </w:p>
    <w:p>
      <w:pPr>
        <w:spacing w:after="0" w:line="3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MEDTECH ACQUISITION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Dewey</w:t>
            </w: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Christopher C. Dewey</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 </w:t>
      </w:r>
    </w:p>
    <w:p>
      <w:pPr>
        <w:jc w:val="right"/>
        <w:spacing w:after="0" w:line="238" w:lineRule="auto"/>
        <w:rPr>
          <w:sz w:val="20"/>
          <w:szCs w:val="20"/>
          <w:color w:val="auto"/>
        </w:rPr>
      </w:pPr>
      <w:r>
        <w:rPr>
          <w:rFonts w:ascii="Arial" w:cs="Arial" w:eastAsia="Arial" w:hAnsi="Arial"/>
          <w:sz w:val="22"/>
          <w:szCs w:val="22"/>
          <w:b w:val="1"/>
          <w:bCs w:val="1"/>
          <w:color w:val="auto"/>
        </w:rPr>
        <w:t>Exhibit 10.1</w:t>
      </w:r>
    </w:p>
    <w:p>
      <w:pPr>
        <w:spacing w:after="0" w:line="236" w:lineRule="auto"/>
        <w:rPr>
          <w:sz w:val="20"/>
          <w:szCs w:val="20"/>
          <w:color w:val="auto"/>
        </w:rPr>
      </w:pPr>
      <w:r>
        <w:rPr>
          <w:rFonts w:ascii="Arial" w:cs="Arial" w:eastAsia="Arial" w:hAnsi="Arial"/>
          <w:sz w:val="22"/>
          <w:szCs w:val="22"/>
          <w:color w:val="auto"/>
        </w:rPr>
        <w:t> </w:t>
      </w:r>
    </w:p>
    <w:p>
      <w:pPr>
        <w:spacing w:after="0"/>
        <w:rPr>
          <w:sz w:val="20"/>
          <w:szCs w:val="20"/>
          <w:color w:val="auto"/>
        </w:rPr>
      </w:pPr>
      <w:r>
        <w:rPr>
          <w:rFonts w:ascii="Arial" w:cs="Arial" w:eastAsia="Arial" w:hAnsi="Arial"/>
          <w:sz w:val="18"/>
          <w:szCs w:val="18"/>
          <w:color w:val="auto"/>
        </w:rPr>
        <w:t>THIS PROMISSORY NOTE (“NOTE”) HAS NOT BEEN REGISTERED UNDER THE SECURITIES ACT OF 1933, AS AMENDED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THIS NOTE HAS BEEN ACQUIRED FOR INVESTMENT ONLY AND MAY NOT BE SOLD, TRANSFERRED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ASSIGNED IN THE ABSENCE OF REGISTRATION OF THE RESALE THEREOF UNDER THE SECURITIES ACT OR AN OPINION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COUNSEL REASONABLY SATISFACTORY IN FORM, SCOPE AND SUBSTANCE TO THE COMPANY THAT SUCH REGISTRATION IS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vMerge w:val="restart"/>
          </w:tcPr>
          <w:p>
            <w:pPr>
              <w:spacing w:after="0"/>
              <w:rPr>
                <w:sz w:val="20"/>
                <w:szCs w:val="20"/>
                <w:color w:val="auto"/>
              </w:rPr>
            </w:pPr>
            <w:r>
              <w:rPr>
                <w:rFonts w:ascii="Arial" w:cs="Arial" w:eastAsia="Arial" w:hAnsi="Arial"/>
                <w:sz w:val="18"/>
                <w:szCs w:val="18"/>
                <w:color w:val="auto"/>
              </w:rPr>
              <w:t> </w:t>
            </w:r>
          </w:p>
        </w:tc>
        <w:tc>
          <w:tcPr>
            <w:tcW w:w="7500" w:type="dxa"/>
            <w:vAlign w:val="bottom"/>
          </w:tcPr>
          <w:p>
            <w:pPr>
              <w:jc w:val="right"/>
              <w:ind w:right="4650"/>
              <w:spacing w:after="0"/>
              <w:rPr>
                <w:sz w:val="20"/>
                <w:szCs w:val="20"/>
                <w:color w:val="auto"/>
              </w:rPr>
            </w:pPr>
            <w:r>
              <w:rPr>
                <w:rFonts w:ascii="Arial" w:cs="Arial" w:eastAsia="Arial" w:hAnsi="Arial"/>
                <w:sz w:val="18"/>
                <w:szCs w:val="18"/>
                <w:b w:val="1"/>
                <w:bCs w:val="1"/>
                <w:color w:val="auto"/>
              </w:rPr>
              <w:t>PROMISSORY NOTE</w:t>
            </w:r>
          </w:p>
        </w:tc>
        <w:tc>
          <w:tcPr>
            <w:tcW w:w="0" w:type="dxa"/>
            <w:vAlign w:val="bottom"/>
          </w:tcPr>
          <w:p>
            <w:pPr>
              <w:spacing w:after="0"/>
              <w:rPr>
                <w:sz w:val="1"/>
                <w:szCs w:val="1"/>
                <w:color w:val="auto"/>
              </w:rPr>
            </w:pPr>
          </w:p>
        </w:tc>
      </w:tr>
      <w:tr>
        <w:trPr>
          <w:trHeight w:val="183"/>
        </w:trPr>
        <w:tc>
          <w:tcPr>
            <w:tcW w:w="3740" w:type="dxa"/>
            <w:vAlign w:val="bottom"/>
            <w:vMerge w:val="continue"/>
          </w:tcPr>
          <w:p>
            <w:pPr>
              <w:spacing w:after="0"/>
              <w:rPr>
                <w:sz w:val="15"/>
                <w:szCs w:val="15"/>
                <w:color w:val="auto"/>
              </w:rPr>
            </w:pPr>
          </w:p>
        </w:tc>
        <w:tc>
          <w:tcPr>
            <w:tcW w:w="7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 </w:t>
            </w:r>
          </w:p>
        </w:tc>
        <w:tc>
          <w:tcPr>
            <w:tcW w:w="7500" w:type="dxa"/>
            <w:vAlign w:val="bottom"/>
          </w:tcPr>
          <w:p>
            <w:pPr>
              <w:jc w:val="right"/>
              <w:spacing w:after="0"/>
              <w:rPr>
                <w:sz w:val="20"/>
                <w:szCs w:val="20"/>
                <w:color w:val="auto"/>
              </w:rPr>
            </w:pPr>
            <w:r>
              <w:rPr>
                <w:rFonts w:ascii="Arial" w:cs="Arial" w:eastAsia="Arial" w:hAnsi="Arial"/>
                <w:sz w:val="18"/>
                <w:szCs w:val="18"/>
                <w:color w:val="auto"/>
              </w:rPr>
              <w:t>Dated as of December 16, 2022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Principal Amount: Up to $468,821.28</w:t>
            </w:r>
          </w:p>
        </w:tc>
        <w:tc>
          <w:tcPr>
            <w:tcW w:w="7500" w:type="dxa"/>
            <w:vAlign w:val="bottom"/>
          </w:tcPr>
          <w:p>
            <w:pPr>
              <w:jc w:val="right"/>
              <w:spacing w:after="0"/>
              <w:rPr>
                <w:sz w:val="20"/>
                <w:szCs w:val="20"/>
                <w:color w:val="auto"/>
              </w:rPr>
            </w:pPr>
            <w:r>
              <w:rPr>
                <w:rFonts w:ascii="Arial" w:cs="Arial" w:eastAsia="Arial" w:hAnsi="Arial"/>
                <w:sz w:val="18"/>
                <w:szCs w:val="18"/>
                <w:color w:val="auto"/>
              </w:rPr>
              <w:t>New York, New York</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 </w:t>
            </w:r>
          </w:p>
        </w:tc>
        <w:tc>
          <w:tcPr>
            <w:tcW w:w="7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6"/>
          <w:szCs w:val="16"/>
          <w:color w:val="auto"/>
        </w:rPr>
        <w:t>MedTech Acquisition Corporation, a special purpose acquisition company incorporated as a Delaware corporation (the “</w:t>
      </w:r>
      <w:r>
        <w:rPr>
          <w:rFonts w:ascii="Arial" w:cs="Arial" w:eastAsia="Arial" w:hAnsi="Arial"/>
          <w:sz w:val="16"/>
          <w:szCs w:val="16"/>
          <w:b w:val="1"/>
          <w:bCs w:val="1"/>
          <w:color w:val="auto"/>
        </w:rPr>
        <w:t>Maker</w:t>
      </w:r>
      <w:r>
        <w:rPr>
          <w:rFonts w:ascii="Arial" w:cs="Arial" w:eastAsia="Arial" w:hAnsi="Arial"/>
          <w:sz w:val="16"/>
          <w:szCs w:val="16"/>
          <w:color w:val="auto"/>
        </w:rPr>
        <w:t>”), promises to pay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order of MedTech Acquisition Sponsor LLC, or its registered assigns or successors in interest (the “</w:t>
      </w:r>
      <w:r>
        <w:rPr>
          <w:rFonts w:ascii="Arial" w:cs="Arial" w:eastAsia="Arial" w:hAnsi="Arial"/>
          <w:sz w:val="17"/>
          <w:szCs w:val="17"/>
          <w:b w:val="1"/>
          <w:bCs w:val="1"/>
          <w:color w:val="auto"/>
        </w:rPr>
        <w:t>Payee</w:t>
      </w:r>
      <w:r>
        <w:rPr>
          <w:rFonts w:ascii="Arial" w:cs="Arial" w:eastAsia="Arial" w:hAnsi="Arial"/>
          <w:sz w:val="17"/>
          <w:szCs w:val="17"/>
          <w:color w:val="auto"/>
        </w:rPr>
        <w:t>”), or order, the principal sum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$468,821.28 in lawful money of the United States of America, on the terms and conditions described below. All payments on this Note shall be made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check or wire transfer of immediately available funds to such account as the Payee may from time to time designate by written notice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 xml:space="preserve">1.            Principal. </w:t>
      </w:r>
      <w:r>
        <w:rPr>
          <w:rFonts w:ascii="Arial" w:cs="Arial" w:eastAsia="Arial" w:hAnsi="Arial"/>
          <w:sz w:val="18"/>
          <w:szCs w:val="18"/>
          <w:color w:val="auto"/>
        </w:rPr>
        <w:t>The principal balance of this Note shall be due and payable by the Maker (such date, the “</w:t>
      </w:r>
      <w:r>
        <w:rPr>
          <w:rFonts w:ascii="Arial" w:cs="Arial" w:eastAsia="Arial" w:hAnsi="Arial"/>
          <w:sz w:val="18"/>
          <w:szCs w:val="18"/>
          <w:b w:val="1"/>
          <w:bCs w:val="1"/>
          <w:color w:val="auto"/>
        </w:rPr>
        <w:t>Maturity Date</w:t>
      </w:r>
      <w:r>
        <w:rPr>
          <w:rFonts w:ascii="Arial" w:cs="Arial" w:eastAsia="Arial" w:hAnsi="Arial"/>
          <w:sz w:val="18"/>
          <w:szCs w:val="18"/>
          <w:color w:val="auto"/>
        </w:rPr>
        <w:t>”), subject to Section 12 below,</w:t>
      </w:r>
      <w:r>
        <w:rPr>
          <w:rFonts w:ascii="Arial" w:cs="Arial" w:eastAsia="Arial" w:hAnsi="Arial"/>
          <w:sz w:val="18"/>
          <w:szCs w:val="18"/>
          <w:b w:val="1"/>
          <w:bCs w:val="1"/>
          <w:color w:val="auto"/>
        </w:rPr>
        <w:t xml:space="preserve"> </w:t>
      </w:r>
      <w:r>
        <w:rPr>
          <w:rFonts w:ascii="Arial" w:cs="Arial" w:eastAsia="Arial" w:hAnsi="Arial"/>
          <w:sz w:val="18"/>
          <w:szCs w:val="18"/>
          <w:color w:val="auto"/>
        </w:rPr>
        <w:t>(a) upon the consummation of the Maker’s proposed initial business combination and (b) the date of the liquidation of the Maker.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Interest. </w:t>
      </w:r>
      <w:r>
        <w:rPr>
          <w:rFonts w:ascii="Arial" w:cs="Arial" w:eastAsia="Arial" w:hAnsi="Arial"/>
          <w:sz w:val="18"/>
          <w:szCs w:val="18"/>
          <w:color w:val="auto"/>
        </w:rPr>
        <w:t>No interest shall accrue on the unpaid principal balance of this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 xml:space="preserve">3.            Drawdown Requests. </w:t>
      </w:r>
      <w:r>
        <w:rPr>
          <w:rFonts w:ascii="Arial" w:cs="Arial" w:eastAsia="Arial" w:hAnsi="Arial"/>
          <w:sz w:val="16"/>
          <w:szCs w:val="16"/>
          <w:color w:val="auto"/>
        </w:rPr>
        <w:t>The Payee will fund up to $468,821.28 into the trust account of the Maker established in connection with its initial public</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and currently maintained by Continental Stock Transfer &amp; Trust Company, a New York corporation (the “</w:t>
      </w:r>
      <w:r>
        <w:rPr>
          <w:rFonts w:ascii="Arial" w:cs="Arial" w:eastAsia="Arial" w:hAnsi="Arial"/>
          <w:sz w:val="16"/>
          <w:szCs w:val="16"/>
          <w:b w:val="1"/>
          <w:bCs w:val="1"/>
          <w:color w:val="auto"/>
        </w:rPr>
        <w:t>Trust Account</w:t>
      </w:r>
      <w:r>
        <w:rPr>
          <w:rFonts w:ascii="Arial" w:cs="Arial" w:eastAsia="Arial" w:hAnsi="Arial"/>
          <w:sz w:val="16"/>
          <w:szCs w:val="16"/>
          <w:color w:val="auto"/>
        </w:rPr>
        <w:t>”), such amounts to be for the benefit of the holders of the Maker’s unredeemed shares of Class A common stock upon redemption or liquidation of the Maker in accordance with the Maker’s amended and restated certificate of incorporation, as amended. The principal of this Note may be drawn down in six equal amounts of $78,136.88</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per withdraw, between the 22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and 29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each month (or portion thereof) from December 2022 through June 2023 (provided that the first withdrawal hereunder may be made concurrently with the execution hereof), up until the date on which the Maker consummates its initial business combination, upon</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written request from the Maker to the Payee (each, a “</w:t>
      </w:r>
      <w:r>
        <w:rPr>
          <w:rFonts w:ascii="Arial" w:cs="Arial" w:eastAsia="Arial" w:hAnsi="Arial"/>
          <w:sz w:val="16"/>
          <w:szCs w:val="16"/>
          <w:b w:val="1"/>
          <w:bCs w:val="1"/>
          <w:color w:val="auto"/>
        </w:rPr>
        <w:t>Drawdown Request</w:t>
      </w:r>
      <w:r>
        <w:rPr>
          <w:rFonts w:ascii="Arial" w:cs="Arial" w:eastAsia="Arial" w:hAnsi="Arial"/>
          <w:sz w:val="16"/>
          <w:szCs w:val="16"/>
          <w:color w:val="auto"/>
        </w:rPr>
        <w:t>”). Each Drawdown Request must be made before the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each applicable monthly period (provided that, with respect to the first Drawdown Request hereunder, such Drawdown Request may be made concurrently with the execution hereof), and state the amount to be drawn down. The Payee, in its sole discretion, shall fund each Drawdown Request via a wire transfer directly</w:t>
      </w:r>
    </w:p>
    <w:p>
      <w:pPr>
        <w:spacing w:after="0" w:line="193" w:lineRule="auto"/>
        <w:rPr>
          <w:sz w:val="20"/>
          <w:szCs w:val="20"/>
          <w:color w:val="auto"/>
        </w:rPr>
      </w:pPr>
      <w:r>
        <w:rPr>
          <w:rFonts w:ascii="Arial" w:cs="Arial" w:eastAsia="Arial" w:hAnsi="Arial"/>
          <w:sz w:val="17"/>
          <w:szCs w:val="17"/>
          <w:color w:val="auto"/>
        </w:rPr>
        <w:t>to the Trust Account no later than the 29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each appliable monthly period;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maximum amount of drawdowns collectively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under this Note shall not exceed $468,821.28. Once an amount is drawn down under this Note, it shall not be available for future Drawdown Requests.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Except as set forth herein, no fees, payments or other amounts shall be due to the Payee in connection with, or as a result of, any Drawdown Request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Application of Payments. </w:t>
      </w:r>
      <w:r>
        <w:rPr>
          <w:rFonts w:ascii="Arial" w:cs="Arial" w:eastAsia="Arial" w:hAnsi="Arial"/>
          <w:sz w:val="16"/>
          <w:szCs w:val="16"/>
          <w:color w:val="auto"/>
        </w:rPr>
        <w:t>All payments shall be applied first to payment in full of any costs incurred in the collection of any sum due under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 including, without limitation, reasonable attorneys’ fees, and then to the payment in full of any late charges and finally to the reduction of the unpaid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balance of this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  Failure to Make Required Payments</w:t>
      </w:r>
      <w:r>
        <w:rPr>
          <w:rFonts w:ascii="Arial" w:cs="Arial" w:eastAsia="Arial" w:hAnsi="Arial"/>
          <w:sz w:val="16"/>
          <w:szCs w:val="16"/>
          <w:color w:val="auto"/>
        </w:rPr>
        <w:t>. Failure by the Maker to pay the principal amount due pursuant to this Note within five (5)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days of the 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          </w:t>
      </w:r>
      <w:r>
        <w:rPr>
          <w:rFonts w:ascii="Arial" w:cs="Arial" w:eastAsia="Arial" w:hAnsi="Arial"/>
          <w:sz w:val="17"/>
          <w:szCs w:val="17"/>
          <w:u w:val="single" w:color="auto"/>
          <w:color w:val="auto"/>
        </w:rPr>
        <w:t>  Voluntary Bankruptcy, Etc</w:t>
      </w:r>
      <w:r>
        <w:rPr>
          <w:rFonts w:ascii="Arial" w:cs="Arial" w:eastAsia="Arial" w:hAnsi="Arial"/>
          <w:sz w:val="17"/>
          <w:szCs w:val="17"/>
          <w:color w:val="auto"/>
        </w:rPr>
        <w:t>. The commencement by the Maker of a voluntary case under any applicable bankruptcy, insolvency,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rehabilitation or other similar law, or the consent by it to the appointment of or taking possession by a receiver, liquidator, assignee, trustee,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custodian, sequestrator (or other similar official) of the Maker or for any substantial part of its property, or the making by it of any assignment for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benefit of creditors, or the failure of the Maker generally to pay its debts as such debts become due, or the taking of corporate action by the Maker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furtherance of any of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  Involuntary Bankruptcy, Etc</w:t>
      </w:r>
      <w:r>
        <w:rPr>
          <w:rFonts w:ascii="Arial" w:cs="Arial" w:eastAsia="Arial" w:hAnsi="Arial"/>
          <w:sz w:val="18"/>
          <w:szCs w:val="18"/>
          <w:color w:val="auto"/>
        </w:rPr>
        <w:t>. The entry of a decree or order for relief by a court having jurisdiction in the premises in respect of the Maker in an involuntary case under any applicable bankruptcy, insolvency or other similar law, or appointing a receiver, liquidator, assignee, custodian, trustee, sequestrator (or similar official) of the Maker or for any substantial part of its property, or ordering the winding-up or liquidation of its affairs, and the continuance of any such decree or order unstayed and in effect for a period of sixty (60) consecutive days.  </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Remedies.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            </w:t>
      </w:r>
      <w:r>
        <w:rPr>
          <w:rFonts w:ascii="Arial" w:cs="Arial" w:eastAsia="Arial" w:hAnsi="Arial"/>
          <w:sz w:val="18"/>
          <w:szCs w:val="18"/>
          <w:color w:val="auto"/>
        </w:rPr>
        <w:t>Upon the occurrence of an Event of Default specified in Section 5(a) hereof, the Payee may, by written notice to the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  </w:t>
      </w:r>
    </w:p>
    <w:p>
      <w:pPr>
        <w:spacing w:after="0" w:line="207"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(b)</w:t>
      </w:r>
      <w:r>
        <w:rPr>
          <w:rFonts w:ascii="Arial" w:cs="Arial" w:eastAsia="Arial" w:hAnsi="Arial"/>
          <w:sz w:val="18"/>
          <w:szCs w:val="18"/>
          <w:b w:val="1"/>
          <w:bCs w:val="1"/>
          <w:color w:val="auto"/>
        </w:rPr>
        <w:t>            </w:t>
      </w:r>
      <w:r>
        <w:rPr>
          <w:rFonts w:ascii="Arial" w:cs="Arial" w:eastAsia="Arial" w:hAnsi="Arial"/>
          <w:sz w:val="18"/>
          <w:szCs w:val="18"/>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the Payee.  </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 xml:space="preserve">7.            Waivers. </w:t>
      </w:r>
      <w:r>
        <w:rPr>
          <w:rFonts w:ascii="Arial" w:cs="Arial" w:eastAsia="Arial" w:hAnsi="Arial"/>
          <w:sz w:val="18"/>
          <w:szCs w:val="18"/>
          <w:color w:val="auto"/>
        </w:rPr>
        <w:t>The Maker and all endorsers and guarantors of, and sureties for, this Note waive presentment for payment, demand, notice of dishonor,</w:t>
      </w:r>
      <w:r>
        <w:rPr>
          <w:rFonts w:ascii="Arial" w:cs="Arial" w:eastAsia="Arial" w:hAnsi="Arial"/>
          <w:sz w:val="18"/>
          <w:szCs w:val="18"/>
          <w:b w:val="1"/>
          <w:bCs w:val="1"/>
          <w:color w:val="auto"/>
        </w:rPr>
        <w:t xml:space="preserve"> </w:t>
      </w:r>
      <w:r>
        <w:rPr>
          <w:rFonts w:ascii="Arial" w:cs="Arial" w:eastAsia="Arial" w:hAnsi="Arial"/>
          <w:sz w:val="18"/>
          <w:szCs w:val="18"/>
          <w:color w:val="auto"/>
        </w:rPr>
        <w:t>protest, and notice of protest with regard to this Note, all errors, defects and imperfections in any proceedings instituted by the Payee under the terms of this Note, and all benefits that might accrue to the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the Maker agrees that any real estate that may be levied upon pursuant to a judgment obtained by virtue hereof or any writ of execution issued hereon, may be sold upon any such writ in whole or in part in any order desired by the Payee.  </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            Unconditional Liability. </w:t>
      </w:r>
      <w:r>
        <w:rPr>
          <w:rFonts w:ascii="Arial" w:cs="Arial" w:eastAsia="Arial" w:hAnsi="Arial"/>
          <w:sz w:val="16"/>
          <w:szCs w:val="16"/>
          <w:color w:val="auto"/>
        </w:rPr>
        <w:t>The Maker hereby waives all notices in connection with the delivery, acceptance, performance, default, or enforcement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payment of this Note, and agrees that its liability shall be unconditional, without regard to the liability of any other party, and shall not be affected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manner by any indulgence, extension of time, renewal, waiver or modification granted or consented to by the Payee, and consents to any and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extensions of time, renewals, waivers, or modifications that may be granted by the Payee with respect to the payment or other provisions of this Note,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agrees that additional makers, endorsers, guarantors, or sureties may become parties hereto without notice to the Maker or affecting the Maker’s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 xml:space="preserve">9.            Notices. </w:t>
      </w:r>
      <w:r>
        <w:rPr>
          <w:rFonts w:ascii="Arial" w:cs="Arial" w:eastAsia="Arial" w:hAnsi="Arial"/>
          <w:sz w:val="18"/>
          <w:szCs w:val="18"/>
          <w:color w:val="auto"/>
        </w:rPr>
        <w:t>All notices, statements or other documents which are required or contemplated by this Note shall be made in writing and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(a) personally or sent by first class registered or certified mail, overnight courier service or facsimile or electronic transmission to the address designated in writing, (b) by facsimile to the number most recently provided to such party or such other address or fax number as may be designated in writing by such party or (c)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  </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10.          Construction. </w:t>
      </w:r>
      <w:r>
        <w:rPr>
          <w:rFonts w:ascii="Arial" w:cs="Arial" w:eastAsia="Arial" w:hAnsi="Arial"/>
          <w:sz w:val="17"/>
          <w:szCs w:val="17"/>
          <w:color w:val="auto"/>
        </w:rPr>
        <w:t>THIS NOTE SHALL BE CONSTRUED AND ENFORCED IN ACCORDANCE WITH THE LAWS OF DELAWARE, WITHOUT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REGARD TO CONFLICT OF LAW PROVISIONS THEREOF.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11.          Severability. </w:t>
      </w:r>
      <w:r>
        <w:rPr>
          <w:rFonts w:ascii="Arial" w:cs="Arial" w:eastAsia="Arial" w:hAnsi="Arial"/>
          <w:sz w:val="18"/>
          <w:szCs w:val="18"/>
          <w:color w:val="auto"/>
        </w:rPr>
        <w:t>Any provision contained in this Note, which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12.          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w:t>
      </w:r>
      <w:r>
        <w:rPr>
          <w:rFonts w:ascii="Arial" w:cs="Arial" w:eastAsia="Arial" w:hAnsi="Arial"/>
          <w:sz w:val="17"/>
          <w:szCs w:val="17"/>
          <w:color w:val="auto"/>
        </w:rPr>
        <w:t>”) in or to any distribution of or from the Trust Account in which the proceeds of the initial public offering (“the “</w:t>
      </w:r>
      <w:r>
        <w:rPr>
          <w:rFonts w:ascii="Arial" w:cs="Arial" w:eastAsia="Arial" w:hAnsi="Arial"/>
          <w:sz w:val="17"/>
          <w:szCs w:val="17"/>
          <w:b w:val="1"/>
          <w:bCs w:val="1"/>
          <w:color w:val="auto"/>
        </w:rPr>
        <w:t>IPO</w:t>
      </w:r>
      <w:r>
        <w:rPr>
          <w:rFonts w:ascii="Arial" w:cs="Arial" w:eastAsia="Arial" w:hAnsi="Arial"/>
          <w:sz w:val="17"/>
          <w:szCs w:val="17"/>
          <w:color w:val="auto"/>
        </w:rPr>
        <w:t>”) conducted by the Maker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the deferred underwriters’ discounts and commissions) and the proceeds of the sale of the units issued in a private placement that occurred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closing of the IPO were deposited, as described in greater detail in the Maker’s Registration Statement on Form S-1 (File No. 333-251037) filed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in connection with the IPO, and hereby agrees not to seek recourse, reimbursement, payment or satisfaction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Claim against the Trust Account for any reason whatsoever.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w:t>
      </w:r>
      <w:r>
        <w:rPr>
          <w:rFonts w:ascii="Arial" w:cs="Arial" w:eastAsia="Arial" w:hAnsi="Arial"/>
          <w:sz w:val="16"/>
          <w:szCs w:val="16"/>
          <w:color w:val="auto"/>
        </w:rPr>
        <w:t>.</w:t>
      </w:r>
      <w:r>
        <w:rPr>
          <w:rFonts w:ascii="Arial" w:cs="Arial" w:eastAsia="Arial" w:hAnsi="Arial"/>
          <w:sz w:val="16"/>
          <w:szCs w:val="16"/>
          <w:b w:val="1"/>
          <w:bCs w:val="1"/>
          <w:color w:val="auto"/>
        </w:rPr>
        <w:t xml:space="preserve">          Amendment; Waiver. </w:t>
      </w:r>
      <w:r>
        <w:rPr>
          <w:rFonts w:ascii="Arial" w:cs="Arial" w:eastAsia="Arial" w:hAnsi="Arial"/>
          <w:sz w:val="16"/>
          <w:szCs w:val="16"/>
          <w:color w:val="auto"/>
        </w:rPr>
        <w:t>Any amendment hereto or waiver of any provision hereof may be made with, and only with, the written consent of the Maker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Payee.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Assignment. </w:t>
      </w:r>
      <w:r>
        <w:rPr>
          <w:rFonts w:ascii="Arial" w:cs="Arial" w:eastAsia="Arial" w:hAnsi="Arial"/>
          <w:sz w:val="18"/>
          <w:szCs w:val="18"/>
          <w:color w:val="auto"/>
        </w:rPr>
        <w:t>Maker may not assign or transfer this Note or any of its rights or obligations hereunder (by operation of law or otherwise)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written consent of Payee and any attempted assignment without the required consent shall be void.  </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 Signature page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Maker, intending to be legally bound hereby, has caused this Note to be duly executed by the undersigned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day and year first above written.</w:t>
      </w:r>
    </w:p>
    <w:tbl>
      <w:tblPr>
        <w:tblLayout w:type="fixed"/>
        <w:tblInd w:w="0" w:type="dxa"/>
        <w:tblCellMar>
          <w:top w:w="0" w:type="dxa"/>
          <w:left w:w="0" w:type="dxa"/>
          <w:bottom w:w="0" w:type="dxa"/>
          <w:right w:w="0" w:type="dxa"/>
        </w:tblCellMar>
      </w:tblPr>
      <w:tr>
        <w:trPr>
          <w:trHeight w:val="202"/>
        </w:trPr>
        <w:tc>
          <w:tcPr>
            <w:tcW w:w="284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8400" w:type="dxa"/>
            <w:vAlign w:val="bottom"/>
            <w:gridSpan w:val="3"/>
            <w:vMerge w:val="restart"/>
          </w:tcPr>
          <w:p>
            <w:pPr>
              <w:ind w:left="2800"/>
              <w:spacing w:after="0"/>
              <w:rPr>
                <w:sz w:val="20"/>
                <w:szCs w:val="20"/>
                <w:color w:val="auto"/>
              </w:rPr>
            </w:pPr>
            <w:r>
              <w:rPr>
                <w:rFonts w:ascii="Arial" w:cs="Arial" w:eastAsia="Arial" w:hAnsi="Arial"/>
                <w:sz w:val="18"/>
                <w:szCs w:val="18"/>
                <w:b w:val="1"/>
                <w:bCs w:val="1"/>
                <w:color w:val="auto"/>
              </w:rPr>
              <w:t>MedTech Acquisition Corporation</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 </w:t>
            </w:r>
          </w:p>
        </w:tc>
        <w:tc>
          <w:tcPr>
            <w:tcW w:w="84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 </w:t>
            </w:r>
          </w:p>
        </w:tc>
        <w:tc>
          <w:tcPr>
            <w:tcW w:w="3140" w:type="dxa"/>
            <w:vAlign w:val="bottom"/>
          </w:tcPr>
          <w:p>
            <w:pPr>
              <w:ind w:left="280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 </w:t>
            </w:r>
          </w:p>
        </w:tc>
        <w:tc>
          <w:tcPr>
            <w:tcW w:w="3140" w:type="dxa"/>
            <w:vAlign w:val="bottom"/>
          </w:tcPr>
          <w:p>
            <w:pPr>
              <w:ind w:left="280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/s/ Christopher C. Dewey</w:t>
            </w:r>
          </w:p>
        </w:tc>
        <w:tc>
          <w:tcPr>
            <w:tcW w:w="0" w:type="dxa"/>
            <w:vAlign w:val="bottom"/>
          </w:tcPr>
          <w:p>
            <w:pPr>
              <w:spacing w:after="0"/>
              <w:rPr>
                <w:sz w:val="1"/>
                <w:szCs w:val="1"/>
                <w:color w:val="auto"/>
              </w:rPr>
            </w:pPr>
          </w:p>
        </w:tc>
      </w:tr>
      <w:tr>
        <w:trPr>
          <w:trHeight w:val="195"/>
        </w:trPr>
        <w:tc>
          <w:tcPr>
            <w:tcW w:w="2840" w:type="dxa"/>
            <w:vAlign w:val="bottom"/>
          </w:tcPr>
          <w:p>
            <w:pPr>
              <w:spacing w:after="0" w:line="195" w:lineRule="exact"/>
              <w:rPr>
                <w:sz w:val="20"/>
                <w:szCs w:val="20"/>
                <w:color w:val="auto"/>
              </w:rPr>
            </w:pPr>
            <w:r>
              <w:rPr>
                <w:rFonts w:ascii="Arial" w:cs="Arial" w:eastAsia="Arial" w:hAnsi="Arial"/>
                <w:sz w:val="18"/>
                <w:szCs w:val="18"/>
                <w:color w:val="auto"/>
              </w:rPr>
              <w:t> </w:t>
            </w:r>
          </w:p>
        </w:tc>
        <w:tc>
          <w:tcPr>
            <w:tcW w:w="3140" w:type="dxa"/>
            <w:vAlign w:val="bottom"/>
          </w:tcPr>
          <w:p>
            <w:pPr>
              <w:ind w:left="2800"/>
              <w:spacing w:after="0" w:line="195" w:lineRule="exact"/>
              <w:rPr>
                <w:sz w:val="20"/>
                <w:szCs w:val="20"/>
                <w:color w:val="auto"/>
              </w:rPr>
            </w:pPr>
            <w:r>
              <w:rPr>
                <w:rFonts w:ascii="Arial" w:cs="Arial" w:eastAsia="Arial" w:hAnsi="Arial"/>
                <w:sz w:val="18"/>
                <w:szCs w:val="18"/>
                <w:color w:val="auto"/>
              </w:rPr>
              <w:t> </w:t>
            </w:r>
          </w:p>
        </w:tc>
        <w:tc>
          <w:tcPr>
            <w:tcW w:w="5260" w:type="dxa"/>
            <w:vAlign w:val="bottom"/>
            <w:gridSpan w:val="2"/>
          </w:tcPr>
          <w:p>
            <w:pPr>
              <w:spacing w:after="0" w:line="195" w:lineRule="exact"/>
              <w:rPr>
                <w:sz w:val="20"/>
                <w:szCs w:val="20"/>
                <w:color w:val="auto"/>
              </w:rPr>
            </w:pPr>
            <w:r>
              <w:rPr>
                <w:rFonts w:ascii="Arial" w:cs="Arial" w:eastAsia="Arial" w:hAnsi="Arial"/>
                <w:sz w:val="18"/>
                <w:szCs w:val="18"/>
                <w:color w:val="auto"/>
              </w:rPr>
              <w:t>Name: Christopher C. Dewey  </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 </w:t>
            </w:r>
          </w:p>
        </w:tc>
        <w:tc>
          <w:tcPr>
            <w:tcW w:w="3140" w:type="dxa"/>
            <w:vAlign w:val="bottom"/>
          </w:tcPr>
          <w:p>
            <w:pPr>
              <w:ind w:left="280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 </w:t>
            </w:r>
          </w:p>
        </w:tc>
        <w:tc>
          <w:tcPr>
            <w:tcW w:w="8400" w:type="dxa"/>
            <w:vAlign w:val="bottom"/>
            <w:gridSpan w:val="3"/>
            <w:vMerge w:val="restart"/>
          </w:tcPr>
          <w:p>
            <w:pPr>
              <w:ind w:left="2800"/>
              <w:spacing w:after="0"/>
              <w:rPr>
                <w:sz w:val="20"/>
                <w:szCs w:val="20"/>
                <w:color w:val="auto"/>
              </w:rPr>
            </w:pPr>
            <w:r>
              <w:rPr>
                <w:rFonts w:ascii="Arial" w:cs="Arial" w:eastAsia="Arial" w:hAnsi="Arial"/>
                <w:sz w:val="18"/>
                <w:szCs w:val="18"/>
                <w:b w:val="1"/>
                <w:bCs w:val="1"/>
                <w:color w:val="auto"/>
              </w:rPr>
              <w:t>MedTech Acquisition Sponsor LLC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 </w:t>
            </w:r>
          </w:p>
        </w:tc>
        <w:tc>
          <w:tcPr>
            <w:tcW w:w="84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 </w:t>
            </w:r>
          </w:p>
        </w:tc>
        <w:tc>
          <w:tcPr>
            <w:tcW w:w="3140" w:type="dxa"/>
            <w:vAlign w:val="bottom"/>
          </w:tcPr>
          <w:p>
            <w:pPr>
              <w:ind w:left="280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 </w:t>
            </w:r>
          </w:p>
        </w:tc>
        <w:tc>
          <w:tcPr>
            <w:tcW w:w="3140" w:type="dxa"/>
            <w:vAlign w:val="bottom"/>
          </w:tcPr>
          <w:p>
            <w:pPr>
              <w:ind w:left="280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J. Matlin</w:t>
            </w:r>
          </w:p>
        </w:tc>
        <w:tc>
          <w:tcPr>
            <w:tcW w:w="0" w:type="dxa"/>
            <w:vAlign w:val="bottom"/>
          </w:tcPr>
          <w:p>
            <w:pPr>
              <w:spacing w:after="0"/>
              <w:rPr>
                <w:sz w:val="1"/>
                <w:szCs w:val="1"/>
                <w:color w:val="auto"/>
              </w:rPr>
            </w:pPr>
          </w:p>
        </w:tc>
      </w:tr>
      <w:tr>
        <w:trPr>
          <w:trHeight w:val="195"/>
        </w:trPr>
        <w:tc>
          <w:tcPr>
            <w:tcW w:w="2840" w:type="dxa"/>
            <w:vAlign w:val="bottom"/>
          </w:tcPr>
          <w:p>
            <w:pPr>
              <w:spacing w:after="0" w:line="195" w:lineRule="exact"/>
              <w:rPr>
                <w:sz w:val="20"/>
                <w:szCs w:val="20"/>
                <w:color w:val="auto"/>
              </w:rPr>
            </w:pPr>
            <w:r>
              <w:rPr>
                <w:rFonts w:ascii="Arial" w:cs="Arial" w:eastAsia="Arial" w:hAnsi="Arial"/>
                <w:sz w:val="18"/>
                <w:szCs w:val="18"/>
                <w:color w:val="auto"/>
              </w:rPr>
              <w:t> </w:t>
            </w:r>
          </w:p>
        </w:tc>
        <w:tc>
          <w:tcPr>
            <w:tcW w:w="3140" w:type="dxa"/>
            <w:vAlign w:val="bottom"/>
          </w:tcPr>
          <w:p>
            <w:pPr>
              <w:ind w:left="2800"/>
              <w:spacing w:after="0" w:line="195" w:lineRule="exact"/>
              <w:rPr>
                <w:sz w:val="20"/>
                <w:szCs w:val="20"/>
                <w:color w:val="auto"/>
              </w:rPr>
            </w:pPr>
            <w:r>
              <w:rPr>
                <w:rFonts w:ascii="Arial" w:cs="Arial" w:eastAsia="Arial" w:hAnsi="Arial"/>
                <w:sz w:val="18"/>
                <w:szCs w:val="18"/>
                <w:color w:val="auto"/>
              </w:rPr>
              <w:t> </w:t>
            </w:r>
          </w:p>
        </w:tc>
        <w:tc>
          <w:tcPr>
            <w:tcW w:w="5260" w:type="dxa"/>
            <w:vAlign w:val="bottom"/>
            <w:gridSpan w:val="2"/>
          </w:tcPr>
          <w:p>
            <w:pPr>
              <w:spacing w:after="0" w:line="195" w:lineRule="exact"/>
              <w:rPr>
                <w:sz w:val="20"/>
                <w:szCs w:val="20"/>
                <w:color w:val="auto"/>
              </w:rPr>
            </w:pPr>
            <w:r>
              <w:rPr>
                <w:rFonts w:ascii="Arial" w:cs="Arial" w:eastAsia="Arial" w:hAnsi="Arial"/>
                <w:sz w:val="18"/>
                <w:szCs w:val="18"/>
                <w:color w:val="auto"/>
              </w:rPr>
              <w:t>Name:  David J. Matlin</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 </w:t>
            </w:r>
          </w:p>
        </w:tc>
        <w:tc>
          <w:tcPr>
            <w:tcW w:w="3140" w:type="dxa"/>
            <w:vAlign w:val="bottom"/>
          </w:tcPr>
          <w:p>
            <w:pPr>
              <w:ind w:left="280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80"/>
              <w:spacing w:after="0"/>
              <w:rPr>
                <w:sz w:val="20"/>
                <w:szCs w:val="20"/>
                <w:color w:val="auto"/>
              </w:rPr>
            </w:pPr>
            <w:r>
              <w:rPr>
                <w:rFonts w:ascii="Arial" w:cs="Arial" w:eastAsia="Arial" w:hAnsi="Arial"/>
                <w:sz w:val="18"/>
                <w:szCs w:val="18"/>
                <w:color w:val="auto"/>
              </w:rPr>
              <w:t>Managing Member</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3140" w:type="dxa"/>
            <w:vAlign w:val="bottom"/>
          </w:tcPr>
          <w:p>
            <w:pPr>
              <w:ind w:left="278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[Signature Page – Promissory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 </w:t>
      </w:r>
    </w:p>
    <w:p>
      <w:pPr>
        <w:spacing w:after="0" w:line="9" w:lineRule="exact"/>
        <w:rPr>
          <w:sz w:val="20"/>
          <w:szCs w:val="20"/>
          <w:color w:val="auto"/>
        </w:rPr>
      </w:pPr>
    </w:p>
    <w:p>
      <w:pPr>
        <w:ind w:left="10120"/>
        <w:spacing w:after="0"/>
        <w:rPr>
          <w:sz w:val="20"/>
          <w:szCs w:val="20"/>
          <w:color w:val="auto"/>
        </w:rPr>
      </w:pPr>
      <w:r>
        <w:rPr>
          <w:rFonts w:ascii="Arial" w:cs="Arial" w:eastAsia="Arial" w:hAnsi="Arial"/>
          <w:sz w:val="19"/>
          <w:szCs w:val="19"/>
          <w:b w:val="1"/>
          <w:bCs w:val="1"/>
          <w:color w:val="auto"/>
        </w:rPr>
        <w:t>Exhibit 10.2</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rPr>
          <w:sz w:val="20"/>
          <w:szCs w:val="20"/>
          <w:color w:val="auto"/>
        </w:rPr>
      </w:pPr>
      <w:r>
        <w:rPr>
          <w:rFonts w:ascii="Arial" w:cs="Arial" w:eastAsia="Arial" w:hAnsi="Arial"/>
          <w:sz w:val="18"/>
          <w:szCs w:val="18"/>
          <w:color w:val="auto"/>
        </w:rPr>
        <w:t>THIS PROMISSORY NOTE (“NOTE”) HAS NOT BEEN REGISTERED UNDER THE SECURITIES ACT OF 1933, AS AMENDED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THIS NOTE HAS BEEN ACQUIRED FOR INVESTMENT ONLY AND MAY NOT BE SOLD, TRANSFERRED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ASSIGNED IN THE ABSENCE OF REGISTRATION OF THE RESALE THEREOF UNDER THE SECURITIES ACT OR AN OPINION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COUNSEL REASONABLY SATISFACTORY IN FORM, SCOPE AND SUBSTANCE TO THE MAKER THAT SUCH REGISTRATION IS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PROMISSORY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$1,000,000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Date: December 16,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MedTech Acquisition Corporation,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MedTech Acquisition Sponsor LLC, a Delaware limited liability company, or its registered assigns or successors in interest or order (the “</w:t>
      </w:r>
      <w:r>
        <w:rPr>
          <w:rFonts w:ascii="Arial" w:cs="Arial" w:eastAsia="Arial" w:hAnsi="Arial"/>
          <w:sz w:val="18"/>
          <w:szCs w:val="18"/>
          <w:b w:val="1"/>
          <w:bCs w:val="1"/>
          <w:color w:val="auto"/>
        </w:rPr>
        <w:t>Payee</w:t>
      </w:r>
      <w:r>
        <w:rPr>
          <w:rFonts w:ascii="Arial" w:cs="Arial" w:eastAsia="Arial" w:hAnsi="Arial"/>
          <w:sz w:val="18"/>
          <w:szCs w:val="18"/>
          <w:color w:val="auto"/>
        </w:rPr>
        <w:t>”), the principal sum of up to One Million Dollars ($1,000,000) (the “</w:t>
      </w:r>
      <w:r>
        <w:rPr>
          <w:rFonts w:ascii="Arial" w:cs="Arial" w:eastAsia="Arial" w:hAnsi="Arial"/>
          <w:sz w:val="18"/>
          <w:szCs w:val="18"/>
          <w:b w:val="1"/>
          <w:bCs w:val="1"/>
          <w:color w:val="auto"/>
        </w:rPr>
        <w:t>Principal Amount</w:t>
      </w:r>
      <w:r>
        <w:rPr>
          <w:rFonts w:ascii="Arial" w:cs="Arial" w:eastAsia="Arial" w:hAnsi="Arial"/>
          <w:sz w:val="18"/>
          <w:szCs w:val="18"/>
          <w:color w:val="auto"/>
        </w:rPr>
        <w:t>”) in lawful money of the United States of America, on the terms and conditions described below. All payments on this Note shall be made by check or wire transfer of immediately available funds or as otherwise determined by Maker to such account as Payee may from time to time designate by written notice in accordance with the provisions of this Note.  </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1.            Repayment. </w:t>
      </w:r>
      <w:r>
        <w:rPr>
          <w:rFonts w:ascii="Arial" w:cs="Arial" w:eastAsia="Arial" w:hAnsi="Arial"/>
          <w:sz w:val="18"/>
          <w:szCs w:val="18"/>
          <w:color w:val="auto"/>
        </w:rPr>
        <w:t>The Payee shall be obligated to lend to the Maker the Principal Amount. The principal balance of this Note shall be repayable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on which the Maker consummates a merger, capital stock exchange, asset acquisition, stock purchase, reorganization or similar business combination with one or more businesses (the “</w:t>
      </w:r>
      <w:r>
        <w:rPr>
          <w:rFonts w:ascii="Arial" w:cs="Arial" w:eastAsia="Arial" w:hAnsi="Arial"/>
          <w:sz w:val="18"/>
          <w:szCs w:val="18"/>
          <w:b w:val="1"/>
          <w:bCs w:val="1"/>
          <w:color w:val="auto"/>
        </w:rPr>
        <w:t>Initial Business Combination</w:t>
      </w:r>
      <w:r>
        <w:rPr>
          <w:rFonts w:ascii="Arial" w:cs="Arial" w:eastAsia="Arial" w:hAnsi="Arial"/>
          <w:sz w:val="18"/>
          <w:szCs w:val="18"/>
          <w:color w:val="auto"/>
        </w:rPr>
        <w:t>”). No amount shall be due under this Note if such Initial Business Combination is not consummated on or before the 24 month anniversary of the date of the completion of the Maker’s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or such extended date as provided in the Maker’s Amended and Restated Certificate of Incorporation, as amended from time to time.  </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Interest.</w:t>
      </w:r>
      <w:r>
        <w:rPr>
          <w:rFonts w:ascii="Arial" w:cs="Arial" w:eastAsia="Arial" w:hAnsi="Arial"/>
          <w:sz w:val="18"/>
          <w:szCs w:val="18"/>
          <w:color w:val="auto"/>
        </w:rPr>
        <w:t> This Note shall bear no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 xml:space="preserve">3.            Drawdown Requests. </w:t>
      </w:r>
      <w:r>
        <w:rPr>
          <w:rFonts w:ascii="Arial" w:cs="Arial" w:eastAsia="Arial" w:hAnsi="Arial"/>
          <w:sz w:val="18"/>
          <w:szCs w:val="18"/>
          <w:color w:val="auto"/>
        </w:rPr>
        <w:t>Maker and Payee agree that Maker may request up to One Million Dollars ($1,000,000) for costs reasonably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Maker’s Initial Business Combination of its securities. The principal of this Note may be drawn down from time to time prior to the earlier of: (i) the date on which Maker consummates its Initial Business Combination and (ii) the date that the winding up of Maker is effective, upon written request from Maker to Payee (each, a “</w:t>
      </w:r>
      <w:r>
        <w:rPr>
          <w:rFonts w:ascii="Arial" w:cs="Arial" w:eastAsia="Arial" w:hAnsi="Arial"/>
          <w:sz w:val="18"/>
          <w:szCs w:val="18"/>
          <w:b w:val="1"/>
          <w:bCs w:val="1"/>
          <w:color w:val="auto"/>
        </w:rPr>
        <w:t>Drawdown Request</w:t>
      </w:r>
      <w:r>
        <w:rPr>
          <w:rFonts w:ascii="Arial" w:cs="Arial" w:eastAsia="Arial" w:hAnsi="Arial"/>
          <w:sz w:val="18"/>
          <w:szCs w:val="18"/>
          <w:color w:val="auto"/>
        </w:rPr>
        <w:t>”). Each Drawdown Request must state the amount to be drawn down, and must not be an amount less than Ten Thousand Dollars ($10,000) unless agreed upon by Maker and Payee. Payee shall fund each Drawdown Request no later than five (5) business days after receipt of a Drawdown Request; provided, however, that the maximum amount of drawdowns collectively under this Note is One Million Dollars ($1,000,000). Once an amount is drawn down under this Note, it shall not be available for future Drawdown Requests even if prepaid. No fees, payments or other amounts shall be due to Payee in connection with, or as a result of, any Drawdown Request by Maker. Notwithstanding the foregoing, all payments shall be applied first to payment in full of any costs incurred in the collection of any sum due under this Note, including (without limitation) reasonable attorneys’ fees, and then to the reduction of the unpaid principal balance of this Note.  </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Application of Payments.</w:t>
      </w:r>
      <w:r>
        <w:rPr>
          <w:rFonts w:ascii="Arial" w:cs="Arial" w:eastAsia="Arial" w:hAnsi="Arial"/>
          <w:sz w:val="16"/>
          <w:szCs w:val="16"/>
          <w:color w:val="auto"/>
        </w:rPr>
        <w:t> All payments received by Payee pursuant to this Note shall be applied first to the payment in full of any costs incurred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collection of any sum due under this Note, including (without limitation) reasonable attorney’s fees, and then to the reduction of the unpaid principal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of this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Events of Default.</w:t>
      </w:r>
      <w:r>
        <w:rPr>
          <w:rFonts w:ascii="Arial" w:cs="Arial" w:eastAsia="Arial" w:hAnsi="Arial"/>
          <w:sz w:val="18"/>
          <w:szCs w:val="18"/>
          <w:color w:val="auto"/>
        </w:rPr>
        <w:t> 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  Failure to Make Required Payments</w:t>
      </w:r>
      <w:r>
        <w:rPr>
          <w:rFonts w:ascii="Arial" w:cs="Arial" w:eastAsia="Arial" w:hAnsi="Arial"/>
          <w:sz w:val="16"/>
          <w:szCs w:val="16"/>
          <w:color w:val="auto"/>
        </w:rPr>
        <w:t>. Failure by Maker to pay the Principal Amount due pursuant to this Note within five (5) business days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date specified above.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spacing w:after="0"/>
        <w:tabs>
          <w:tab w:leader="none" w:pos="5560" w:val="left"/>
          <w:tab w:leader="none" w:pos="112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w:t>
      </w:r>
      <w:r>
        <w:rPr>
          <w:rFonts w:ascii="Arial" w:cs="Arial" w:eastAsia="Arial" w:hAnsi="Arial"/>
          <w:sz w:val="16"/>
          <w:szCs w:val="16"/>
          <w:u w:val="single" w:color="auto"/>
          <w:color w:val="auto"/>
        </w:rPr>
        <w:t>  Voluntary Bankruptcy, Etc</w:t>
      </w:r>
      <w:r>
        <w:rPr>
          <w:rFonts w:ascii="Arial" w:cs="Arial" w:eastAsia="Arial" w:hAnsi="Arial"/>
          <w:sz w:val="16"/>
          <w:szCs w:val="16"/>
          <w:color w:val="auto"/>
        </w:rPr>
        <w:t>. The commencement by Maker of a voluntary case under any applicable bankruptcy, insolvency, reorganization,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rehabilitation or other similar law, or the consent by it to the appointment of or taking possession by a receiver, liquidator, assignee, trustee, custodian,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sequestrator (or other similar official) of Maker or for any substantial part of its property, or the making by it of any assignment for the benefit of creditors,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the failure of Maker generally to pay its debts as such debts become due, or the taking of corporate action by Maker in furtherance of any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  Involuntary Bankruptcy, Etc</w:t>
      </w:r>
      <w:r>
        <w:rPr>
          <w:rFonts w:ascii="Arial" w:cs="Arial" w:eastAsia="Arial" w:hAnsi="Arial"/>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Remedies.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Upon the occurrence of an Event of Default specified in Section 5(a) hereof, Payee may, by written notice to Maker, declare this Note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immediately and payable, whereupon the unpaid Principal Amount of this Note, and all other amounts payable hereunder, shall become immediately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and payable without presentment, demand, protest or other notice of any kind, all of which are hereby expressly waived, anything contained herein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documents evidencing the same to the contrary notwithstanding.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(b)           Upon the occurrence of an Event of Default specified in Sections 5(b) and 5(c) hereof, the unpaid principal balance of this Note, and all other amounts payable hereunder, shall automatically and immediately become due and payable, in all cases without any action on the part of Payee.  </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7.            Waivers.</w:t>
      </w:r>
      <w:r>
        <w:rPr>
          <w:rFonts w:ascii="Arial" w:cs="Arial" w:eastAsia="Arial" w:hAnsi="Arial"/>
          <w:sz w:val="18"/>
          <w:szCs w:val="18"/>
          <w:color w:val="auto"/>
        </w:rPr>
        <w:t> Maker and all endorsers and guarantors of, and sureties for, this Note waive presentment for payment, demand, notice of dishonor, protest,</w:t>
      </w:r>
      <w:r>
        <w:rPr>
          <w:rFonts w:ascii="Arial" w:cs="Arial" w:eastAsia="Arial" w:hAnsi="Arial"/>
          <w:sz w:val="18"/>
          <w:szCs w:val="18"/>
          <w:b w:val="1"/>
          <w:bCs w:val="1"/>
          <w:color w:val="auto"/>
        </w:rPr>
        <w:t xml:space="preserve"> </w:t>
      </w:r>
      <w:r>
        <w:rPr>
          <w:rFonts w:ascii="Arial" w:cs="Arial" w:eastAsia="Arial" w:hAnsi="Arial"/>
          <w:sz w:val="18"/>
          <w:szCs w:val="18"/>
          <w:color w:val="auto"/>
        </w:rPr>
        <w:t>and notice of protest with regard to this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or personal property that may be levied upon pursuant to a judgment obtained by virtue hereof, or any writ of execution issued hereon, may be sold upon any such writ in whole or in part in any order desired by Payee.  </w:t>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8.            Unconditional Liability.</w:t>
      </w:r>
      <w:r>
        <w:rPr>
          <w:rFonts w:ascii="Arial" w:cs="Arial" w:eastAsia="Arial" w:hAnsi="Arial"/>
          <w:sz w:val="18"/>
          <w:szCs w:val="18"/>
          <w:color w:val="auto"/>
        </w:rPr>
        <w:t> 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  </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Notices.</w:t>
      </w:r>
      <w:r>
        <w:rPr>
          <w:rFonts w:ascii="Arial" w:cs="Arial" w:eastAsia="Arial" w:hAnsi="Arial"/>
          <w:sz w:val="16"/>
          <w:szCs w:val="16"/>
          <w:color w:val="auto"/>
        </w:rPr>
        <w:t> All notices, statements or other documents which are required or contemplated by this Note shall be: (i) in writing and delivered personally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sent by first class registered or certified mail, overnight courier service or facsimile or electronic transmission to the address designated in writing, (ii)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to the number most recently provided to such party or such other address or fax number as may be designated in writing by such party and (iii)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electronic mail, to the electronic mail address most recently provided to such party or such other electronic mail address as may be designated in writing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party. Any notice or other communication so transmitted shall be deemed to have been given on the day of delivery, if delivered personally,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day following receipt of written confirmation, if sent by facsimile or electronic transmission, one (1) business day after delivery to an overnight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courier service or five (5) days after mailing if sent by 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spacing w:after="0"/>
        <w:tabs>
          <w:tab w:leader="none" w:pos="5560" w:val="left"/>
          <w:tab w:leader="none" w:pos="112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Construction.</w:t>
      </w:r>
      <w:r>
        <w:rPr>
          <w:rFonts w:ascii="Arial" w:cs="Arial" w:eastAsia="Arial" w:hAnsi="Arial"/>
          <w:sz w:val="17"/>
          <w:szCs w:val="17"/>
          <w:color w:val="auto"/>
        </w:rPr>
        <w:t> THIS NOTE SHALL BE CONSTRUED AND ENFORCED IN ACCORDANCE WITH THE LAWS OF DELAWARE, WITHOUT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REGARD TO THE CONFLICT OF LAWS PROVISIONS THEREOF.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11.          Severability.</w:t>
      </w:r>
      <w:r>
        <w:rPr>
          <w:rFonts w:ascii="Arial" w:cs="Arial" w:eastAsia="Arial" w:hAnsi="Arial"/>
          <w:sz w:val="18"/>
          <w:szCs w:val="18"/>
          <w:color w:val="auto"/>
        </w:rPr>
        <w:t> Any provision contained in this Note which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spacing w:after="0" w:line="20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12.          Trust Waiver</w:t>
      </w:r>
      <w:r>
        <w:rPr>
          <w:rFonts w:ascii="Arial" w:cs="Arial" w:eastAsia="Arial" w:hAnsi="Arial"/>
          <w:sz w:val="18"/>
          <w:szCs w:val="18"/>
          <w:color w:val="auto"/>
        </w:rPr>
        <w:t>.  Notwithstanding anything herein to the contrary, Payee hereby waives any claim in or to any distribution of or from the trust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in connection with Maker’s initial public offering (the “IPO”),, and hereby agrees not to seek recourse, reimbursement, payment or satisfaction for any claim against the trust account for any reason whatsoever; provided, however, that upon the consummation of the initial business combination, Maker shall repay the principal balance of this Note out of the proceeds released to Maker from the trust account.  </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w:t>
      </w:r>
      <w:r>
        <w:rPr>
          <w:rFonts w:ascii="Arial" w:cs="Arial" w:eastAsia="Arial" w:hAnsi="Arial"/>
          <w:sz w:val="16"/>
          <w:szCs w:val="16"/>
          <w:color w:val="auto"/>
        </w:rPr>
        <w:t>.</w:t>
      </w:r>
      <w:r>
        <w:rPr>
          <w:rFonts w:ascii="Arial" w:cs="Arial" w:eastAsia="Arial" w:hAnsi="Arial"/>
          <w:sz w:val="16"/>
          <w:szCs w:val="16"/>
          <w:b w:val="1"/>
          <w:bCs w:val="1"/>
          <w:color w:val="auto"/>
        </w:rPr>
        <w:t>          Amendment; Waiver</w:t>
      </w:r>
      <w:r>
        <w:rPr>
          <w:rFonts w:ascii="Arial" w:cs="Arial" w:eastAsia="Arial" w:hAnsi="Arial"/>
          <w:sz w:val="16"/>
          <w:szCs w:val="16"/>
          <w:color w:val="auto"/>
        </w:rPr>
        <w:t>.  Any amendment hereto or waiver of any provision hereof may be made with, and only with, the written consent of Maker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Assignment</w:t>
      </w:r>
      <w:r>
        <w:rPr>
          <w:rFonts w:ascii="Arial" w:cs="Arial" w:eastAsia="Arial" w:hAnsi="Arial"/>
          <w:sz w:val="18"/>
          <w:szCs w:val="18"/>
          <w:color w:val="auto"/>
        </w:rPr>
        <w:t>. No assignment or transfer of this Note or any rights or obligations hereunder may be made by any party hereto (by operation of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without the prior written consent of the other party hereto and any attempted assignment without the required consent shall be void; provided, however, that the foregoing shall not apply to an affiliate of Payee who agrees to be bound to the terms of this Note.  </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spacing w:after="0"/>
        <w:tabs>
          <w:tab w:leader="none" w:pos="5560" w:val="left"/>
          <w:tab w:leader="none" w:pos="112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Maker, intending to be legally bound hereby, has caused this Note to be duly executed by the undersigned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tbl>
      <w:tblPr>
        <w:tblLayout w:type="fixed"/>
        <w:tblInd w:w="0" w:type="dxa"/>
        <w:tblCellMar>
          <w:top w:w="0" w:type="dxa"/>
          <w:left w:w="0" w:type="dxa"/>
          <w:bottom w:w="0" w:type="dxa"/>
          <w:right w:w="0" w:type="dxa"/>
        </w:tblCellMar>
      </w:tblPr>
      <w:tr>
        <w:trPr>
          <w:trHeight w:val="202"/>
        </w:trPr>
        <w:tc>
          <w:tcPr>
            <w:tcW w:w="282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31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8440" w:type="dxa"/>
            <w:vAlign w:val="bottom"/>
            <w:gridSpan w:val="3"/>
          </w:tcPr>
          <w:p>
            <w:pPr>
              <w:ind w:left="2820"/>
              <w:spacing w:after="0"/>
              <w:rPr>
                <w:sz w:val="20"/>
                <w:szCs w:val="20"/>
                <w:color w:val="auto"/>
              </w:rPr>
            </w:pPr>
            <w:r>
              <w:rPr>
                <w:rFonts w:ascii="Arial" w:cs="Arial" w:eastAsia="Arial" w:hAnsi="Arial"/>
                <w:sz w:val="18"/>
                <w:szCs w:val="18"/>
                <w:color w:val="auto"/>
              </w:rPr>
              <w:t>MEDTECH ACQUISITION CORPORATION</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314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5300" w:type="dxa"/>
            <w:vAlign w:val="bottom"/>
            <w:gridSpan w:val="2"/>
          </w:tcPr>
          <w:p>
            <w:pPr>
              <w:spacing w:after="0"/>
              <w:rPr>
                <w:sz w:val="20"/>
                <w:szCs w:val="20"/>
                <w:color w:val="auto"/>
              </w:rPr>
            </w:pPr>
            <w:r>
              <w:rPr>
                <w:rFonts w:ascii="Arial" w:cs="Arial" w:eastAsia="Arial" w:hAnsi="Arial"/>
                <w:sz w:val="18"/>
                <w:szCs w:val="18"/>
                <w:color w:val="auto"/>
              </w:rPr>
              <w:t> </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8440" w:type="dxa"/>
            <w:vAlign w:val="bottom"/>
            <w:gridSpan w:val="3"/>
          </w:tcPr>
          <w:p>
            <w:pPr>
              <w:ind w:left="2820"/>
              <w:spacing w:after="0"/>
              <w:rPr>
                <w:sz w:val="20"/>
                <w:szCs w:val="20"/>
                <w:color w:val="auto"/>
              </w:rPr>
            </w:pPr>
            <w:r>
              <w:rPr>
                <w:rFonts w:ascii="Arial" w:cs="Arial" w:eastAsia="Arial" w:hAnsi="Arial"/>
                <w:sz w:val="18"/>
                <w:szCs w:val="18"/>
                <w:color w:val="auto"/>
              </w:rPr>
              <w:t>By: /s/ Christopher C. Dewey</w:t>
            </w:r>
          </w:p>
        </w:tc>
      </w:tr>
      <w:tr>
        <w:trPr>
          <w:trHeight w:val="195"/>
        </w:trPr>
        <w:tc>
          <w:tcPr>
            <w:tcW w:w="2820" w:type="dxa"/>
            <w:vAlign w:val="bottom"/>
          </w:tcPr>
          <w:p>
            <w:pPr>
              <w:spacing w:after="0" w:line="195" w:lineRule="exact"/>
              <w:rPr>
                <w:sz w:val="20"/>
                <w:szCs w:val="20"/>
                <w:color w:val="auto"/>
              </w:rPr>
            </w:pPr>
            <w:r>
              <w:rPr>
                <w:rFonts w:ascii="Arial" w:cs="Arial" w:eastAsia="Arial" w:hAnsi="Arial"/>
                <w:sz w:val="18"/>
                <w:szCs w:val="18"/>
                <w:color w:val="auto"/>
              </w:rPr>
              <w:t> </w:t>
            </w:r>
          </w:p>
        </w:tc>
        <w:tc>
          <w:tcPr>
            <w:tcW w:w="314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 </w:t>
            </w: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Christopher C. Dewey  </w:t>
            </w:r>
          </w:p>
        </w:tc>
        <w:tc>
          <w:tcPr>
            <w:tcW w:w="20" w:type="dxa"/>
            <w:vAlign w:val="bottom"/>
          </w:tcPr>
          <w:p>
            <w:pPr>
              <w:spacing w:after="0"/>
              <w:rPr>
                <w:sz w:val="16"/>
                <w:szCs w:val="16"/>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8440" w:type="dxa"/>
            <w:vAlign w:val="bottom"/>
            <w:gridSpan w:val="3"/>
          </w:tcPr>
          <w:p>
            <w:pPr>
              <w:ind w:left="2820"/>
              <w:spacing w:after="0"/>
              <w:rPr>
                <w:sz w:val="20"/>
                <w:szCs w:val="20"/>
                <w:color w:val="auto"/>
              </w:rPr>
            </w:pPr>
            <w:r>
              <w:rPr>
                <w:rFonts w:ascii="Arial" w:cs="Arial" w:eastAsia="Arial" w:hAnsi="Arial"/>
                <w:sz w:val="18"/>
                <w:szCs w:val="18"/>
                <w:color w:val="auto"/>
              </w:rPr>
              <w:t>    Title: Chief Executive Officer</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31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314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5300" w:type="dxa"/>
            <w:vAlign w:val="bottom"/>
            <w:gridSpan w:val="2"/>
          </w:tcPr>
          <w:p>
            <w:pPr>
              <w:ind w:left="5260"/>
              <w:spacing w:after="0"/>
              <w:rPr>
                <w:sz w:val="20"/>
                <w:szCs w:val="20"/>
                <w:color w:val="auto"/>
              </w:rPr>
            </w:pPr>
            <w:r>
              <w:rPr>
                <w:rFonts w:ascii="Arial" w:cs="Arial" w:eastAsia="Arial" w:hAnsi="Arial"/>
                <w:sz w:val="13"/>
                <w:szCs w:val="13"/>
                <w:color w:val="auto"/>
                <w:w w:val="75"/>
              </w:rPr>
              <w:t> </w:t>
            </w:r>
          </w:p>
        </w:tc>
      </w:tr>
      <w:tr>
        <w:trPr>
          <w:trHeight w:val="318"/>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w:t>
            </w:r>
          </w:p>
        </w:tc>
        <w:tc>
          <w:tcPr>
            <w:tcW w:w="3140" w:type="dxa"/>
            <w:vAlign w:val="bottom"/>
            <w:tcBorders>
              <w:top w:val="single" w:sz="8" w:color="auto"/>
            </w:tcBorders>
          </w:tcPr>
          <w:p>
            <w:pPr>
              <w:spacing w:after="0"/>
              <w:rPr>
                <w:sz w:val="24"/>
                <w:szCs w:val="24"/>
                <w:color w:val="auto"/>
              </w:rPr>
            </w:pPr>
          </w:p>
        </w:tc>
        <w:tc>
          <w:tcPr>
            <w:tcW w:w="5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0"/>
      </w:cols>
      <w:pgMar w:left="320" w:top="22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lowerRoman"/>
      <w:start w:val="4"/>
    </w:lvl>
  </w:abstractNum>
  <w:abstractNum w:abstractNumId="5">
    <w:nsid w:val="41B71EFB"/>
    <w:multiLevelType w:val="hybridMultilevel"/>
    <w:lvl w:ilvl="0">
      <w:lvlJc w:val="left"/>
      <w:lvlText w:val="(%1)"/>
      <w:numFmt w:val="lowerRoman"/>
      <w:start w:val="9"/>
    </w:lvl>
  </w:abstractNum>
  <w:abstractNum w:abstractNumId="6">
    <w:nsid w:val="79E2A9E3"/>
    <w:multiLevelType w:val="hybridMultilevel"/>
    <w:lvl w:ilvl="0">
      <w:lvlJc w:val="left"/>
      <w:lvlText w:val="(%1)"/>
      <w:numFmt w:val="lowerRoman"/>
      <w:start w:val="18"/>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2022-12-19T05:10:39Z</dcterms:created>
  <dcterms:modified xsi:type="dcterms:W3CDTF">2022-12-19T05:10:39Z</dcterms:modified>
</cp:coreProperties>
</file>