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TRISALUS LIFE SCIENCES,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810" w:gutter="0" w:footer="0" w:header="0"/>
        </w:sectPr>
      </w:pPr>
    </w:p>
    <w:p>
      <w:pPr>
        <w:spacing w:after="0" w:line="200" w:lineRule="exact"/>
        <w:rPr>
          <w:sz w:val="24"/>
          <w:szCs w:val="24"/>
          <w:color w:val="auto"/>
        </w:rPr>
      </w:pPr>
    </w:p>
    <w:p>
      <w:pPr>
        <w:spacing w:after="0" w:line="235"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001-39813</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70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85-3009869</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520" w:space="720"/>
            <w:col w:w="2740" w:space="720"/>
            <w:col w:w="2540"/>
          </w:cols>
          <w:pgMar w:left="320" w:top="760" w:right="339" w:bottom="810" w:gutter="0" w:footer="0" w:header="0"/>
          <w:type w:val="continuous"/>
        </w:sectPr>
      </w:pPr>
    </w:p>
    <w:p>
      <w:pPr>
        <w:spacing w:after="0" w:line="223"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6272 W. 91st Ave., Westminster, Colorado</w:t>
      </w:r>
    </w:p>
    <w:p>
      <w:pPr>
        <w:spacing w:after="0" w:line="5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600"/>
        <w:spacing w:after="0"/>
        <w:rPr>
          <w:sz w:val="20"/>
          <w:szCs w:val="20"/>
          <w:color w:val="auto"/>
        </w:rPr>
      </w:pPr>
      <w:r>
        <w:rPr>
          <w:rFonts w:ascii="Arial" w:cs="Arial" w:eastAsia="Arial" w:hAnsi="Arial"/>
          <w:sz w:val="18"/>
          <w:szCs w:val="18"/>
          <w:b w:val="1"/>
          <w:bCs w:val="1"/>
          <w:color w:val="auto"/>
        </w:rPr>
        <w:t>80031</w:t>
      </w:r>
    </w:p>
    <w:p>
      <w:pPr>
        <w:spacing w:after="0" w:line="27" w:lineRule="exact"/>
        <w:rPr>
          <w:sz w:val="24"/>
          <w:szCs w:val="24"/>
          <w:color w:val="auto"/>
        </w:rPr>
      </w:pPr>
    </w:p>
    <w:p>
      <w:pPr>
        <w:jc w:val="center"/>
        <w:ind w:right="2600"/>
        <w:spacing w:after="0"/>
        <w:rPr>
          <w:sz w:val="20"/>
          <w:szCs w:val="20"/>
          <w:color w:val="auto"/>
        </w:rPr>
      </w:pPr>
      <w:r>
        <w:rPr>
          <w:rFonts w:ascii="Arial" w:cs="Arial" w:eastAsia="Arial" w:hAnsi="Arial"/>
          <w:sz w:val="16"/>
          <w:szCs w:val="16"/>
          <w:b w:val="1"/>
          <w:bCs w:val="1"/>
          <w:color w:val="auto"/>
        </w:rPr>
        <w:t>(Zip Code)</w:t>
      </w:r>
    </w:p>
    <w:p>
      <w:pPr>
        <w:spacing w:after="0" w:line="211" w:lineRule="exact"/>
        <w:rPr>
          <w:sz w:val="24"/>
          <w:szCs w:val="24"/>
          <w:color w:val="auto"/>
        </w:rPr>
      </w:pPr>
    </w:p>
    <w:p>
      <w:pPr>
        <w:sectPr>
          <w:pgSz w:w="11900" w:h="16838" w:orient="portrait"/>
          <w:cols w:equalWidth="0" w:num="2">
            <w:col w:w="7080" w:space="720"/>
            <w:col w:w="3440"/>
          </w:cols>
          <w:pgMar w:left="320" w:top="760" w:right="339" w:bottom="810" w:gutter="0" w:footer="0" w:header="0"/>
          <w:type w:val="continuous"/>
        </w:sect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(888) 321-5212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MedTech Acquisition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48 Maple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30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868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Written communications pursuant to Rule 425 under the Securities Act (17 CFR 230.425)</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868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pursuant to Rule 14a-12 under the Exchange Act (17 CFR 240.14a-12)</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868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Pre-commencement communications pursuant to Rule 14d-2(b) under the Exchange Act (17 CFR 240.14d-2(b))</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868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Pre-commencement communications pursuant to Rule 13e-4(c) under the Exchange Act (17 CFR 240-13e-4(c))</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04"/>
        </w:trPr>
        <w:tc>
          <w:tcPr>
            <w:tcW w:w="86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4"/>
        </w:trPr>
        <w:tc>
          <w:tcPr>
            <w:tcW w:w="8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w:t>
            </w:r>
          </w:p>
        </w:tc>
      </w:tr>
      <w:tr>
        <w:trPr>
          <w:trHeight w:val="216"/>
        </w:trPr>
        <w:tc>
          <w:tcPr>
            <w:tcW w:w="8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6"/>
              </w:rPr>
              <w:t>exchange</w:t>
            </w:r>
          </w:p>
        </w:tc>
      </w:tr>
      <w:tr>
        <w:trPr>
          <w:trHeight w:val="234"/>
        </w:trPr>
        <w:tc>
          <w:tcPr>
            <w:tcW w:w="86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Title of each class</w:t>
            </w:r>
          </w:p>
        </w:tc>
        <w:tc>
          <w:tcPr>
            <w:tcW w:w="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symbol(s)</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191"/>
        </w:trPr>
        <w:tc>
          <w:tcPr>
            <w:tcW w:w="86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$0.0001 par value per share</w:t>
            </w:r>
          </w:p>
        </w:tc>
        <w:tc>
          <w:tcPr>
            <w:tcW w:w="60" w:type="dxa"/>
            <w:vAlign w:val="bottom"/>
          </w:tcPr>
          <w:p>
            <w:pPr>
              <w:spacing w:after="0"/>
              <w:rPr>
                <w:sz w:val="16"/>
                <w:szCs w:val="16"/>
                <w:color w:val="auto"/>
              </w:rPr>
            </w:pPr>
          </w:p>
        </w:tc>
        <w:tc>
          <w:tcPr>
            <w:tcW w:w="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TLSI</w:t>
            </w:r>
          </w:p>
        </w:tc>
        <w:tc>
          <w:tcPr>
            <w:tcW w:w="60" w:type="dxa"/>
            <w:vAlign w:val="bottom"/>
          </w:tcPr>
          <w:p>
            <w:pPr>
              <w:spacing w:after="0"/>
              <w:rPr>
                <w:sz w:val="16"/>
                <w:szCs w:val="16"/>
                <w:color w:val="auto"/>
              </w:rPr>
            </w:pPr>
          </w:p>
        </w:tc>
        <w:tc>
          <w:tcPr>
            <w:tcW w:w="1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Nasdaq Global</w:t>
            </w:r>
          </w:p>
        </w:tc>
      </w:tr>
      <w:tr>
        <w:trPr>
          <w:trHeight w:val="216"/>
        </w:trPr>
        <w:tc>
          <w:tcPr>
            <w:tcW w:w="8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r>
      <w:tr>
        <w:trPr>
          <w:trHeight w:val="216"/>
        </w:trPr>
        <w:tc>
          <w:tcPr>
            <w:tcW w:w="86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Warrants, each whole warrant exercisable for one share of Common Stock at an exercise price of $11.50 per</w:t>
            </w:r>
          </w:p>
        </w:tc>
        <w:tc>
          <w:tcPr>
            <w:tcW w:w="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TLSIW</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Nasdaq Global</w:t>
            </w:r>
          </w:p>
        </w:tc>
      </w:tr>
      <w:tr>
        <w:trPr>
          <w:trHeight w:val="234"/>
        </w:trPr>
        <w:tc>
          <w:tcPr>
            <w:tcW w:w="86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share</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r>
    </w:tbl>
    <w:p>
      <w:pPr>
        <w:spacing w:after="0" w:line="202" w:lineRule="exact"/>
        <w:rPr>
          <w:sz w:val="24"/>
          <w:szCs w:val="24"/>
          <w:color w:val="auto"/>
        </w:rPr>
      </w:pPr>
    </w:p>
    <w:p>
      <w:pPr>
        <w:jc w:val="both"/>
        <w:ind w:right="14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26"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80"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81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TriSalus Life Sciences, Inc. (formerly known as MedTech Acquisition Corporation (“MTAC”)), a Delaware corporation (“New TriSalus” or the “Company”), previously entered into that certain Agreement and Plan of Merger, dated as of November 11, 2022, as amended by that certain First Amendment to Agreement and Plan of Merger, dated as of April 4, 2023, the Second Amendment to Agreement and Plan of Merger, dated as of May 13, 2023, and the Third Amendment to Agreement and Plan of Merger, dated as of July 5, 2023 (as amended, the “Merger Agreement”), with MTAC Merger Sub, Inc., a Delaware corporation and wholly-owned subsidiary of MTAC (“Merger Sub”) and TriSalus Operating Life Sciences, Inc. (formerly known as TriSalus Life Sciences, Inc.), a Delaware corporation (“Legacy TriSalus”). In connection with the business combination contemplated by the Merger Agreement, MTAC filed a registration statement on Form S-4 (File No. 333-269138) (as amended, the “Registration Statement”) with the U.S. Securities and Exchange Commission (the “SEC”). On July 18, 2023, the Registration Statement was declared effective by the SEC and on July 18, 2023, MTAC filed a Definitive Proxy Statement/Prospectus (the “Proxy Statement/Prospectus”).</w:t>
      </w:r>
    </w:p>
    <w:p>
      <w:pPr>
        <w:spacing w:after="0" w:line="18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August 10, 2023 (the “Closing Date”), as contemplated in the Merger Agreement and described in the section titled “</w:t>
      </w:r>
      <w:r>
        <w:rPr>
          <w:rFonts w:ascii="Arial" w:cs="Arial" w:eastAsia="Arial" w:hAnsi="Arial"/>
          <w:sz w:val="18"/>
          <w:szCs w:val="18"/>
          <w:i w:val="1"/>
          <w:iCs w:val="1"/>
          <w:color w:val="auto"/>
        </w:rPr>
        <w:t>Proposal 1 –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Proposal</w:t>
      </w:r>
      <w:r>
        <w:rPr>
          <w:rFonts w:ascii="Arial" w:cs="Arial" w:eastAsia="Arial" w:hAnsi="Arial"/>
          <w:sz w:val="18"/>
          <w:szCs w:val="18"/>
          <w:color w:val="auto"/>
        </w:rPr>
        <w:t>” beginning on page 133 of the Proxy Statement/Prospectus, New TriSalus consummated the merger transactions contemplated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Merger Agreement, following the approval by MTAC’s stockholders at a special meeting of stockholders held on August 8, 2023 (the “MTAC Stockholder Meeting”), whereby Merger Sub merged with and into Legacy TriSalus with the separate corporate existence of Merger Sub ceasing (the “Merger” and, together with the other transactions contemplated by the Merger Agreement, the “Business Combination”). The closing of the Business Combination is herein referred to as “the Closing.” In connection with the consummation of the Merger on the Closing Date, MTAC changed its name from MedTech Acquisition Corporation to TriSalus Life Sciences, Inc. and Legacy TriSalus changed its name from TriSalus Life Sciences, Inc. to TriSalus Operating Life Sciences, Inc.</w:t>
      </w:r>
    </w:p>
    <w:p>
      <w:pPr>
        <w:spacing w:after="0" w:line="19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Immediately prior to the effective time of the Merger, each share of preferred stock of Legacy TriSalus (“Legacy TriSalus Preferred Stock”) converted into shares of common stock of Legacy TriSalus (“Legacy TriSalus Common Stock”) in accordance with the Amended and Restated Certificate of Incorporation of Legacy TriSalus (such conversion, the “Legacy TriSalus Preferred Stock Conversion”) and each warrant of Legacy TriSalus that was unexercised and unexpired was net exercised into Legacy TriSalus Common Stock (the “Legacy TriSalus Warrant Exercise”).</w:t>
      </w:r>
    </w:p>
    <w:p>
      <w:pPr>
        <w:spacing w:after="0" w:line="171" w:lineRule="exact"/>
        <w:rPr>
          <w:sz w:val="20"/>
          <w:szCs w:val="20"/>
          <w:color w:val="auto"/>
        </w:rPr>
      </w:pPr>
    </w:p>
    <w:p>
      <w:pPr>
        <w:ind w:right="160" w:firstLine="324"/>
        <w:spacing w:after="0" w:line="287" w:lineRule="auto"/>
        <w:rPr>
          <w:sz w:val="20"/>
          <w:szCs w:val="20"/>
          <w:color w:val="auto"/>
        </w:rPr>
      </w:pPr>
      <w:r>
        <w:rPr>
          <w:rFonts w:ascii="Arial" w:cs="Arial" w:eastAsia="Arial" w:hAnsi="Arial"/>
          <w:sz w:val="16"/>
          <w:szCs w:val="16"/>
          <w:color w:val="auto"/>
        </w:rPr>
        <w:t>As a result of the Merger and upon the Closing, among other things, (1) all outstanding shares of Legacy TriSalus Common Stock as of immediately prior to the Closing (including Legacy TriSalus Common Stock resulting from the Legacy TriSalus Preferred Stock Conversion and Legacy TriSalus Warrant Exercise), were exchanged at an exchange ratio of 0.02471853 (the “Exchange Ratio”) for an aggregate of 21,999,886 shares of common stock, par value $0.0001 per share, of New TriSalus (“New TriSalus Common Stock”), (2) each option to purchase shares of Legacy TriSalus Common Stock, whether vested or unvested, converted into an option to purchase shares of New TriSalus Common Stock (“New TriSalus Assumed Option”), with each New TriSalus Assumed Option subject to the same terms and conditions as were applicable to the original Legacy TriSalus option and with the resulting exercise price and number of shares of New TriSalus Common Stock purchasable based on the Exchange Ratio and other terms contained in the Merger Agreement and (3) each Legacy TriSalus restricted stock unit award converted into a restricted stock unit award to receive shares of New TriSalus Common Stock (“New TriSalus Assumed RSU Award”), with each New TriSalus Assumed RSU Award subject to the same terms and conditions as were applicable to the original Legacy TriSalus restricted stock unit award, and with the number of shares of New TriSalus Common Stock to which the New TriSalus Assumed RSU Award relates being based on the Exchange Ratio and other terms contained in the Merger Agreement.</w:t>
      </w:r>
    </w:p>
    <w:p>
      <w:pPr>
        <w:spacing w:after="0" w:line="17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Unless the context otherwise requires, “we,” “us,” “our” and the “Company” refer to New TriSalus and its consolidated subsidiaries following the Closing and references to “MTAC” refer to MedTech Acquisition Corporation at or prior to the Closing. All references herein to the “New TriSalus Board” refer to the board of directors of the Company after giving effect to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 w:name="page3"/>
    <w:bookmarkEnd w:id="2"/>
    <w:p>
      <w:pPr>
        <w:ind w:right="120" w:firstLine="324"/>
        <w:spacing w:after="0" w:line="257" w:lineRule="auto"/>
        <w:rPr>
          <w:sz w:val="20"/>
          <w:szCs w:val="20"/>
          <w:color w:val="auto"/>
        </w:rPr>
      </w:pPr>
      <w:r>
        <w:rPr>
          <w:rFonts w:ascii="Arial" w:cs="Arial" w:eastAsia="Arial" w:hAnsi="Arial"/>
          <w:sz w:val="18"/>
          <w:szCs w:val="18"/>
          <w:color w:val="auto"/>
        </w:rPr>
        <w:t>In connection with the MTAC Stockholder Meeting and the Business Combination, the holders of 890,499 shares of MTAC’s Class A common stock, par value $0.0001 per share (the “Class A Common Stock”), exercised their right to redeem their shares for cash at a redemption price of approximately $10.58 per share, for an aggregate redemption amount of approximately $9.4 million. Upon the Closing, the Company received approximately $42.9 million in gross proceeds, comprising approximately $2.7 million from the MTAC trust account and $40,150,020 from the PIPE Financing (as defined below).</w:t>
      </w:r>
    </w:p>
    <w:p>
      <w:pPr>
        <w:spacing w:after="0" w:line="188"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At the Closing, MTAC’s public units were automatically separated into their component securities upon consummation of the Business Combination and, as a result, no longer trade as a separate security and were delisted from The Nasdaq Stock Market LLC (“Nasdaq”). On the business day following the Closing, there were 26,316,681 issued and outstanding shares of New TriSalus Common Stock</w:t>
      </w:r>
      <w:r>
        <w:rPr>
          <w:rFonts w:ascii="Arial" w:cs="Arial" w:eastAsia="Arial" w:hAnsi="Arial"/>
          <w:sz w:val="18"/>
          <w:szCs w:val="18"/>
          <w:u w:val="single" w:color="auto"/>
          <w:color w:val="auto"/>
        </w:rPr>
        <w:t>.</w:t>
      </w:r>
    </w:p>
    <w:p>
      <w:pPr>
        <w:spacing w:after="0" w:line="184"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color w:val="auto"/>
        </w:rPr>
        <w:t>The foregoing description of the Merger Agreement is a summary only and is qualified in its entirety by the full text of the Merger Agreement (including amendments), copies of which are attached hereto as Exhibits 2.1, 2.2, 2.3 and 2.4, which are incorporated herein by reference.</w:t>
      </w:r>
    </w:p>
    <w:p>
      <w:pPr>
        <w:spacing w:after="0" w:line="12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Capitalized terms used in this Current Report on Form 8-K but not otherwise defined herein shall have the meanings ascribed to those terms in the Proxy Statement/Prospectus.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Financing</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On June 7, 2023 and July 4, 2023, MTAC entered into separate subscription agreements (each, a “Subscription Agreement”) with certain investors (the “Preferred Stock PIPE Investors”) pursuant to which MTAC agreed to issue and sell to the Preferred Stock PIPE Investors, in private placements to close concurrently with the Closing Date, an aggregate of 4,015,002 shares of Series A Convertible Preferred Stock of the Company (the “PIPE Shares”), for a purchase price of $10.00 per share and an aggregate purchase price of $40,150,020. Pursuant to the Subscription Agreements, the Company gave certain registration rights to the Preferred Stock PIPE Investors with respect to the shares of common stock that are issuable upon conversion of the PIPE Shares and agreed to file, not later than 30 days after the Closing Date, a registration statement to register the resale of the PIPE Shares. The sale of PIPE Shares was consummated concurrently with the Closing (the “PIPE Financing”). A description of the Subscription Agreements is included in the Proxy Statement/Prospectus in the section entitled “</w:t>
      </w:r>
      <w:r>
        <w:rPr>
          <w:rFonts w:ascii="Arial" w:cs="Arial" w:eastAsia="Arial" w:hAnsi="Arial"/>
          <w:sz w:val="17"/>
          <w:szCs w:val="17"/>
          <w:i w:val="1"/>
          <w:iCs w:val="1"/>
          <w:color w:val="auto"/>
        </w:rPr>
        <w:t>Proposal 1 – The Business Combination Proposal – Certain Related Agreements – Subscription Agreements</w:t>
      </w:r>
      <w:r>
        <w:rPr>
          <w:rFonts w:ascii="Arial" w:cs="Arial" w:eastAsia="Arial" w:hAnsi="Arial"/>
          <w:sz w:val="17"/>
          <w:szCs w:val="17"/>
          <w:color w:val="auto"/>
        </w:rPr>
        <w:t>” beginning on page 153 of the Proxy Statement/Prospectus.</w:t>
      </w:r>
    </w:p>
    <w:p>
      <w:pPr>
        <w:spacing w:after="0" w:line="181" w:lineRule="exact"/>
        <w:rPr>
          <w:sz w:val="20"/>
          <w:szCs w:val="20"/>
          <w:color w:val="auto"/>
        </w:rPr>
      </w:pPr>
    </w:p>
    <w:p>
      <w:pPr>
        <w:ind w:right="720" w:firstLine="324"/>
        <w:spacing w:after="0" w:line="342" w:lineRule="auto"/>
        <w:rPr>
          <w:sz w:val="20"/>
          <w:szCs w:val="20"/>
          <w:color w:val="auto"/>
        </w:rPr>
      </w:pPr>
      <w:r>
        <w:rPr>
          <w:rFonts w:ascii="Arial" w:cs="Arial" w:eastAsia="Arial" w:hAnsi="Arial"/>
          <w:sz w:val="16"/>
          <w:szCs w:val="16"/>
          <w:color w:val="auto"/>
        </w:rPr>
        <w:t>The foregoing description of the Subscription Agreements is a summary only and is qualified in its entirety by the full text of the forms of the Subscription Agreements, copies of which are attached hereto as Exhibit 10.2 and Exhibit 10.3, and are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the Closing Date, in connection with the consummation of the Business Combination and as contemplated by the Merger Agreement, New TriSalus, MedTech Acquisition Sponsor LLC (the “Sponsor”), the members of the Sponsor, and certain former stockholders of Legacy TriSalus entered into an amended and restated registration rights agreement (the “Amended and Restated Registration Rights Agreement”). Pursuant to the Amended and Restated Registration Rights Agreement, the Company agreed to file, not later than 45 days after the Closing Date, a registration statement to register for resale, pursuant to Rule 415 under the Securities Act of 1933, as amended (the “Securities Act”), certain New TriSalus securities that are held by the parties thereto (the “Registrable Securities”). Pursuant to the Amended and Restated Registration Rights Agreement, subject to certain requirements and customary conditions, the Company also grants piggyback registration rights and demand registration rights to the parties thereto, will pay certain expenses related to such registration and will indemnify the parties thereto against certain liabilities related to such registration. The Amended and Restated Registration Rights Agreement will terminate with respect to any party thereto, on the date that such party no longer holds any Registrable Securities. The terms of the Amended and Restated Registration Rights Agreement are described in the Proxy Statement/Prospectus in the section entitled “</w:t>
      </w:r>
      <w:r>
        <w:rPr>
          <w:rFonts w:ascii="Arial" w:cs="Arial" w:eastAsia="Arial" w:hAnsi="Arial"/>
          <w:sz w:val="17"/>
          <w:szCs w:val="17"/>
          <w:i w:val="1"/>
          <w:iCs w:val="1"/>
          <w:color w:val="auto"/>
        </w:rPr>
        <w:t>Proposal 1 –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Proposal – Certain Related Agreements – Amended and Restated Registration Rights Agreement</w:t>
      </w:r>
      <w:r>
        <w:rPr>
          <w:rFonts w:ascii="Arial" w:cs="Arial" w:eastAsia="Arial" w:hAnsi="Arial"/>
          <w:sz w:val="17"/>
          <w:szCs w:val="17"/>
          <w:color w:val="auto"/>
        </w:rPr>
        <w:t>” on page 152 of the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ind w:right="120" w:firstLine="324"/>
        <w:spacing w:after="0" w:line="308" w:lineRule="auto"/>
        <w:rPr>
          <w:sz w:val="20"/>
          <w:szCs w:val="20"/>
          <w:color w:val="auto"/>
        </w:rPr>
      </w:pPr>
      <w:r>
        <w:rPr>
          <w:rFonts w:ascii="Arial" w:cs="Arial" w:eastAsia="Arial" w:hAnsi="Arial"/>
          <w:sz w:val="17"/>
          <w:szCs w:val="17"/>
          <w:color w:val="auto"/>
        </w:rPr>
        <w:t>The foregoing description of the Amended and Restated Registration Rights Agreement is qualified in its entirety by the full text of the Amended and Restated Registration Rights Agreement, a copy of which is attached hereto as Exhibit 10.1 and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1160" w:firstLine="324"/>
        <w:spacing w:after="0" w:line="291" w:lineRule="auto"/>
        <w:rPr>
          <w:sz w:val="20"/>
          <w:szCs w:val="20"/>
          <w:color w:val="auto"/>
        </w:rPr>
      </w:pPr>
      <w:r>
        <w:rPr>
          <w:rFonts w:ascii="Arial" w:cs="Arial" w:eastAsia="Arial" w:hAnsi="Arial"/>
          <w:sz w:val="16"/>
          <w:szCs w:val="16"/>
          <w:color w:val="auto"/>
        </w:rPr>
        <w:t>On the Closing Date, the Company entered into indemnification agreements with all of the Company’s directors and executive officers. These indemnification agreements require the Company to indemnify its directors and executive officers for certain expenses, including</w:t>
      </w:r>
    </w:p>
    <w:p>
      <w:pPr>
        <w:jc w:val="both"/>
        <w:ind w:right="20"/>
        <w:spacing w:after="0" w:line="323" w:lineRule="auto"/>
        <w:rPr>
          <w:sz w:val="20"/>
          <w:szCs w:val="20"/>
          <w:color w:val="auto"/>
        </w:rPr>
      </w:pPr>
      <w:r>
        <w:rPr>
          <w:rFonts w:ascii="Arial" w:cs="Arial" w:eastAsia="Arial" w:hAnsi="Arial"/>
          <w:sz w:val="16"/>
          <w:szCs w:val="16"/>
          <w:color w:val="auto"/>
        </w:rPr>
        <w:t>attorneys’ fees, judgments, fines and settlement amounts incurred by a director or executive officer in any action or proceeding arising out of their services as one of the Company’s directors or executive officers or any other company or enterprise to which the person provides services at the Company’s request.</w:t>
      </w:r>
    </w:p>
    <w:p>
      <w:pPr>
        <w:spacing w:after="0" w:line="138"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foregoing description of the indemnification agreements is not complete and is subject to and qualified in its entirety by reference to the form of indemnification agreement, a copy of which is attached hereto as Exhibit 10.25 and the terms of which are incorporated by reference 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 Support Agreement</w:t>
      </w:r>
    </w:p>
    <w:p>
      <w:pPr>
        <w:spacing w:after="0" w:line="22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 connection with the execution of the Merger Agreement, MTAC entered into a sponsor support agreement (the “Sponsor Support Agreement”) with the Sponsor, Legacy TriSalus and MTAC’s directors and officers. Pursuant to the Sponsor Support Agreement, the Sponsor and MTAC’s directors and officers (the “Sponsor Holders”), among other things, agreed to vote all of their shares of capital stock in favor of the approval of the Business Combination. In addition, the Sponsor Support Agreement provides that 3,125,000 of the shares of New TriSalus Common Stock held by the Sponsor immediately after the Closing Date (such shares, the “Sponsor Earnout Shares”) became unvested and subject to potential forfeiture if certain triggering events are not achieved prior to the fifth anniversary of the Closing Date (the “Earnout Period”). Pursuant to the Sponsor Support Agreement, (i) 25% of the shares of New TriSalus Common Stock held by the Sponsor Holders will only vest if, during the five year period following the Closing, the volume weighted average price of New TriSalus Common Stock equals or exceeds $15.00 for any twenty trading days within a period of thirty consecutive trading days, (ii) 25% of the shares of New TriSalus Common Stock held by the Sponsor Holders will only vest if, during the five year period following the Closing, the volume weighted average price of New TriSalus Common Stock equals or exceeds $20.00 for any twenty trading days within a period of thirty consecutive trading days, (iii) 25% of the shares of New TriSalus Common Stock held by the Sponsor Holders will only vest if, during the five year period following the Closing, the volume weighted average price of New TriSalus Common Stock equals or exceeds $25.00 for any twenty trading days within a period of thirty consecutive trading days; and (iv) 25% of the shares of New TriSalus Common Stock held by the Sponsor Holders will only vest if, during the five year period following the Closing, the volume weighted average price of New TriSalus Common Stock equals or exceeds $30.00 for any twenty trading days within a period of thirty consecutive trading days. Any such shares held by the Sponsor Holders that remain unvested after the fifth anniversary of the Closing will be forfeited.</w:t>
      </w:r>
    </w:p>
    <w:p>
      <w:pPr>
        <w:spacing w:after="0" w:line="18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foregoing description of the Sponsor Support Agreement does not purport to be complete and is qualified in its entirety by the terms and conditions of the Sponsor Support Agreement, the form of which is attached as Exhibit 10.4 to this Current Report on Form 8-K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TriSalus Support Agreements</w:t>
      </w:r>
    </w:p>
    <w:p>
      <w:pPr>
        <w:spacing w:after="0" w:line="229"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In connection with the execution of the Merger Agreement, certain of Legacy TriSalus’ stockholders entered into support agreements (collectively, the “TriSalus Support Agreements”) with MTAC and Legacy TriSalus, pursuant to which the such Legacy TriSalus stockholders each agreed, among other things, to (i) consent to, and vote to approve and adopt, the Merger Agreement and the Business Combination, subject to certain customary exceptions,</w:t>
      </w:r>
    </w:p>
    <w:p>
      <w:pPr>
        <w:spacing w:after="0" w:line="2" w:lineRule="exact"/>
        <w:rPr>
          <w:sz w:val="20"/>
          <w:szCs w:val="20"/>
          <w:color w:val="auto"/>
        </w:rPr>
      </w:pPr>
    </w:p>
    <w:p>
      <w:pPr>
        <w:ind w:right="380" w:firstLine="8"/>
        <w:spacing w:after="0" w:line="260" w:lineRule="auto"/>
        <w:tabs>
          <w:tab w:leader="none" w:pos="265" w:val="left"/>
        </w:tabs>
        <w:numPr>
          <w:ilvl w:val="0"/>
          <w:numId w:val="1"/>
        </w:numPr>
        <w:rPr>
          <w:rFonts w:ascii="Arial" w:cs="Arial" w:eastAsia="Arial" w:hAnsi="Arial"/>
          <w:sz w:val="18"/>
          <w:szCs w:val="18"/>
          <w:color w:val="auto"/>
        </w:rPr>
      </w:pPr>
      <w:r>
        <w:rPr>
          <w:rFonts w:ascii="Arial" w:cs="Arial" w:eastAsia="Arial" w:hAnsi="Arial"/>
          <w:sz w:val="18"/>
          <w:szCs w:val="18"/>
          <w:color w:val="auto"/>
        </w:rPr>
        <w:t>waive any dissenters’ or approval rights under applicable law in connection with the Business Combination, and (iii) not transfer, subject to certain permitted exceptions, any of such stockholders’ shares of TriSalus capital stock prior to the Closing Date.</w:t>
      </w:r>
    </w:p>
    <w:p>
      <w:pPr>
        <w:spacing w:after="0" w:line="18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foregoing description of the TriSalus Support Agreements does not purport to be complete and is qualified in its entirety by the terms and conditions of the TriSalus Support Agreements, the form of which is attached as Exhibit 10.5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connection with the Business Combination, MTAC, the Sponsor and certain stockholders of Legacy TriSalus entered into lockup agreements pursuant to which such stockholders agreed, subject to certain customary exceptions, to not transfer any shares of New TriSalus Common Stock held by them prior to the earliest of (x) the date that is 365 days after the Closing Date, (y) the date following the Closing Date on which the last sales price of New TriSalus Common Stock equals or exceeds $12.00 per share, subject to adjustment as provided therein, for any 20 trading days within any 30-consecutive-day trading period commencing at least 150 days after the Closing Date, and (z) the date following the Closing Date on which the New TriSalus consummates a liquidation, merger, tender offer, or similar transaction resulting in all of its stockholders having the right to exchange their shares of New TriSalus Common Stock for cash, securities, or other property. The Sponsor and its members are subject to a lockup on substantially similar terms pursuant to the terms of a letter Agreement with MTAC, dated December 17, 2020 (the “Letter Agreement”).</w:t>
      </w:r>
    </w:p>
    <w:p>
      <w:pPr>
        <w:spacing w:after="0" w:line="17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foregoing descriptions of the Letter Agreement and the Lock-Up Agreements do not purport to be complete and are qualified in its entirety by the terms and conditions of the Letter Agreement and Lock-Up Agreements, the forms of which are attached as Exhibits 10.6 and 10.7 to this Current Report on Form 8-K, respectively and are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disclosure set forth in the “</w:t>
      </w:r>
      <w:r>
        <w:rPr>
          <w:rFonts w:ascii="Arial" w:cs="Arial" w:eastAsia="Arial" w:hAnsi="Arial"/>
          <w:sz w:val="18"/>
          <w:szCs w:val="18"/>
          <w:i w:val="1"/>
          <w:iCs w:val="1"/>
          <w:color w:val="auto"/>
        </w:rPr>
        <w:t>Introductory Note</w:t>
      </w:r>
      <w:r>
        <w:rPr>
          <w:rFonts w:ascii="Arial" w:cs="Arial" w:eastAsia="Arial" w:hAnsi="Arial"/>
          <w:sz w:val="18"/>
          <w:szCs w:val="18"/>
          <w:color w:val="auto"/>
        </w:rPr>
        <w:t>” above is incorporated by reference into this Item 2.01.</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 INFORMATION</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Prior to the Closing, the Company was a shell company (as defined in Rule 12b-2 of the Securities Exchange Act of 1934, as amended (the “Exchange Act”)) with no operations, formed as a vehicle to effect a business combination with one or more operating businesses. Item 2.01(f) of Form 8-K states that if the registrant was a shell company, as the Company was immediately before the Merger, then the registrant must disclose the information that would be required if the registrant were filing a general form for registration of securities on Form 10. Accordingly, the Company is providing below the information that would be included in a Form 10 if it were to file a Form 10. Please note that the information provided below relates to the combined company after the consummation of the Business Combination, unless otherwise specifically indicated or the context otherwise requires.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This Current Report on Form 8-K and documents incorporated herein by reference may contain “forward-looking statements” within the meaning of Section 27A of the Securities Act and Section 21E of the Exchange Act. The Company’s forward-looking statements include, but are not limited to, statements regarding the Company’s or its management team’s expectations, hopes, beliefs, intentions or strategies regarding the future, including the Company’s expectations regarding the timing of Phase 1 more mature efficacy data for its PERIO-01 clinical trial, the size of any additional study to generate additional efficacy data for the PERIO-01 program, the planned timing for the initiation of Phase 2 trial for its PERIO-01 program, the timing for any potential new drug application submission and any anticipated study with respect to its development plan for hepatocellular carcinoma.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“goal” and similar expressions may identify forward-looking statements, but the absence of these words does not mean that a statement is not forward-looking.</w:t>
      </w:r>
    </w:p>
    <w:p>
      <w:pPr>
        <w:spacing w:after="0" w:line="18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forward-looking statements contained in this Current Report on Form 8-K and in documents incorporated herein are based on the Company’s current expectations and beliefs concerning future developments and their potential effects on us taking into account information currently available to the Company. There can be no assurance that future developments affecting the Company will be those that the Company has anticipated. These forward-looking statements involve a number of risks, uncertainties (many of which are difficult to predict and beyond the Company’s control) or other assumptions that may cause actual results or performance to be materially different from those expressed or implied by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ind w:right="80" w:firstLine="324"/>
        <w:spacing w:after="0" w:line="308" w:lineRule="auto"/>
        <w:rPr>
          <w:sz w:val="20"/>
          <w:szCs w:val="20"/>
          <w:color w:val="auto"/>
        </w:rPr>
      </w:pPr>
      <w:r>
        <w:rPr>
          <w:rFonts w:ascii="Arial" w:cs="Arial" w:eastAsia="Arial" w:hAnsi="Arial"/>
          <w:sz w:val="17"/>
          <w:szCs w:val="17"/>
          <w:color w:val="auto"/>
        </w:rPr>
        <w:t>As a result of a number of known and unknown risks and uncertainties, the Company’s actual results or performance may be materially different from those expressed or implied by these forward-looking statements. Some factors that could cause actual results to differ include:</w:t>
      </w:r>
    </w:p>
    <w:p>
      <w:pPr>
        <w:spacing w:after="0" w:line="146"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Business Combination;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projected financial information, business and operating metrics, anticipated growth rate and market opportunity;</w:t>
      </w:r>
    </w:p>
    <w:p>
      <w:pPr>
        <w:spacing w:after="0" w:line="9" w:lineRule="exact"/>
        <w:rPr>
          <w:rFonts w:ascii="Arial" w:cs="Arial" w:eastAsia="Arial" w:hAnsi="Arial"/>
          <w:sz w:val="18"/>
          <w:szCs w:val="18"/>
          <w:color w:val="auto"/>
        </w:rPr>
      </w:pPr>
    </w:p>
    <w:p>
      <w:pPr>
        <w:ind w:left="980" w:right="540" w:hanging="324"/>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maintain the listing of the New TriSalus Common Stock and the warrants on the Nasdaq Global Market, and the potential liquidity and trading of such securities;</w:t>
      </w:r>
    </w:p>
    <w:p>
      <w:pPr>
        <w:ind w:left="980" w:right="80" w:hanging="324"/>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that the Business Combination disrupts current plans and operations of the Company as a result of the consummation of the Business Combination;</w:t>
      </w: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costs related to the Business Combination;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raise financing in the future;</w:t>
      </w:r>
    </w:p>
    <w:p>
      <w:pPr>
        <w:spacing w:after="0" w:line="9" w:lineRule="exact"/>
        <w:rPr>
          <w:rFonts w:ascii="Arial" w:cs="Arial" w:eastAsia="Arial" w:hAnsi="Arial"/>
          <w:sz w:val="18"/>
          <w:szCs w:val="18"/>
          <w:color w:val="auto"/>
        </w:rPr>
      </w:pPr>
    </w:p>
    <w:p>
      <w:pPr>
        <w:ind w:left="980" w:right="780" w:hanging="324"/>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success in retaining or recruiting, or changes required in, our officers, key employees or directors after the Business Combination;</w:t>
      </w:r>
    </w:p>
    <w:p>
      <w:pPr>
        <w:ind w:left="980" w:right="60" w:hanging="324"/>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successfully commercialize any product candidates that it successfully develops and that are approved by applicable regulatory authorities;</w:t>
      </w: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expectations for the timing and results of data from clinical trials and regulatory approval applications;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estimates regarding expenses, future revenue, capital requirements and needs for additional financing;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business, operations and financial performance including:</w:t>
      </w:r>
    </w:p>
    <w:p>
      <w:pPr>
        <w:spacing w:after="0" w:line="9" w:lineRule="exact"/>
        <w:rPr>
          <w:sz w:val="20"/>
          <w:szCs w:val="20"/>
          <w:color w:val="auto"/>
        </w:rPr>
      </w:pPr>
    </w:p>
    <w:p>
      <w:pPr>
        <w:ind w:left="1620" w:hanging="316"/>
        <w:spacing w:after="0"/>
        <w:tabs>
          <w:tab w:leader="none" w:pos="162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Company’s history of operating losses and expectations of significant expenses and continuing losses for the foreseeable future;</w:t>
      </w:r>
    </w:p>
    <w:p>
      <w:pPr>
        <w:spacing w:after="0" w:line="32" w:lineRule="exact"/>
        <w:rPr>
          <w:rFonts w:ascii="Arial" w:cs="Arial" w:eastAsia="Arial" w:hAnsi="Arial"/>
          <w:sz w:val="16"/>
          <w:szCs w:val="16"/>
          <w:color w:val="auto"/>
        </w:rPr>
      </w:pPr>
    </w:p>
    <w:p>
      <w:pPr>
        <w:ind w:left="1620" w:right="60" w:hanging="316"/>
        <w:spacing w:after="0" w:line="250"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Company’s ability to execute its business strategy, including the growth potential of the markets for the Company’s products and the Company’s ability to serve those markets;</w:t>
      </w:r>
    </w:p>
    <w:p>
      <w:pPr>
        <w:ind w:left="1620" w:hanging="316"/>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Company’s ability to grow market share in its existing markets or any new markets it may enter;</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Company’s ability to develop and maintain its brand and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partner with other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addressable markets for the Company’s product candidates;</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expectations regarding its ability to obtain and maintain intellectual property protection and not infringe on the rights of others;</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manage its growth effectively;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the Company; and</w:t>
      </w:r>
    </w:p>
    <w:p>
      <w:pPr>
        <w:spacing w:after="0" w:line="9" w:lineRule="exact"/>
        <w:rPr>
          <w:rFonts w:ascii="Arial" w:cs="Arial" w:eastAsia="Arial" w:hAnsi="Arial"/>
          <w:sz w:val="18"/>
          <w:szCs w:val="18"/>
          <w:color w:val="auto"/>
        </w:rPr>
      </w:pPr>
    </w:p>
    <w:p>
      <w:pPr>
        <w:ind w:left="980" w:right="36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conditions in the Company’s industry, the global economy or global supply chain, including financial and credit market fluctuations, international trade relations, pandemics, political turmoil, natural catastrophes, warfare (such as the war between Russia and Ukraine), and terrorist attacks.</w:t>
      </w:r>
    </w:p>
    <w:p>
      <w:pPr>
        <w:spacing w:after="0" w:line="19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These forward-looking statements are based on information available as of the date of this Current Report on Form 8-K, and current expectations, forecasts and assumptions, and involve a number of risks and uncertainties. Accordingly, forward-looking statements in this Current Report on Form 8-K and in any document incorporated herein by reference should not be relied upon as representing the Company’s views as of any subsequent date, and the Company does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Properties</w:t>
      </w:r>
    </w:p>
    <w:p>
      <w:pPr>
        <w:spacing w:after="0" w:line="229"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business and properties of MTAC and Legacy TriSalus prior to the Business Combination are described in the Proxy Statement/Prospectus in the sections entitled “</w:t>
      </w:r>
      <w:r>
        <w:rPr>
          <w:rFonts w:ascii="Arial" w:cs="Arial" w:eastAsia="Arial" w:hAnsi="Arial"/>
          <w:sz w:val="18"/>
          <w:szCs w:val="18"/>
          <w:i w:val="1"/>
          <w:iCs w:val="1"/>
          <w:color w:val="auto"/>
        </w:rPr>
        <w:t>MTAC’s Business</w:t>
      </w:r>
      <w:r>
        <w:rPr>
          <w:rFonts w:ascii="Arial" w:cs="Arial" w:eastAsia="Arial" w:hAnsi="Arial"/>
          <w:sz w:val="18"/>
          <w:szCs w:val="18"/>
          <w:color w:val="auto"/>
        </w:rPr>
        <w:t>” beginning on page 221 and “</w:t>
      </w:r>
      <w:r>
        <w:rPr>
          <w:rFonts w:ascii="Arial" w:cs="Arial" w:eastAsia="Arial" w:hAnsi="Arial"/>
          <w:sz w:val="18"/>
          <w:szCs w:val="18"/>
          <w:i w:val="1"/>
          <w:iCs w:val="1"/>
          <w:color w:val="auto"/>
        </w:rPr>
        <w:t>TriSalus’ Business</w:t>
      </w:r>
      <w:r>
        <w:rPr>
          <w:rFonts w:ascii="Arial" w:cs="Arial" w:eastAsia="Arial" w:hAnsi="Arial"/>
          <w:sz w:val="18"/>
          <w:szCs w:val="18"/>
          <w:color w:val="auto"/>
        </w:rPr>
        <w:t>” beginning on page 236 of the Proxy Statement/Prospectus, which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ind w:right="100" w:firstLine="324"/>
        <w:spacing w:after="0" w:line="259" w:lineRule="auto"/>
        <w:rPr>
          <w:sz w:val="20"/>
          <w:szCs w:val="20"/>
          <w:color w:val="auto"/>
        </w:rPr>
      </w:pPr>
      <w:r>
        <w:rPr>
          <w:rFonts w:ascii="Arial" w:cs="Arial" w:eastAsia="Arial" w:hAnsi="Arial"/>
          <w:sz w:val="18"/>
          <w:szCs w:val="18"/>
          <w:color w:val="auto"/>
        </w:rPr>
        <w:t>The following supplemental information supplements and updates the information set forth in the section entitled “</w:t>
      </w:r>
      <w:r>
        <w:rPr>
          <w:rFonts w:ascii="Arial" w:cs="Arial" w:eastAsia="Arial" w:hAnsi="Arial"/>
          <w:sz w:val="18"/>
          <w:szCs w:val="18"/>
          <w:i w:val="1"/>
          <w:iCs w:val="1"/>
          <w:color w:val="auto"/>
        </w:rPr>
        <w:t>TriSalus’ Business</w:t>
      </w:r>
      <w:r>
        <w:rPr>
          <w:rFonts w:ascii="Arial" w:cs="Arial" w:eastAsia="Arial" w:hAnsi="Arial"/>
          <w:sz w:val="18"/>
          <w:szCs w:val="18"/>
          <w:color w:val="auto"/>
        </w:rPr>
        <w:t>” beginning on page 236 of the Proxy Statement/Prospectus and should be read in conjunction with the Proxy Statement/Prospectus. To the extent the following information differs from or conflicts with the information contained in the Proxy Statement/Prospectus, the information set forth below shall be deemed to supersede the respective information in the Proxy Statement/Prospectus.</w:t>
      </w:r>
    </w:p>
    <w:p>
      <w:pPr>
        <w:spacing w:after="0" w:line="18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On July 31, 2023, Legacy TriSalus received written responses (“FDA Responses”) from the U.S. Food and Drug Administration (the “FDA”) in reference to a Type B meeting request for the Company’s PERIO-01 clinical program. The FDA acknowledged that preliminary data from the PERIO-01 program suggests a tolerable safety profile of SD-101 delivered by the Company’s pressure-enabled drug delivery (“PEDD”) method in combination with systemic checkpoint inhibition in metastatic uveal melanoma patients, and that there were no concerns raised with respect to delivery of SD-101 via PEDD with the TriNav device. The FDA has asked for additional exploration of the optimal SD-101 dose, in a smaller study prior to proceeding with a registrational trial. The Company currently expects to have Phase 1 more mature efficacy data at the multiple SD-101 doses for its PERIO-01 clinical trial in the second half of 2023. Based on the FDA’s feedback, the Company will move forward with a 40-50 patient study to generate additional efficacy data to determine the optimal SD-101 dose for the PERIO-01 program. The Company plans to initiate the Phase 2 trial for its PERIO-01 program to generate the additional efficacy and dose optimization data in 2023; however, the initiation and timing of such Phase 2 trials and related data milestones are subject to change and dependent on multiple factors, including interactions with regulatory authorities, enrollment rates, and external events which may impact operations at clinical sites. As a further result of the FDA Responses, </w:t>
      </w:r>
      <w:r>
        <w:rPr>
          <w:rFonts w:ascii="Arial" w:cs="Arial" w:eastAsia="Arial" w:hAnsi="Arial"/>
          <w:sz w:val="16"/>
          <w:szCs w:val="16"/>
          <w:u w:val="single" w:color="auto"/>
          <w:color w:val="auto"/>
        </w:rPr>
        <w:t>t</w:t>
      </w:r>
      <w:r>
        <w:rPr>
          <w:rFonts w:ascii="Arial" w:cs="Arial" w:eastAsia="Arial" w:hAnsi="Arial"/>
          <w:sz w:val="16"/>
          <w:szCs w:val="16"/>
          <w:color w:val="auto"/>
        </w:rPr>
        <w:t>he Company anticipates that a potential new drug application submission with respect to SD-101 in uveal melanoma with liver metastases is likely to occur beyond 2025, pending Phase 2 efficacy and dose optimization data.</w:t>
      </w:r>
    </w:p>
    <w:p>
      <w:pPr>
        <w:spacing w:after="0" w:line="168"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In connection with its development plan for hepatocellular carcinoma (“HCC”), the Company is also considering a separate study for advanced second line and beyond HCC with SD-101 in combination with Y90 radioembolization. HCC study prioritization will be based on data expected to be available in the second half of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risks associated with the Company’s business are described in the Proxy Statement/Prospectus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50 of the Proxy Statement/Prospectus,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229"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The information set forth in Item 9.01 of this Current Report on Form 8-K concerning the financial information of MTAC and Legacy TriSalus is incorporated herein by reference. The unaudited pro forma condensed combined financial information of MTAC and Legacy TriSalus as of and for the six months ended June 30, 2023 and for year ended December 31, 2022 is set forth in Exhibit 99.3 hereto and is incorporated herein by reference.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Management’s Discussion and Analysis of Financial Condition and Results of Operations of MTAC for the fiscal years ended December 31, 2022 and 2021 is set forth in the Proxy Statement/Prospectus in the sections entitled “</w:t>
      </w:r>
      <w:r>
        <w:rPr>
          <w:rFonts w:ascii="Arial" w:cs="Arial" w:eastAsia="Arial" w:hAnsi="Arial"/>
          <w:sz w:val="17"/>
          <w:szCs w:val="17"/>
          <w:i w:val="1"/>
          <w:iCs w:val="1"/>
          <w:color w:val="auto"/>
        </w:rPr>
        <w:t>Management’s Discussion and Analysis of Financial Condition and Results</w:t>
      </w:r>
      <w:r>
        <w:rPr>
          <w:rFonts w:ascii="Arial" w:cs="Arial" w:eastAsia="Arial" w:hAnsi="Arial"/>
          <w:sz w:val="17"/>
          <w:szCs w:val="17"/>
          <w:color w:val="auto"/>
        </w:rPr>
        <w:t xml:space="preserve"> </w:t>
      </w:r>
      <w:r>
        <w:rPr>
          <w:rFonts w:ascii="Arial" w:cs="Arial" w:eastAsia="Arial" w:hAnsi="Arial"/>
          <w:sz w:val="17"/>
          <w:szCs w:val="17"/>
          <w:i w:val="1"/>
          <w:iCs w:val="1"/>
          <w:color w:val="auto"/>
        </w:rPr>
        <w:t>of Operations of MTAC</w:t>
      </w:r>
      <w:r>
        <w:rPr>
          <w:rFonts w:ascii="Arial" w:cs="Arial" w:eastAsia="Arial" w:hAnsi="Arial"/>
          <w:sz w:val="17"/>
          <w:szCs w:val="17"/>
          <w:color w:val="auto"/>
        </w:rPr>
        <w:t>” beginning on page 227 of the Proxy Statement/Prospectus, and are incorporated herein by reference.</w:t>
      </w:r>
    </w:p>
    <w:p>
      <w:pPr>
        <w:spacing w:after="0" w:line="16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Management’s Discussion and Analysis of Financial Condition and Results of Operations of MTAC for the three and six months ended June 30, 2023 and 2022 is set forth in the section entitled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beginning on page 27 of MTAC’s Quarterly Report on Form 10-Q for the quarterly period ended June 30, 2023, filed with the SEC on August 2, 2023 (“MTAC Q2 Report”),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ind w:right="200" w:firstLine="324"/>
        <w:spacing w:after="0" w:line="311" w:lineRule="auto"/>
        <w:rPr>
          <w:sz w:val="20"/>
          <w:szCs w:val="20"/>
          <w:color w:val="auto"/>
        </w:rPr>
      </w:pPr>
      <w:r>
        <w:rPr>
          <w:rFonts w:ascii="Arial" w:cs="Arial" w:eastAsia="Arial" w:hAnsi="Arial"/>
          <w:sz w:val="16"/>
          <w:szCs w:val="16"/>
          <w:color w:val="auto"/>
        </w:rPr>
        <w:t>The Management’s Discussion and Analysis of Financial Condition and Results of Operations of Legacy TriSalus for the fiscal years ended December 31, 2022 and 2021 is set forth in the Proxy Statement/Prospectus in the sections entitled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 of TriSalus</w:t>
      </w:r>
      <w:r>
        <w:rPr>
          <w:rFonts w:ascii="Arial" w:cs="Arial" w:eastAsia="Arial" w:hAnsi="Arial"/>
          <w:sz w:val="16"/>
          <w:szCs w:val="16"/>
          <w:color w:val="auto"/>
        </w:rPr>
        <w:t>” beginning on page 279 of the Proxy Statement/Prospectus, and are incorporated herein by reference.</w:t>
      </w:r>
    </w:p>
    <w:p>
      <w:pPr>
        <w:spacing w:after="0" w:line="149"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The Management’s Discussion and Analysis of Financial Condition and Results of Operations of Legacy TriSalus for the three and six months ended June 30, 2023 and 2022 is set forth in Exhibit 99.2 to this Current Report on Form 8-K,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Information with respect to the Company’s directors and executive officers after the Closing is set forth in the Proxy Statement/Prospectus in the section entitled “</w:t>
      </w:r>
      <w:r>
        <w:rPr>
          <w:rFonts w:ascii="Arial" w:cs="Arial" w:eastAsia="Arial" w:hAnsi="Arial"/>
          <w:sz w:val="17"/>
          <w:szCs w:val="17"/>
          <w:i w:val="1"/>
          <w:iCs w:val="1"/>
          <w:color w:val="auto"/>
        </w:rPr>
        <w:t>Directors and Executive Officers After the Business Combination</w:t>
      </w:r>
      <w:r>
        <w:rPr>
          <w:rFonts w:ascii="Arial" w:cs="Arial" w:eastAsia="Arial" w:hAnsi="Arial"/>
          <w:sz w:val="17"/>
          <w:szCs w:val="17"/>
          <w:color w:val="auto"/>
        </w:rPr>
        <w:t>” beginning on page 344 of the Proxy Statement/Prospectus, which is incorporated herein by reference. Additionally, interlocks and insider participation information regarding New TriSalus’ executive officers is described in the Proxy Statement/Prospectus in the section titled “</w:t>
      </w:r>
      <w:r>
        <w:rPr>
          <w:rFonts w:ascii="Arial" w:cs="Arial" w:eastAsia="Arial" w:hAnsi="Arial"/>
          <w:sz w:val="17"/>
          <w:szCs w:val="17"/>
          <w:i w:val="1"/>
          <w:iCs w:val="1"/>
          <w:color w:val="auto"/>
        </w:rPr>
        <w:t>Directors and Executive Officers After the Business Combination – Compensation Committee</w:t>
      </w:r>
      <w:r>
        <w:rPr>
          <w:rFonts w:ascii="Arial" w:cs="Arial" w:eastAsia="Arial" w:hAnsi="Arial"/>
          <w:sz w:val="17"/>
          <w:szCs w:val="17"/>
          <w:color w:val="auto"/>
        </w:rPr>
        <w:t xml:space="preserve"> </w:t>
      </w:r>
      <w:r>
        <w:rPr>
          <w:rFonts w:ascii="Arial" w:cs="Arial" w:eastAsia="Arial" w:hAnsi="Arial"/>
          <w:sz w:val="17"/>
          <w:szCs w:val="17"/>
          <w:i w:val="1"/>
          <w:iCs w:val="1"/>
          <w:color w:val="auto"/>
        </w:rPr>
        <w:t>Interlocks and Insider Participation</w:t>
      </w:r>
      <w:r>
        <w:rPr>
          <w:rFonts w:ascii="Arial" w:cs="Arial" w:eastAsia="Arial" w:hAnsi="Arial"/>
          <w:sz w:val="17"/>
          <w:szCs w:val="17"/>
          <w:color w:val="auto"/>
        </w:rPr>
        <w:t>” beginning on page 354 and that information is incorporated herein by reference.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Immediately following the Closing, the size of the board of directors of the Company (the “New TriSalus Board”) was set at nine members. Upon the Closing, each of Mary Szela, Sean Murphy, Mats Wahlström, Andrew von Eschenbach, George Kelly Martin, David J. Matlin, Arjun Desai, Kerry Hicks and Anil Singhal were elected to serve as directors on the New TriSalus Board. The New TriSalus Board appointed Mr. Wahlström as Chairman of the New TriSalus Board.</w:t>
      </w:r>
    </w:p>
    <w:p>
      <w:pPr>
        <w:spacing w:after="0" w:line="18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 xml:space="preserve">Drs. Singhal and Messrs. Hicks and Murphy were appointed to serve as Class I directors, with terms expiring at the Company’s first annual meeting of stockholders following the Closing; Messrs. Matlin and </w:t>
      </w:r>
      <w:r>
        <w:rPr>
          <w:rFonts w:ascii="Arial" w:cs="Arial" w:eastAsia="Arial" w:hAnsi="Arial"/>
          <w:sz w:val="17"/>
          <w:szCs w:val="17"/>
          <w:color w:val="231F20"/>
        </w:rPr>
        <w:t>Wahlström and Dr. von Eschenbach</w:t>
      </w:r>
      <w:r>
        <w:rPr>
          <w:rFonts w:ascii="Arial" w:cs="Arial" w:eastAsia="Arial" w:hAnsi="Arial"/>
          <w:sz w:val="17"/>
          <w:szCs w:val="17"/>
          <w:color w:val="auto"/>
        </w:rPr>
        <w:t xml:space="preserve"> were appointed to serve as Class II directors, with terms expiring at the Company’s second annual meeting of stockholders following the Closing; and Dr. Desai, Mr. Martin and Ms. Szela were appointed to serve as Class III directors, with terms expiring at the Company’s third annual meeting of stockholders following the Closing. Biographical information for these individuals is set forth in the Proxy Statement/Prospectus in the section entitled “</w:t>
      </w:r>
      <w:r>
        <w:rPr>
          <w:rFonts w:ascii="Arial" w:cs="Arial" w:eastAsia="Arial" w:hAnsi="Arial"/>
          <w:sz w:val="17"/>
          <w:szCs w:val="17"/>
          <w:i w:val="1"/>
          <w:iCs w:val="1"/>
          <w:color w:val="auto"/>
        </w:rPr>
        <w:t>Directors and Executive Officers After the Business Combination</w:t>
      </w:r>
      <w:r>
        <w:rPr>
          <w:rFonts w:ascii="Arial" w:cs="Arial" w:eastAsia="Arial" w:hAnsi="Arial"/>
          <w:sz w:val="17"/>
          <w:szCs w:val="17"/>
          <w:color w:val="auto"/>
        </w:rPr>
        <w:t>” beginning on page 344 of the Proxy Statement/Prospectus, which is incorporated herein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Directors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New TriSalus Board has determined that each of Mats Wahlström, Andrew von Eschenbach, George Kelly Martin, David J. Matlin, Arjun Desai, Kerry Hicks and Anil Singhal qualify as “independent directors,” as defined under the listing rules of Nasdaq (the “Nasdaq listing rules”), and that the Board consists of a majority of “independent directors,” as defined under the rules of the SEC and Nasdaq listing rules relating to director independence requirements.</w:t>
      </w:r>
    </w:p>
    <w:p>
      <w:pPr>
        <w:spacing w:after="0" w:line="18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Information with respect to the Company’s directors after the Closing is set forth in the Proxy Statement/Prospectus in the sections entitled “</w:t>
      </w:r>
      <w:r>
        <w:rPr>
          <w:rFonts w:ascii="Arial" w:cs="Arial" w:eastAsia="Arial" w:hAnsi="Arial"/>
          <w:sz w:val="18"/>
          <w:szCs w:val="18"/>
          <w:i w:val="1"/>
          <w:iCs w:val="1"/>
          <w:color w:val="auto"/>
        </w:rPr>
        <w:t>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and Executive Officers After the Business Combination</w:t>
      </w:r>
      <w:r>
        <w:rPr>
          <w:rFonts w:ascii="Arial" w:cs="Arial" w:eastAsia="Arial" w:hAnsi="Arial"/>
          <w:sz w:val="18"/>
          <w:szCs w:val="18"/>
          <w:color w:val="auto"/>
        </w:rPr>
        <w:t>” beginning on page 344 of the Proxy Statement/Prospectus, which is incorporated herein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Immediately following the Closing, the standing committees of the New TriSalus Board consist of an audit committee (the “Audit Committee”), a compensation committee (the “Compensation Committee”), a nominating and corporate governance committee (the “Nominating and Corporate Governance Committee”) and a science and technology committee (the “Science and Technology Committee”). Each of the committees reports to the New TriSalus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 w:name="page9"/>
    <w:bookmarkEnd w:id="8"/>
    <w:p>
      <w:pPr>
        <w:ind w:right="60" w:firstLine="324"/>
        <w:spacing w:after="0" w:line="275" w:lineRule="auto"/>
        <w:rPr>
          <w:sz w:val="20"/>
          <w:szCs w:val="20"/>
          <w:color w:val="auto"/>
        </w:rPr>
      </w:pPr>
      <w:r>
        <w:rPr>
          <w:rFonts w:ascii="Arial" w:cs="Arial" w:eastAsia="Arial" w:hAnsi="Arial"/>
          <w:sz w:val="17"/>
          <w:szCs w:val="17"/>
          <w:color w:val="auto"/>
        </w:rPr>
        <w:t xml:space="preserve">Immediately following the Closing, the New TriSalus Board (i) appointed Messrs. Matlin, </w:t>
      </w:r>
      <w:r>
        <w:rPr>
          <w:rFonts w:ascii="Arial" w:cs="Arial" w:eastAsia="Arial" w:hAnsi="Arial"/>
          <w:sz w:val="17"/>
          <w:szCs w:val="17"/>
          <w:color w:val="231F20"/>
        </w:rPr>
        <w:t>Hicks and Martin</w:t>
      </w:r>
      <w:r>
        <w:rPr>
          <w:rFonts w:ascii="Arial" w:cs="Arial" w:eastAsia="Arial" w:hAnsi="Arial"/>
          <w:sz w:val="17"/>
          <w:szCs w:val="17"/>
          <w:color w:val="auto"/>
        </w:rPr>
        <w:t xml:space="preserve"> to serve on the Audit Committee, with Mr. Matlin as chair of the Audit Committee, (ii) Mr. Martin and Drs. Desai and Singhal to serve on the Compensation Committee, with Mr. Martin as chair of the Compensation Committee, (iii) Messrs. Hicks, </w:t>
      </w:r>
      <w:r>
        <w:rPr>
          <w:rFonts w:ascii="Arial" w:cs="Arial" w:eastAsia="Arial" w:hAnsi="Arial"/>
          <w:sz w:val="17"/>
          <w:szCs w:val="17"/>
          <w:color w:val="231F20"/>
        </w:rPr>
        <w:t>Wahlström and Matlin and Dr. von Eschenbach</w:t>
      </w:r>
      <w:r>
        <w:rPr>
          <w:rFonts w:ascii="Arial" w:cs="Arial" w:eastAsia="Arial" w:hAnsi="Arial"/>
          <w:sz w:val="17"/>
          <w:szCs w:val="17"/>
          <w:color w:val="auto"/>
        </w:rPr>
        <w:t xml:space="preserve"> to serve on the Nominating and Corporate Governance Committee, with Mr. Hicks as chair of the Nominating and Corporate Governance Committee, and (iv) Drs. von Eschenbach, Singhal and Desai to serve on the Science and Technology Committee, with Dr. von Eschenbach as chair of the Science and Technology Committee.</w:t>
      </w:r>
    </w:p>
    <w:p>
      <w:pPr>
        <w:spacing w:after="0" w:line="176"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Information with respect to the Committees of the New TriSalus Board after the Closing is set forth in the Proxy Statement/Prospectus in the section entitled “</w:t>
      </w:r>
      <w:r>
        <w:rPr>
          <w:rFonts w:ascii="Arial" w:cs="Arial" w:eastAsia="Arial" w:hAnsi="Arial"/>
          <w:sz w:val="18"/>
          <w:szCs w:val="18"/>
          <w:i w:val="1"/>
          <w:iCs w:val="1"/>
          <w:color w:val="auto"/>
        </w:rPr>
        <w:t>Directors and Executive Officers After the Business Combination</w:t>
      </w:r>
      <w:r>
        <w:rPr>
          <w:rFonts w:ascii="Arial" w:cs="Arial" w:eastAsia="Arial" w:hAnsi="Arial"/>
          <w:sz w:val="18"/>
          <w:szCs w:val="18"/>
          <w:color w:val="auto"/>
        </w:rPr>
        <w:t>” beginning on page 344 of the Proxy Statement/Prospectus, which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 xml:space="preserve">Immediately following Closing, the New TriSalus Board appointed the following individuals as the Company’s executive officers: Mary Szela to serve as Chief Executive Officer and President, Sean Murphy to serve as Chief Financial Officer, </w:t>
      </w:r>
      <w:r>
        <w:rPr>
          <w:rFonts w:ascii="Arial" w:cs="Arial" w:eastAsia="Arial" w:hAnsi="Arial"/>
          <w:sz w:val="17"/>
          <w:szCs w:val="17"/>
          <w:color w:val="231F20"/>
        </w:rPr>
        <w:t>James Alecxih to serve as President, Device Technology,</w:t>
      </w:r>
      <w:r>
        <w:rPr>
          <w:rFonts w:ascii="Arial" w:cs="Arial" w:eastAsia="Arial" w:hAnsi="Arial"/>
          <w:sz w:val="17"/>
          <w:szCs w:val="17"/>
          <w:color w:val="auto"/>
        </w:rPr>
        <w:t xml:space="preserve"> Steven Katz to serve as Chief Medical Officer, </w:t>
      </w:r>
      <w:r>
        <w:rPr>
          <w:rFonts w:ascii="Arial" w:cs="Arial" w:eastAsia="Arial" w:hAnsi="Arial"/>
          <w:sz w:val="17"/>
          <w:szCs w:val="17"/>
          <w:color w:val="231F20"/>
        </w:rPr>
        <w:t>Bryan Cox to serve as Chief Scientific and Manufacturing Officer, Jennifer Stevens to serve as Chief</w:t>
      </w:r>
      <w:r>
        <w:rPr>
          <w:rFonts w:ascii="Arial" w:cs="Arial" w:eastAsia="Arial" w:hAnsi="Arial"/>
          <w:sz w:val="17"/>
          <w:szCs w:val="17"/>
          <w:color w:val="auto"/>
        </w:rPr>
        <w:t xml:space="preserve"> </w:t>
      </w:r>
      <w:r>
        <w:rPr>
          <w:rFonts w:ascii="Arial" w:cs="Arial" w:eastAsia="Arial" w:hAnsi="Arial"/>
          <w:sz w:val="17"/>
          <w:szCs w:val="17"/>
          <w:color w:val="231F20"/>
        </w:rPr>
        <w:t>Regulatory Officer, and Richard Marshak to serve as Senior Vice President, Corporate Development &amp; Strategy</w:t>
      </w:r>
      <w:r>
        <w:rPr>
          <w:rFonts w:ascii="Arial" w:cs="Arial" w:eastAsia="Arial" w:hAnsi="Arial"/>
          <w:sz w:val="17"/>
          <w:szCs w:val="17"/>
          <w:color w:val="000000"/>
        </w:rPr>
        <w:t>. The biographical information for the new</w:t>
      </w:r>
      <w:r>
        <w:rPr>
          <w:rFonts w:ascii="Arial" w:cs="Arial" w:eastAsia="Arial" w:hAnsi="Arial"/>
          <w:sz w:val="17"/>
          <w:szCs w:val="17"/>
          <w:color w:val="231F20"/>
        </w:rPr>
        <w:t xml:space="preserve"> </w:t>
      </w:r>
      <w:r>
        <w:rPr>
          <w:rFonts w:ascii="Arial" w:cs="Arial" w:eastAsia="Arial" w:hAnsi="Arial"/>
          <w:sz w:val="17"/>
          <w:szCs w:val="17"/>
          <w:color w:val="000000"/>
        </w:rPr>
        <w:t>executive officers is set forth in the Proxy Statement/Prospectus in the section entitled “</w:t>
      </w:r>
      <w:r>
        <w:rPr>
          <w:rFonts w:ascii="Arial" w:cs="Arial" w:eastAsia="Arial" w:hAnsi="Arial"/>
          <w:sz w:val="17"/>
          <w:szCs w:val="17"/>
          <w:i w:val="1"/>
          <w:iCs w:val="1"/>
          <w:color w:val="000000"/>
        </w:rPr>
        <w:t>Directors and Executive Officers After the Business Combination</w:t>
      </w:r>
      <w:r>
        <w:rPr>
          <w:rFonts w:ascii="Arial" w:cs="Arial" w:eastAsia="Arial" w:hAnsi="Arial"/>
          <w:sz w:val="17"/>
          <w:szCs w:val="17"/>
          <w:color w:val="000000"/>
        </w:rPr>
        <w:t>” beginning on page 344 of the Proxy Statement/Prospectus, which is incorporated herein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Information with respect to the compensation of Legacy TriSalus’ executive officers prior to the Closing is set forth in the Proxy Statement/Prospectus in the section entitled “</w:t>
      </w:r>
      <w:r>
        <w:rPr>
          <w:rFonts w:ascii="Arial" w:cs="Arial" w:eastAsia="Arial" w:hAnsi="Arial"/>
          <w:sz w:val="16"/>
          <w:szCs w:val="16"/>
          <w:i w:val="1"/>
          <w:iCs w:val="1"/>
          <w:color w:val="auto"/>
        </w:rPr>
        <w:t>Executive Compensation of TriSalus</w:t>
      </w:r>
      <w:r>
        <w:rPr>
          <w:rFonts w:ascii="Arial" w:cs="Arial" w:eastAsia="Arial" w:hAnsi="Arial"/>
          <w:sz w:val="16"/>
          <w:szCs w:val="16"/>
          <w:color w:val="auto"/>
        </w:rPr>
        <w:t>” beginning on page 356 of the Proxy Statement/Prospectus, which is incorporated herein by reference. In addition, the board of directors of Legacy TriSalus approved bonuses in an aggregate amount of approximately $2.8 million to executive officers and other employees of the Company, including bonuses of $338,485, $324,461 and $188,005 to Ms. Szela, Dr. Katz and Ms. Stevens, respectively. These bonuses relate to the Company’s non-equity incentive plan described in the section entitled “</w:t>
      </w:r>
      <w:r>
        <w:rPr>
          <w:rFonts w:ascii="Arial" w:cs="Arial" w:eastAsia="Arial" w:hAnsi="Arial"/>
          <w:sz w:val="16"/>
          <w:szCs w:val="16"/>
          <w:i w:val="1"/>
          <w:iCs w:val="1"/>
          <w:color w:val="auto"/>
        </w:rPr>
        <w:t>Executive Compensation of TriSalus–Narrative</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 to Summary Compensation Table–Non-Equity Incentive Plan Compensation</w:t>
      </w:r>
      <w:r>
        <w:rPr>
          <w:rFonts w:ascii="Arial" w:cs="Arial" w:eastAsia="Arial" w:hAnsi="Arial"/>
          <w:sz w:val="16"/>
          <w:szCs w:val="16"/>
          <w:color w:val="auto"/>
        </w:rPr>
        <w:t>” beginning on page 357 of the Proxy Statement/Prospectus.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the Closing, the New TriSalus Board approved adjustments to the annual base salary of, and the grant of additional equity awards to, certain of New TriSalus’ officers. The annual base salary for each of Ms. Szela, Dr. Katz and Ms. Stevens has been adjusted to $600,000, $515,000 and $412,000, respectively. Ms. Szela, Dr. Katz and Ms. Stevens also received option grants of 172,500, 62,500 and 40,000 shares, respectively.</w:t>
      </w:r>
    </w:p>
    <w:p>
      <w:pPr>
        <w:spacing w:after="0" w:line="16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foregoing description of the compensation of the Company’s executive officers is qualified in its entirety by the full text of the employment agreements of Ms. Szela, Dr. Katz and Ms. Stevens, copies of which are attached hereto as Exhibit 10.8, Exhibit 10.9 and Exhibit 10.12, respectively, and incorporated herein by reference.</w:t>
      </w:r>
    </w:p>
    <w:p>
      <w:pPr>
        <w:spacing w:after="0" w:line="184"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At the MTAC Stockholder Meeting, MTAC stockholders approved the TriSalus Life Sciences, Inc. 2023 Equity Incentive Plan (the “2023 Plan”). The 2023 Plan was previously approved, subject to stockholder approval, by the board of directors of MTAC on June 29, 2023. The description of the 2023 Plan is set forth beginning on page 195 of the Proxy Statement/Prospectus section entitled “</w:t>
      </w:r>
      <w:r>
        <w:rPr>
          <w:rFonts w:ascii="Arial" w:cs="Arial" w:eastAsia="Arial" w:hAnsi="Arial"/>
          <w:sz w:val="17"/>
          <w:szCs w:val="17"/>
          <w:i w:val="1"/>
          <w:iCs w:val="1"/>
          <w:color w:val="auto"/>
        </w:rPr>
        <w:t>Proposal 4 – The Stock Plan Proposal</w:t>
      </w:r>
      <w:r>
        <w:rPr>
          <w:rFonts w:ascii="Arial" w:cs="Arial" w:eastAsia="Arial" w:hAnsi="Arial"/>
          <w:sz w:val="17"/>
          <w:szCs w:val="17"/>
          <w:color w:val="auto"/>
        </w:rPr>
        <w:t>,” which is incorporated herein by reference. The description of the 2023 Plan is not complete and is subject to and qualified in its entirety by reference to the 2023 Plan, a copy of which is attached hereto as Exhibit 10.21 and the terms of which are incorporated by reference herein.</w:t>
      </w:r>
    </w:p>
    <w:p>
      <w:pPr>
        <w:spacing w:after="0" w:line="176"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At the MTAC Stockholder Meeting, MTAC stockholders approved the TriSalus Life Sciences, Inc. 2023 Employee Stock Purchase Plan (the “2023 ESPP”). The 2023 Plan was previously approved, subject to stockholder approval, by the board of directors of MTAC on June 29, 2023. The description of the 2023 ESPP is set forth beginning on page 203 of the Proxy Statement/Prospectus section entitled “</w:t>
      </w:r>
      <w:r>
        <w:rPr>
          <w:rFonts w:ascii="Arial" w:cs="Arial" w:eastAsia="Arial" w:hAnsi="Arial"/>
          <w:sz w:val="17"/>
          <w:szCs w:val="17"/>
          <w:i w:val="1"/>
          <w:iCs w:val="1"/>
          <w:color w:val="auto"/>
        </w:rPr>
        <w:t>Proposal 5 – The ESPP Proposal</w:t>
      </w:r>
      <w:r>
        <w:rPr>
          <w:rFonts w:ascii="Arial" w:cs="Arial" w:eastAsia="Arial" w:hAnsi="Arial"/>
          <w:sz w:val="17"/>
          <w:szCs w:val="17"/>
          <w:color w:val="auto"/>
        </w:rPr>
        <w:t>,” which is incorporated herein by reference. The description of the 2023 ESPP is not complete and is subject to and qualified in its entirety by reference to the 2023 ESPP, a copy of which is attached hereto as Exhibit 10.24 and the terms of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Information with respect to the compensation of the Company’s directors is set forth in the Proxy Statement/Prospectus in the section entitled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Executive Compensation of TriSalus – Director Compensation</w:t>
      </w:r>
      <w:r>
        <w:rPr>
          <w:rFonts w:ascii="Arial" w:cs="Arial" w:eastAsia="Arial" w:hAnsi="Arial"/>
          <w:sz w:val="16"/>
          <w:szCs w:val="16"/>
          <w:color w:val="auto"/>
        </w:rPr>
        <w:t>” beginning on page 362 of the Proxy Statement/Prospectus, which is incorporated 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reference.</w:t>
      </w:r>
    </w:p>
    <w:p>
      <w:pPr>
        <w:spacing w:after="0" w:line="21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Following the Closing, the New TriSalus Board approved a non-employee director compensation policy consisting of annual cash retainers of $50,000 for each non-employee director and an additional $30,000 for the chairperson of the New TriSalus Board; an additional $20,000 and $7,500 for the chairperson and each other member of the audit committee of the New TriSalus Board, respectively; an additional $15,000 and $7,500 for the chairperson and each other member of the compensation committee of the New TriSalus Board, respectively; an additional $15,000 and $7,500 for the chairperson and each other member of the nominating and corporate governance committee of the New TriSalus Board, respectively; and an additional $25,000 and $7,500 for the chairperson and each other member of the science and technology committee of the New TriSalus Board, respectively. The policy also provides for an initial grant of a stock option for 35,000 shares on the date an eligible director is first elected or appointed to the New TriSalus Board after the Closing and an annual stock option grant for 15,000 shares on the date of each annual stockholder meeting held after the Closing Date for each eligible director who continues to serve as a non-employee member of the New TriSalus Board as of such date.</w:t>
      </w:r>
    </w:p>
    <w:p>
      <w:pPr>
        <w:spacing w:after="0" w:line="181" w:lineRule="exact"/>
        <w:rPr>
          <w:sz w:val="20"/>
          <w:szCs w:val="20"/>
          <w:color w:val="auto"/>
        </w:rPr>
      </w:pPr>
    </w:p>
    <w:p>
      <w:pPr>
        <w:ind w:right="720" w:firstLine="324"/>
        <w:spacing w:after="0" w:line="342" w:lineRule="auto"/>
        <w:rPr>
          <w:sz w:val="20"/>
          <w:szCs w:val="20"/>
          <w:color w:val="auto"/>
        </w:rPr>
      </w:pPr>
      <w:r>
        <w:rPr>
          <w:rFonts w:ascii="Arial" w:cs="Arial" w:eastAsia="Arial" w:hAnsi="Arial"/>
          <w:sz w:val="16"/>
          <w:szCs w:val="16"/>
          <w:color w:val="auto"/>
        </w:rPr>
        <w:t>The foregoing does not constitute a complete summary of the terms of the Non-Employee Director Compensation Policy. A copy of the Non-Employee Director Compensation Policy is attached hereto as Exhibit 10.26 and the terms of which are incorporated by reference 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known to the Company regarding the actual beneficial ownership of New TriSalus Common Stock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 Date, after giving effect to the Closing, by:</w:t>
      </w:r>
    </w:p>
    <w:p>
      <w:pPr>
        <w:spacing w:after="0" w:line="211" w:lineRule="exact"/>
        <w:rPr>
          <w:sz w:val="20"/>
          <w:szCs w:val="20"/>
          <w:color w:val="auto"/>
        </w:rPr>
      </w:pPr>
    </w:p>
    <w:p>
      <w:pPr>
        <w:ind w:left="980" w:right="20" w:hanging="324"/>
        <w:spacing w:after="0" w:line="25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person known by the Company to be the beneficial owner of more than 5% of the Company’s outstanding shares New TriSalus Common Stock;</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of the Company’s executive officers and directors;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w:t>
      </w:r>
    </w:p>
    <w:p>
      <w:pPr>
        <w:spacing w:after="0" w:line="21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Beneficial ownership is determined in accordance with SEC rules, which generally provides that a person has beneficial ownership of a security if he, she or it possesses sole or shared voting or investment power with respect to the security. Under SEC rules, beneficial ownership includes securities that the individual or entity has the right to acquire, such as through exercise of stock options or warrants, within 60 days and are deemed to be outstanding and beneficially owned by the persons holding those options or warrants for the purpose of computing the number of shares beneficially owned and</w:t>
      </w:r>
    </w:p>
    <w:p>
      <w:pPr>
        <w:spacing w:after="0" w:line="1" w:lineRule="exact"/>
        <w:rPr>
          <w:sz w:val="20"/>
          <w:szCs w:val="20"/>
          <w:color w:val="auto"/>
        </w:rPr>
      </w:pPr>
    </w:p>
    <w:p>
      <w:pPr>
        <w:ind w:right="860"/>
        <w:spacing w:after="0" w:line="260" w:lineRule="auto"/>
        <w:rPr>
          <w:sz w:val="20"/>
          <w:szCs w:val="20"/>
          <w:color w:val="auto"/>
        </w:rPr>
      </w:pPr>
      <w:r>
        <w:rPr>
          <w:rFonts w:ascii="Arial" w:cs="Arial" w:eastAsia="Arial" w:hAnsi="Arial"/>
          <w:sz w:val="18"/>
          <w:szCs w:val="18"/>
          <w:color w:val="auto"/>
        </w:rPr>
        <w:t>the percentage ownership of that person. They are not, however, deemed to be outstanding and beneficially owned for the purpose of computing the percentage ownership of any other person.</w:t>
      </w:r>
    </w:p>
    <w:p>
      <w:pPr>
        <w:spacing w:after="0" w:line="18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beneficial ownership percentages set forth in the table below are based on 26,316,681 shares of New TriSalus Common Stock issued and outstanding as of the Closing Date and other than as noted below, do not take into account the issuance of any shares of New TriSalus Common Stock upon the exercise of 8,333,272 public warrants, each exercisable for one share of New TriSalus Common Stock at a price of $11.50 per share (the “Public Warrants”) to purchase an aggregate of 8,333,272 shares of New TriSalus Common Stock, the 5,933,333 private warrants, each exercisable for one share of New TriSalus Common Stock at a price of $11.50 per share to purchase an aggregate of 5,933,333 shares of New TriSalus Common Stock or the unexercised stock options and unvested RSUs held by the individuals except as noted below. Unless otherwise noted in the footnotes to the following table, and subject to applicable community property laws, the persons and entities named in the table have sole voting and investment power with respect to their beneficially owned New TriSalus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8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Number of</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of</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New TriSalus</w:t>
            </w: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8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8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New TriSalus</w:t>
            </w:r>
          </w:p>
        </w:tc>
      </w:tr>
      <w:tr>
        <w:trPr>
          <w:trHeight w:val="216"/>
        </w:trPr>
        <w:tc>
          <w:tcPr>
            <w:tcW w:w="8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Common</w:t>
            </w:r>
          </w:p>
        </w:tc>
      </w:tr>
      <w:tr>
        <w:trPr>
          <w:trHeight w:val="234"/>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Owner(1)</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Owned</w:t>
            </w: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Stock</w:t>
            </w:r>
          </w:p>
        </w:tc>
      </w:tr>
      <w:tr>
        <w:trPr>
          <w:trHeight w:val="210"/>
        </w:trPr>
        <w:tc>
          <w:tcPr>
            <w:tcW w:w="8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Mary Szela(2)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652,639</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Murphy(3)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580,305</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James Alecxih</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94,754</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Katz, MD, FACS(4)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132,386</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Bryan Cox, Ph.D.(5)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72,384</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Marshak, VMD(6)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44,163</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Jennifer Stevens(7)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32,958</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175"/>
        </w:trPr>
        <w:tc>
          <w:tcPr>
            <w:tcW w:w="8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Mats Wahlström(8)</w:t>
            </w:r>
          </w:p>
        </w:tc>
        <w:tc>
          <w:tcPr>
            <w:tcW w:w="14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2,744,542</w:t>
            </w:r>
          </w:p>
        </w:tc>
        <w:tc>
          <w:tcPr>
            <w:tcW w:w="128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10.4%</w:t>
            </w:r>
          </w:p>
        </w:tc>
      </w:tr>
      <w:tr>
        <w:trPr>
          <w:trHeight w:val="21"/>
        </w:trPr>
        <w:tc>
          <w:tcPr>
            <w:tcW w:w="8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Andrew von Eschenbach</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Kelly Martin</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David J. Matlin(9)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2,272,421</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8.2%</w:t>
            </w:r>
          </w:p>
        </w:tc>
      </w:tr>
      <w:tr>
        <w:trPr>
          <w:trHeight w:val="196"/>
        </w:trPr>
        <w:tc>
          <w:tcPr>
            <w:tcW w:w="8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Arjun “JJ” Desai(10)</w:t>
            </w:r>
          </w:p>
        </w:tc>
        <w:tc>
          <w:tcPr>
            <w:tcW w:w="14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449,794</w:t>
            </w:r>
          </w:p>
        </w:tc>
        <w:tc>
          <w:tcPr>
            <w:tcW w:w="128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1.7%</w:t>
            </w:r>
          </w:p>
        </w:tc>
      </w:tr>
      <w:tr>
        <w:trPr>
          <w:trHeight w:val="216"/>
        </w:trPr>
        <w:tc>
          <w:tcPr>
            <w:tcW w:w="85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Anil Singhal</w:t>
            </w:r>
          </w:p>
        </w:tc>
        <w:tc>
          <w:tcPr>
            <w:tcW w:w="14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19,278</w:t>
            </w: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r>
      <w:tr>
        <w:trPr>
          <w:trHeight w:val="175"/>
        </w:trPr>
        <w:tc>
          <w:tcPr>
            <w:tcW w:w="8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Kerry Hicks(11)</w:t>
            </w:r>
          </w:p>
        </w:tc>
        <w:tc>
          <w:tcPr>
            <w:tcW w:w="14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2,310,022</w:t>
            </w:r>
          </w:p>
        </w:tc>
        <w:tc>
          <w:tcPr>
            <w:tcW w:w="128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8.8%</w:t>
            </w:r>
          </w:p>
        </w:tc>
      </w:tr>
      <w:tr>
        <w:trPr>
          <w:trHeight w:val="21"/>
        </w:trPr>
        <w:tc>
          <w:tcPr>
            <w:tcW w:w="8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i w:val="1"/>
                <w:iCs w:val="1"/>
                <w:color w:val="auto"/>
              </w:rPr>
              <w:t>All executive officers and directors after the business combination as a group (14 individuals)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9,405,646</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35.2%</w:t>
            </w:r>
          </w:p>
        </w:tc>
      </w:tr>
      <w:tr>
        <w:trPr>
          <w:trHeight w:val="216"/>
        </w:trPr>
        <w:tc>
          <w:tcPr>
            <w:tcW w:w="8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Frankenius Equity AB(12)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6,397,776</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Christopher Dewey(13)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1,555,289</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r>
      <w:tr>
        <w:trPr>
          <w:trHeight w:val="175"/>
        </w:trPr>
        <w:tc>
          <w:tcPr>
            <w:tcW w:w="8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Unique Diamond Investments Limited</w:t>
            </w:r>
          </w:p>
        </w:tc>
        <w:tc>
          <w:tcPr>
            <w:tcW w:w="14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1,546,569</w:t>
            </w:r>
          </w:p>
        </w:tc>
        <w:tc>
          <w:tcPr>
            <w:tcW w:w="128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5.9%</w:t>
            </w:r>
          </w:p>
        </w:tc>
      </w:tr>
      <w:tr>
        <w:trPr>
          <w:trHeight w:val="20"/>
        </w:trPr>
        <w:tc>
          <w:tcPr>
            <w:tcW w:w="8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Michael Stansky(14)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1,449,129</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 R. McGrevin(15)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1,403,130</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HW Investment Partners, LLC(16)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1,370,028</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r>
      <w:tr>
        <w:trPr>
          <w:trHeight w:val="175"/>
        </w:trPr>
        <w:tc>
          <w:tcPr>
            <w:tcW w:w="8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Lombard International(17)</w:t>
            </w:r>
          </w:p>
        </w:tc>
        <w:tc>
          <w:tcPr>
            <w:tcW w:w="14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1,358,013</w:t>
            </w:r>
          </w:p>
        </w:tc>
        <w:tc>
          <w:tcPr>
            <w:tcW w:w="128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5.1%</w:t>
            </w:r>
          </w:p>
        </w:tc>
      </w:tr>
      <w:tr>
        <w:trPr>
          <w:trHeight w:val="21"/>
        </w:trPr>
        <w:tc>
          <w:tcPr>
            <w:tcW w:w="8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rFonts w:ascii="Arial" w:cs="Arial" w:eastAsia="Arial" w:hAnsi="Arial"/>
          <w:sz w:val="18"/>
          <w:szCs w:val="18"/>
          <w:color w:val="auto"/>
        </w:rPr>
      </w:pPr>
    </w:p>
    <w:p>
      <w:pPr>
        <w:ind w:left="800" w:right="20" w:hanging="455"/>
        <w:spacing w:after="0" w:line="250" w:lineRule="auto"/>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c/o TriSalus Life Sciences, Inc., 6272 W. 91st Avenue, Westminster, Colorado 80031.</w:t>
      </w:r>
    </w:p>
    <w:p>
      <w:pPr>
        <w:ind w:left="800" w:right="420" w:hanging="455"/>
        <w:spacing w:after="0" w:line="250" w:lineRule="auto"/>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Consists of (i) 243,189 shares held directly by Ms. Szela and (ii) 409,450 shares of New TriSalus Common Stock issuable pursuant to New TriSalus Assumed Options that are exercisable within 60 days.</w:t>
      </w:r>
    </w:p>
    <w:p>
      <w:pPr>
        <w:ind w:left="800" w:right="20" w:hanging="455"/>
        <w:spacing w:after="0" w:line="250" w:lineRule="auto"/>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Consists of (i) 357,535 shares held by Murphy Family Trust 2012, (ii) 167,732 shares held by Sean E Murphy TTEE U/A 2/4/2004 (“Sean Murphy Trust”) and (iii) 55,038 shares of New TriSalus Common Stock issuable pursuant to New TriSalus Assumed Options that are exercisable within 60 days. Lisa Murphy, Mr. Murphy’s spouse, has voting and investment discretion with respect to the shares held directly by Murphy Family Trust 2012 and thus Mr. Murphy may be deemed to have beneficial ownership of the shares held directly by Murphy Family Trust 2012. Mr. Murphy is the trustee of the Sean Murphy Trust and thus Mr. Murphy may be deemed to have beneficial ownership of the shares held directly by the Sean Murphy Trust.</w:t>
      </w:r>
    </w:p>
    <w:p>
      <w:pPr>
        <w:spacing w:after="0" w:line="2" w:lineRule="exact"/>
        <w:rPr>
          <w:rFonts w:ascii="Arial" w:cs="Arial" w:eastAsia="Arial" w:hAnsi="Arial"/>
          <w:sz w:val="18"/>
          <w:szCs w:val="18"/>
          <w:color w:val="auto"/>
        </w:rPr>
      </w:pPr>
    </w:p>
    <w:p>
      <w:pPr>
        <w:ind w:left="800" w:right="580" w:hanging="455"/>
        <w:spacing w:after="0" w:line="250" w:lineRule="auto"/>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Consists of (i) 17,799 shares held directly by Mr. Katz and (ii) 114,587 shares of New TriSalus Common Stock issuable pursuant to New TriSalus Assumed Options that are exercisable within 60 days.</w:t>
      </w:r>
    </w:p>
    <w:p>
      <w:pPr>
        <w:ind w:left="800" w:right="140" w:hanging="455"/>
        <w:spacing w:after="0" w:line="250" w:lineRule="auto"/>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Consists of (i) 67,817 shares held directly by Mr. Cox and (ii) 4,567 shares of New TriSalus Common Stock issuable pursuant to New TriSalus Assumed Options that are exercisable within 60 days.</w:t>
      </w:r>
    </w:p>
    <w:p>
      <w:pPr>
        <w:ind w:left="800" w:right="460" w:hanging="455"/>
        <w:spacing w:after="0" w:line="250" w:lineRule="auto"/>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Consists of (i) 8,372 shares held directly by Mr. Marshak and (ii) 35,791 shares of New TriSalus Common Stock issuable pursuant to New TriSalus Assumed Options that are exercisable within 60 days.</w:t>
      </w:r>
    </w:p>
    <w:p>
      <w:pPr>
        <w:ind w:left="800" w:right="420" w:hanging="455"/>
        <w:spacing w:after="0" w:line="250" w:lineRule="auto"/>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Consists of (i) 13,904 shares held directly by Ms. Stevens and (ii) 19,054 shares of New TriSalus Common Stock issuable pursuant to New TriSalus Assumed Options that are exercisable within 60 days.</w:t>
      </w:r>
    </w:p>
    <w:p>
      <w:pPr>
        <w:ind w:left="800" w:right="160" w:hanging="455"/>
        <w:spacing w:after="0" w:line="270" w:lineRule="auto"/>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Consists of (i) 1,254,259 shares held by Leonard Capital LLC, (ii) 50,000 shares of New TriSalus Common Stock issuable upon conversion of shares of Series A Convertible Preferred Stock held by Leonard Capital LLC as a Preferred Stock PIPE Investor, (iii) 1,370,028 shares held by HW Investment Partners, LLC (“HW Investment”), and (iv) 70,255 shares of New TriSalus Common Stock issuable pursuant to New TriSalus Assumed Options that are exercisable within 60 days. Mr. Wahlström has sole voting and investment discretion with respect to the shares held directly by Leonard Capital LLC and shared voting and investment discretion with respect to the shares held directly by HW Investment and may be deemed to have beneficial ownership of the shares held by each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343" w:right="180" w:hanging="343"/>
        <w:spacing w:after="0" w:line="286" w:lineRule="auto"/>
        <w:tabs>
          <w:tab w:leader="none" w:pos="343"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(i) 931,903 shares held directly by Mr. Matlin of which 215,055 shares are vested and 716,848 shares are subject to vesting and forfeiture pursuant to the Sponsor Support Agreement, (ii) 1,240,518 shares underlying private warrants, which are exercisable for shares of New TriSalus Common Stock commencing 30 days after the closing of the Business Combination and (iii) 100,000 shares of New TriSalus Common Stock issuable upon conversion of shares of Series A Convertible Preferred Stock held by Mr. Matlin as a Preferred Stock PIPE Investor.</w:t>
      </w:r>
    </w:p>
    <w:p>
      <w:pPr>
        <w:spacing w:after="0" w:line="1" w:lineRule="exact"/>
        <w:rPr>
          <w:rFonts w:ascii="Arial" w:cs="Arial" w:eastAsia="Arial" w:hAnsi="Arial"/>
          <w:sz w:val="16"/>
          <w:szCs w:val="16"/>
          <w:color w:val="auto"/>
        </w:rPr>
      </w:pPr>
    </w:p>
    <w:p>
      <w:pPr>
        <w:jc w:val="both"/>
        <w:ind w:left="343" w:right="80" w:hanging="343"/>
        <w:spacing w:after="0" w:line="250" w:lineRule="auto"/>
        <w:tabs>
          <w:tab w:leader="none" w:pos="343"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Consists of (i) 203,127 shares held directly by </w:t>
      </w:r>
      <w:r>
        <w:rPr>
          <w:rFonts w:ascii="Arial" w:cs="Arial" w:eastAsia="Arial" w:hAnsi="Arial"/>
          <w:sz w:val="18"/>
          <w:szCs w:val="18"/>
          <w:u w:val="single" w:color="auto"/>
          <w:color w:val="auto"/>
        </w:rPr>
        <w:t>Dr</w:t>
      </w:r>
      <w:r>
        <w:rPr>
          <w:rFonts w:ascii="Arial" w:cs="Arial" w:eastAsia="Arial" w:hAnsi="Arial"/>
          <w:sz w:val="18"/>
          <w:szCs w:val="18"/>
          <w:color w:val="auto"/>
        </w:rPr>
        <w:t>. Desai of which 46,875 shares are vested and 156,252 shares are subject to vesting and forfeiture pursuant to the Sponsor Support Agreement and (ii) 246,667 shares underlying private warrants, which are exercisable for shares of New TriSalus Common Stock commencing 30 days after the closing of the Business Combination.</w:t>
      </w:r>
    </w:p>
    <w:p>
      <w:pPr>
        <w:spacing w:after="0" w:line="1" w:lineRule="exact"/>
        <w:rPr>
          <w:rFonts w:ascii="Arial" w:cs="Arial" w:eastAsia="Arial" w:hAnsi="Arial"/>
          <w:sz w:val="18"/>
          <w:szCs w:val="18"/>
          <w:color w:val="auto"/>
        </w:rPr>
      </w:pPr>
    </w:p>
    <w:p>
      <w:pPr>
        <w:ind w:left="343" w:right="100" w:hanging="343"/>
        <w:spacing w:after="0" w:line="265" w:lineRule="auto"/>
        <w:tabs>
          <w:tab w:leader="none" w:pos="343"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Consists of (i) 514,589 shares held directly by Mr. Hicks, (ii) 1,370,028 shares held by HW Investment, (iii) 81,845 shares held by the Millennium Trust Company, LLC, as custodian FBO Kerry Hicks IRAT, (iv) 322,737 shares held by The Kerry Raymond Hicks Dynasty Trust, for which Mr. Hicks serves as trustee, and (v) 20,823 shares of New TriSalus Common Stock issuable pursuant to New TriSalus Assumed Options that are exercisable within 60 days. Mr. Hicks has shared voting and investment discretion with respect to the shares held directly by HW Investment and may be deemed to have beneficial ownership of the shares held by each of them.</w:t>
      </w:r>
    </w:p>
    <w:p>
      <w:pPr>
        <w:ind w:left="343" w:right="80" w:hanging="343"/>
        <w:spacing w:after="0" w:line="281" w:lineRule="auto"/>
        <w:tabs>
          <w:tab w:leader="none" w:pos="343"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(i) 6,167,776 shares held by Frankenius Equity AB (“Frankenius Equity”) and (ii) 230,000 shares of New TriSalus Common Stock issuable upon conversion of shares of Series A Convertible Preferred Stock held by Frankenius Equity as a Preferred Stock PIPE Investor. Frankenius Equity’s principal place of business is Box 984, 501 10 Boras, Sweden. Paul Frankenius has sole voting and investment discretion with respect to the shares held directly by Frankenius Equity and may be deemed to have beneficial ownership of the shares held by Frankenius Equity.</w:t>
      </w:r>
    </w:p>
    <w:p>
      <w:pPr>
        <w:spacing w:after="0" w:line="2" w:lineRule="exact"/>
        <w:rPr>
          <w:rFonts w:ascii="Arial" w:cs="Arial" w:eastAsia="Arial" w:hAnsi="Arial"/>
          <w:sz w:val="16"/>
          <w:szCs w:val="16"/>
          <w:color w:val="auto"/>
        </w:rPr>
      </w:pPr>
    </w:p>
    <w:p>
      <w:pPr>
        <w:ind w:left="343" w:right="20" w:hanging="343"/>
        <w:spacing w:after="0" w:line="265" w:lineRule="auto"/>
        <w:tabs>
          <w:tab w:leader="none" w:pos="343"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Consists of (i) 573,690 shares held directly by the Christopher C Dewey Trust DTD 5/3/18, (ii) 881,599 shares underlying private warrants, which are exercisable for shares of New TriSalus Common Stock commencing 30 days after the closing of the Business Combination held by the Christopher C Dewey Trust DTD 5/3/18, (iii) 67,500 shares of New TriSalus Common Stock issuable upon conversion of shares of Series A Convertible Preferred Stock held by the Christopher C Dewey Trust DTD 5/3/18, (iv) 23,500 shares of New TriSalus Common Stock issuable upon conversion of shares of Series A Convertible Preferred Stock held by Dewey Family Properties LLC, and (v) 9,000 shares of New TriSalus Common Stock issuable upon conversion of shares of Series A Convertible Preferred Stock held by the Christopher C Dewey Family Trust, as Preferred Stock PIPE Investors. Mr. Dewey is the trustee of the Christopher C Dewey Trust DTD 5/3/18 and thus Mr. Dewey may be deemed to have beneficial ownership of the shares held directly by the Christopher C Dewey Trust DTD 5/3/18. Christina Dewey, Mr. Dewey’s spouse, has voting and investment discretion with respect to the shares held directly by Dewey Family Properties LLC and the Christopher C Dewey Family Trust and thus Mr. Dewey may be deemed to have beneficial ownership of the shares held by each of them.</w:t>
      </w:r>
    </w:p>
    <w:p>
      <w:pPr>
        <w:spacing w:after="0" w:line="1" w:lineRule="exact"/>
        <w:rPr>
          <w:rFonts w:ascii="Arial" w:cs="Arial" w:eastAsia="Arial" w:hAnsi="Arial"/>
          <w:sz w:val="17"/>
          <w:szCs w:val="17"/>
          <w:color w:val="auto"/>
        </w:rPr>
      </w:pPr>
    </w:p>
    <w:p>
      <w:pPr>
        <w:ind w:left="343" w:right="240" w:hanging="343"/>
        <w:spacing w:after="0" w:line="281" w:lineRule="auto"/>
        <w:tabs>
          <w:tab w:leader="none" w:pos="343"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(i) 521,539 shares held directly by Mr. Stansky, (ii) 827,590 shares underlying private warrants, which are exercisable for shares of New TriSalus Common Stock commencing 30 days after the closing of the Business Combination, (iii) 75,000 shares of New TriSalus Common Stock issuable upon conversion of shares of Series A Convertible Preferred Stock held by Mr. Stansky as a Preferred Stock PIPE Investor and</w:t>
      </w:r>
    </w:p>
    <w:p>
      <w:pPr>
        <w:spacing w:after="0" w:line="1" w:lineRule="exact"/>
        <w:rPr>
          <w:rFonts w:ascii="Arial" w:cs="Arial" w:eastAsia="Arial" w:hAnsi="Arial"/>
          <w:sz w:val="16"/>
          <w:szCs w:val="16"/>
          <w:color w:val="auto"/>
        </w:rPr>
      </w:pPr>
    </w:p>
    <w:p>
      <w:pPr>
        <w:ind w:left="343" w:right="120" w:hanging="5"/>
        <w:spacing w:after="0" w:line="250" w:lineRule="auto"/>
        <w:tabs>
          <w:tab w:leader="none" w:pos="647" w:val="left"/>
        </w:tabs>
        <w:numPr>
          <w:ilvl w:val="1"/>
          <w:numId w:val="6"/>
        </w:numPr>
        <w:rPr>
          <w:rFonts w:ascii="Arial" w:cs="Arial" w:eastAsia="Arial" w:hAnsi="Arial"/>
          <w:sz w:val="18"/>
          <w:szCs w:val="18"/>
          <w:color w:val="auto"/>
        </w:rPr>
      </w:pPr>
      <w:r>
        <w:rPr>
          <w:rFonts w:ascii="Arial" w:cs="Arial" w:eastAsia="Arial" w:hAnsi="Arial"/>
          <w:sz w:val="18"/>
          <w:szCs w:val="18"/>
          <w:color w:val="auto"/>
        </w:rPr>
        <w:t>25,000 shares of Series A Convertible Preferred Stock held by Skyview Investments LLC (“Skyview”) as a Preferred Stock PIPE Investor. Mr. Stansky is the managing member of Skyview, has voting and investment discretion with respect to the shares held directly by Skyview and, as result, may be deemed to have beneficial ownership of the shares held by each of them.</w:t>
      </w:r>
    </w:p>
    <w:p>
      <w:pPr>
        <w:spacing w:after="0" w:line="1" w:lineRule="exact"/>
        <w:rPr>
          <w:rFonts w:ascii="Arial" w:cs="Arial" w:eastAsia="Arial" w:hAnsi="Arial"/>
          <w:sz w:val="18"/>
          <w:szCs w:val="18"/>
          <w:color w:val="auto"/>
        </w:rPr>
      </w:pPr>
    </w:p>
    <w:p>
      <w:pPr>
        <w:ind w:left="343" w:right="240" w:hanging="343"/>
        <w:spacing w:after="0" w:line="250" w:lineRule="auto"/>
        <w:tabs>
          <w:tab w:leader="none" w:pos="343"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(i) 1,390,474 shares held directly by Mr. McGrevin and (ii) 12,656 shares of New TriSalus Common Stock issuable pursuant to New TriSalus Assumed Options that are exercisable within 60 days.</w:t>
      </w:r>
    </w:p>
    <w:p>
      <w:pPr>
        <w:ind w:left="343" w:right="160" w:hanging="343"/>
        <w:spacing w:after="0" w:line="265" w:lineRule="auto"/>
        <w:tabs>
          <w:tab w:leader="none" w:pos="343"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Consists of 1,370,028 shares held by HW Investment. Messrs. Wahlström and Hicks have shared voting and investment discretion with respect to the shares held directly by HW Investment and may be deemed to have beneficial ownership of the shares held by each of them.</w:t>
      </w:r>
    </w:p>
    <w:p>
      <w:pPr>
        <w:ind w:left="343" w:hanging="343"/>
        <w:spacing w:after="0" w:line="281" w:lineRule="auto"/>
        <w:tabs>
          <w:tab w:leader="none" w:pos="343"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(i) 41,197 shares held directly by Lombard International Assurance S.A. – P47082 and 33,000 shares of New TriSalus Common Stock issuable upon conversion of shares of Series A Convertible Preferred Stock held by Lombard International Assurance S.A. – P47082 as a Preferred Stock PIPE Investor, (ii) 360,478 shares held directly by Lombard International Assurance S.A. – P47083 and 365,000 shares of New TriSalus Common Stock issuable upon conversion of shares of Series A Convertible Preferred Stock held by Lombard International Assurance S.A. – P47083 as a Preferred Stock PIPE Investor, (iii) 113,293 shares held directly by Lombard International Assurance S.A. – P47084 and 110,000 shares of New TriSalus Common Stock issuable upon conversion of shares of Series A Convertible Preferred Stock held by Lombard International Assurance S.A. – P47084 as a Preferred Stock PIPE Investor; (iv) 237,389 shares held directly by Lombard International Assurance S.A. – P47472,</w:t>
      </w:r>
    </w:p>
    <w:p>
      <w:pPr>
        <w:spacing w:after="0" w:line="4" w:lineRule="exact"/>
        <w:rPr>
          <w:rFonts w:ascii="Arial" w:cs="Arial" w:eastAsia="Arial" w:hAnsi="Arial"/>
          <w:sz w:val="16"/>
          <w:szCs w:val="16"/>
          <w:color w:val="auto"/>
        </w:rPr>
      </w:pPr>
    </w:p>
    <w:p>
      <w:pPr>
        <w:ind w:left="343" w:right="200" w:hanging="5"/>
        <w:spacing w:after="0" w:line="273" w:lineRule="auto"/>
        <w:tabs>
          <w:tab w:leader="none" w:pos="597" w:val="left"/>
        </w:tabs>
        <w:numPr>
          <w:ilvl w:val="1"/>
          <w:numId w:val="7"/>
        </w:numPr>
        <w:rPr>
          <w:rFonts w:ascii="Arial" w:cs="Arial" w:eastAsia="Arial" w:hAnsi="Arial"/>
          <w:sz w:val="17"/>
          <w:szCs w:val="17"/>
          <w:color w:val="auto"/>
        </w:rPr>
      </w:pPr>
      <w:r>
        <w:rPr>
          <w:rFonts w:ascii="Arial" w:cs="Arial" w:eastAsia="Arial" w:hAnsi="Arial"/>
          <w:sz w:val="17"/>
          <w:szCs w:val="17"/>
          <w:color w:val="auto"/>
        </w:rPr>
        <w:t>28,000 shares of New TriSalus Common Stock issuable upon conversion of shares of Series A Convertible Preferred Stock held by Lombard International Assurance S.A. – P47473 as a Preferred Stock PIPE Investor, (vi) 52,000 shares of New TriSalus Common Stock issuable upon conversion of shares of Series A Convertible Preferred Stock held by Lombard International Assurance S.A. – P69562 as a Preferred Stock PIPE Investor and (vii) 17,656 shares held directly by Lombard International Assurance S.A., policy number 2304-150035.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412750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3"/>
          </w:cols>
          <w:pgMar w:left="557" w:top="908"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ind w:right="580" w:firstLine="324"/>
        <w:spacing w:after="0" w:line="263" w:lineRule="auto"/>
        <w:rPr>
          <w:sz w:val="20"/>
          <w:szCs w:val="20"/>
          <w:color w:val="auto"/>
        </w:rPr>
      </w:pPr>
      <w:r>
        <w:rPr>
          <w:rFonts w:ascii="Arial" w:cs="Arial" w:eastAsia="Arial" w:hAnsi="Arial"/>
          <w:sz w:val="18"/>
          <w:szCs w:val="18"/>
          <w:color w:val="auto"/>
        </w:rPr>
        <w:t>The certain relationships and related party transactions of the Company are described in the Proxy Statement/Prospectus in the section entitled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beginning on page 372 of the Proxy Statement/Prospectus, which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Information about legal proceedings is set forth in MTAC’s Annual Report on Form 10-K, filed with the SEC on March 22, 2023 and in the Proxy Statement/Prospectus in the sections entitled “</w:t>
      </w:r>
      <w:r>
        <w:rPr>
          <w:rFonts w:ascii="Arial" w:cs="Arial" w:eastAsia="Arial" w:hAnsi="Arial"/>
          <w:sz w:val="18"/>
          <w:szCs w:val="18"/>
          <w:i w:val="1"/>
          <w:iCs w:val="1"/>
          <w:color w:val="auto"/>
        </w:rPr>
        <w:t>MTAC’s Business – Legal Proceedings</w:t>
      </w:r>
      <w:r>
        <w:rPr>
          <w:rFonts w:ascii="Arial" w:cs="Arial" w:eastAsia="Arial" w:hAnsi="Arial"/>
          <w:sz w:val="18"/>
          <w:szCs w:val="18"/>
          <w:color w:val="auto"/>
        </w:rPr>
        <w:t>” and “</w:t>
      </w:r>
      <w:r>
        <w:rPr>
          <w:rFonts w:ascii="Arial" w:cs="Arial" w:eastAsia="Arial" w:hAnsi="Arial"/>
          <w:sz w:val="18"/>
          <w:szCs w:val="18"/>
          <w:i w:val="1"/>
          <w:iCs w:val="1"/>
          <w:color w:val="auto"/>
        </w:rPr>
        <w:t>TriSalus’ Business – Legal Proceedings</w:t>
      </w:r>
      <w:r>
        <w:rPr>
          <w:rFonts w:ascii="Arial" w:cs="Arial" w:eastAsia="Arial" w:hAnsi="Arial"/>
          <w:sz w:val="18"/>
          <w:szCs w:val="18"/>
          <w:color w:val="auto"/>
        </w:rPr>
        <w:t>” on pages 226 and 278, respectively, of the Proxy Statement/Prospectus, which are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of and Dividends on the Registrant’s Common Equity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and Holders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Prior to the Business Combination, MTAC’s units, Class A Common Stock and Public Warrants were historically quoted on the Nasdaq Capital Market under the symbols “MTACU,” “MTAC” and “MTACW,” respectively. On August 10, 2023, the New TriSalus Common Stock and the Public Warrants began trading on the Nasdaq Global Market under the new trading symbols “TSLI” and “TSLIW”, respectively. On the Closing Date, the CUSIP numbers relating to the New TriSalus Common Stock and Public Warrants changed to 89680M 101 and 89680M 119, respectively.</w:t>
      </w:r>
    </w:p>
    <w:p>
      <w:pPr>
        <w:spacing w:after="0" w:line="171"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As of the Closing Date and following the consummation of the Business Combination, the Company had 26,316,681 shares of New TriSalus Common Stock issued and outstanding held of record by 271 holders and 8,333,272 Public Warrants outstanding and held of record by 1 holder. As of the Closing Date and following the consummation of the Business Combination, MTAC’s units ceased trading on the Nasdaq Capital Market and were separated into their component securities upon consummation of the Business Combination and no fractional warrants were issued upon the separation.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has not paid any cash dividends on the MTAC Common Stock or New TriSalus Common Stock to date. Subject to the rights of holders of the Series A Convertible Preferred Stock or any other series of preferred stock of New TriSalus that may be issued and the provisions of the Company’s Second Amended and Restated Certificate of Incorporation (the “Certificate of Incorporation”) holders of New TriSalus Common Stock will be entitled to receive such dividends and other distributions in cash, stock or property of New TriSalus when, as and if declared thereon by the New TriSalus Board, in its discretion, from time to time out of assets or funds of New TriSalus legally available therefor. The Company does not anticipate declaring any cash dividends to holders of New TriSalus Common Stock in the foreseeable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information set forth below under Item 3.02 of this Current Report on Form 8-K concerning the issuance and sale by the Company of certain unregistered securities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Registrant’s Securities to be Registered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 description of the New TriSalus Common Stock is included in Exhibit 4.4 to this Current Report on Form 8-K in the section entitled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 Common Stock</w:t>
      </w:r>
      <w:r>
        <w:rPr>
          <w:rFonts w:ascii="Arial" w:cs="Arial" w:eastAsia="Arial" w:hAnsi="Arial"/>
          <w:sz w:val="18"/>
          <w:szCs w:val="18"/>
          <w:color w:val="auto"/>
        </w:rPr>
        <w:t>”,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560" w:firstLine="324"/>
        <w:spacing w:after="0" w:line="308" w:lineRule="auto"/>
        <w:rPr>
          <w:sz w:val="20"/>
          <w:szCs w:val="20"/>
          <w:color w:val="auto"/>
        </w:rPr>
      </w:pPr>
      <w:r>
        <w:rPr>
          <w:rFonts w:ascii="Arial" w:cs="Arial" w:eastAsia="Arial" w:hAnsi="Arial"/>
          <w:sz w:val="17"/>
          <w:szCs w:val="17"/>
          <w:color w:val="auto"/>
        </w:rPr>
        <w:t>A description of the New TriSalus Preferred Stock is included in the Proxy Statement/Prospectus in the section entitled “</w:t>
      </w:r>
      <w:r>
        <w:rPr>
          <w:rFonts w:ascii="Arial" w:cs="Arial" w:eastAsia="Arial" w:hAnsi="Arial"/>
          <w:sz w:val="17"/>
          <w:szCs w:val="17"/>
          <w:i w:val="1"/>
          <w:iCs w:val="1"/>
          <w:color w:val="auto"/>
        </w:rPr>
        <w:t>Description of MTAC’s</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 Preferred Stock</w:t>
      </w:r>
      <w:r>
        <w:rPr>
          <w:rFonts w:ascii="Arial" w:cs="Arial" w:eastAsia="Arial" w:hAnsi="Arial"/>
          <w:sz w:val="17"/>
          <w:szCs w:val="17"/>
          <w:color w:val="auto"/>
        </w:rPr>
        <w:t>” beginning on page 321 of the Proxy Statement/Prospectus, which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A description of the Public Warrants is included in the Proxy Statement/Prospectus in the section entitled “</w:t>
      </w:r>
      <w:r>
        <w:rPr>
          <w:rFonts w:ascii="Arial" w:cs="Arial" w:eastAsia="Arial" w:hAnsi="Arial"/>
          <w:sz w:val="18"/>
          <w:szCs w:val="18"/>
          <w:i w:val="1"/>
          <w:iCs w:val="1"/>
          <w:color w:val="auto"/>
        </w:rPr>
        <w:t>Description of MTAC’s Securities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Warrants </w:t>
      </w:r>
      <w:r>
        <w:rPr>
          <w:rFonts w:ascii="Arial" w:cs="Arial" w:eastAsia="Arial" w:hAnsi="Arial"/>
          <w:sz w:val="18"/>
          <w:szCs w:val="18"/>
          <w:color w:val="auto"/>
        </w:rPr>
        <w:t>” beginning on page 324 of the Proxy Statement/Prospectus,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Information about indemnification of the Company’s directors and officers is set forth in the Proxy Statement/Prospectus in the section entitled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Directors and Executive Officers After the Business Combination – Limitation on Liability and Indemnification of Directors and Officers</w:t>
      </w:r>
      <w:r>
        <w:rPr>
          <w:rFonts w:ascii="Arial" w:cs="Arial" w:eastAsia="Arial" w:hAnsi="Arial"/>
          <w:sz w:val="16"/>
          <w:szCs w:val="16"/>
          <w:color w:val="auto"/>
        </w:rPr>
        <w:t>” on page 354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Proxy Statement/Prospectus, which is incorporated herein by reference. On the Closing Date, the Company entered into indemnification agreements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Company’s directors and executive officers, a form of which is attached hereto as Exhibit 10.25 and incorporated herein by reference.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set forth under the heading “Indemnification Agreements” in Item 1.01 of this Current Report on Form 8-K is incorporated herein by reference.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Supplementary Data</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in Item 9.01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under Item 4.01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in Item 9.01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disclosure set forth in the “</w:t>
      </w:r>
      <w:r>
        <w:rPr>
          <w:rFonts w:ascii="Arial" w:cs="Arial" w:eastAsia="Arial" w:hAnsi="Arial"/>
          <w:sz w:val="18"/>
          <w:szCs w:val="18"/>
          <w:i w:val="1"/>
          <w:iCs w:val="1"/>
          <w:color w:val="auto"/>
        </w:rPr>
        <w:t>Introductory Note–PIPE Financing</w:t>
      </w:r>
      <w:r>
        <w:rPr>
          <w:rFonts w:ascii="Arial" w:cs="Arial" w:eastAsia="Arial" w:hAnsi="Arial"/>
          <w:sz w:val="18"/>
          <w:szCs w:val="18"/>
          <w:color w:val="auto"/>
        </w:rPr>
        <w:t>” above is incorporated by reference into this Item 3.02.</w:t>
      </w:r>
    </w:p>
    <w:p>
      <w:pPr>
        <w:spacing w:after="0" w:line="225"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In connection with the Business Combination, on August 10, 2023, the Sponsor elected to convert the entire unpaid $1,500,000 balance under the Convertible Sponsor Note into MTAC Warrants at a price of $1.50 per warrant. Following such conversion, Sponsor received 1,000,000 MTAC Warrants, which are exercisable into 1,000,000 shares of New TriSalus Common Stock. A description of the Convertible Sponsor Note is included in the Proxy Statement/Prospectus in the section entitled “</w:t>
      </w:r>
      <w:r>
        <w:rPr>
          <w:rFonts w:ascii="Arial" w:cs="Arial" w:eastAsia="Arial" w:hAnsi="Arial"/>
          <w:sz w:val="16"/>
          <w:szCs w:val="16"/>
          <w:i w:val="1"/>
          <w:iCs w:val="1"/>
          <w:color w:val="auto"/>
        </w:rPr>
        <w:t>Certain Relationships and Related Party Transactions — MTAC Related Party Transactions — Promissory</w:t>
      </w:r>
      <w:r>
        <w:rPr>
          <w:rFonts w:ascii="Arial" w:cs="Arial" w:eastAsia="Arial" w:hAnsi="Arial"/>
          <w:sz w:val="16"/>
          <w:szCs w:val="16"/>
          <w:color w:val="auto"/>
        </w:rPr>
        <w:t xml:space="preserve"> </w:t>
      </w:r>
      <w:r>
        <w:rPr>
          <w:rFonts w:ascii="Arial" w:cs="Arial" w:eastAsia="Arial" w:hAnsi="Arial"/>
          <w:sz w:val="16"/>
          <w:szCs w:val="16"/>
          <w:i w:val="1"/>
          <w:iCs w:val="1"/>
          <w:color w:val="auto"/>
        </w:rPr>
        <w:t>Note — Related Party</w:t>
      </w:r>
      <w:r>
        <w:rPr>
          <w:rFonts w:ascii="Arial" w:cs="Arial" w:eastAsia="Arial" w:hAnsi="Arial"/>
          <w:sz w:val="16"/>
          <w:szCs w:val="16"/>
          <w:color w:val="auto"/>
        </w:rPr>
        <w:t>” beginning on page 372 of the Proxy Statement/Prospectus, which is incorporated herein by reference.</w:t>
      </w:r>
    </w:p>
    <w:p>
      <w:pPr>
        <w:spacing w:after="0" w:line="161"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The securities issued in connection with the Subscription Agreements and the conversion of the Convertible Sponsor Note have not been registered under the Securities Act in reliance on the exemption from registration provided by Section 4(a)(2) of the Securities Act and/or Rule 506(c) promulgated thereunder.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 xml:space="preserve">In connection with the Business Combination, on August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2023, the Company filed the Certificate of Incorporation with the Delaware Secretary of State, and also adopted Amended and Restated Bylaws on August </w:t>
      </w:r>
      <w:r>
        <w:rPr>
          <w:rFonts w:ascii="Arial" w:cs="Arial" w:eastAsia="Arial" w:hAnsi="Arial"/>
          <w:sz w:val="18"/>
          <w:szCs w:val="18"/>
          <w:u w:val="single" w:color="auto"/>
          <w:color w:val="auto"/>
        </w:rPr>
        <w:t>10</w:t>
      </w:r>
      <w:r>
        <w:rPr>
          <w:rFonts w:ascii="Arial" w:cs="Arial" w:eastAsia="Arial" w:hAnsi="Arial"/>
          <w:sz w:val="18"/>
          <w:szCs w:val="18"/>
          <w:color w:val="auto"/>
        </w:rPr>
        <w:t>, 2023 (the “Bylaws”), which replaced MTAC’s Amended and Restated Certificate of Incorporation and bylaws in effect as of such time. The material terms of the Certificate of Incorporation and the Bylaws and the general effect upon the rights of holders of the New TriSalus Common Stock are discussed in the Proxy Statement/Prospectus in the sections entitled “</w:t>
      </w:r>
      <w:r>
        <w:rPr>
          <w:rFonts w:ascii="Arial" w:cs="Arial" w:eastAsia="Arial" w:hAnsi="Arial"/>
          <w:sz w:val="18"/>
          <w:szCs w:val="18"/>
          <w:i w:val="1"/>
          <w:iCs w:val="1"/>
          <w:color w:val="auto"/>
        </w:rPr>
        <w:t>Proposal 2 – The Charter</w:t>
      </w:r>
      <w:r>
        <w:rPr>
          <w:rFonts w:ascii="Arial" w:cs="Arial" w:eastAsia="Arial" w:hAnsi="Arial"/>
          <w:sz w:val="18"/>
          <w:szCs w:val="18"/>
          <w:color w:val="auto"/>
        </w:rPr>
        <w:t xml:space="preserve"> </w:t>
      </w:r>
      <w:r>
        <w:rPr>
          <w:rFonts w:ascii="Arial" w:cs="Arial" w:eastAsia="Arial" w:hAnsi="Arial"/>
          <w:sz w:val="18"/>
          <w:szCs w:val="18"/>
          <w:i w:val="1"/>
          <w:iCs w:val="1"/>
          <w:color w:val="auto"/>
        </w:rPr>
        <w:t>Approval Proposal</w:t>
      </w:r>
      <w:r>
        <w:rPr>
          <w:rFonts w:ascii="Arial" w:cs="Arial" w:eastAsia="Arial" w:hAnsi="Arial"/>
          <w:sz w:val="18"/>
          <w:szCs w:val="18"/>
          <w:color w:val="auto"/>
        </w:rPr>
        <w:t>” and “</w:t>
      </w:r>
      <w:r>
        <w:rPr>
          <w:rFonts w:ascii="Arial" w:cs="Arial" w:eastAsia="Arial" w:hAnsi="Arial"/>
          <w:sz w:val="18"/>
          <w:szCs w:val="18"/>
          <w:i w:val="1"/>
          <w:iCs w:val="1"/>
          <w:color w:val="auto"/>
        </w:rPr>
        <w:t>Proposals 3A-3E The Governance Proposal</w:t>
      </w:r>
      <w:r>
        <w:rPr>
          <w:rFonts w:ascii="Arial" w:cs="Arial" w:eastAsia="Arial" w:hAnsi="Arial"/>
          <w:sz w:val="18"/>
          <w:szCs w:val="18"/>
          <w:color w:val="auto"/>
        </w:rPr>
        <w:t>” beginning on page 190 of the Proxy Statement/Prospectus, which is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by reference.</w:t>
      </w:r>
    </w:p>
    <w:p>
      <w:pPr>
        <w:spacing w:after="0" w:line="19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connection with the Business Combination, on August 10, 2023, the Company filed the Certificate of Designations, Preferences and Rights of Series A Convertible Preferred Stock (the “Certificate of Designations) specifying the rights, powers, preferences, and privileges of the PIPE Shares that were issued and sold pursuant to the Subscription Agreements. The Certificate of Designations became effective with the Secretary of State of the State of Delaware upon filing. Pursuant to the Certificate of Designations, the Series A Convertible Preferred Stock will rank senior to the New TriSalus Common Stock with respect to dividends and distributions on liquidation, dissolution, or winding up the affairs of the Company. The Series A Convertible Preferred Stock will participate equally in any dividends declared to holders of New TriSalus Common Stock and also carry an additional dividend at a rate per annum of 8.0% of $10.00 per share of Series A Convertible Preferred Stock (as adjusted upon the occurrence of certain events), which shall accumulate on a daily basis (the “Annual Dividends”). The Annual Dividends are payable, at the option of the Company, in cash, by issuing shares of New TriSalus Common Stock, or any combination of cash and shares of New TriSalus Common Stock. The holder of Series A Convertible Preferred Stock will be entitled to vote with the holders of New TriSalus Common Stock on all stockholder matters, with each share of Series A Convertible Preferred Stock entitling the holder thereof to 1.07 votes per share. Holders of Series A Convertible Preferred Stock will also be entitled to a separate class vote on any modification to the Company’s Certificate of Incorporation or the Certificate of Designations that adversely affects the powers, preferences, or rights of the Series A Convertible Preferred Stock.</w:t>
      </w:r>
    </w:p>
    <w:p>
      <w:pPr>
        <w:sectPr>
          <w:pgSz w:w="11900" w:h="16906" w:orient="portrait"/>
          <w:cols w:equalWidth="0" w:num="1">
            <w:col w:w="11240"/>
          </w:cols>
          <w:pgMar w:left="320" w:top="904" w:right="339" w:bottom="0" w:gutter="0" w:footer="0" w:header="0"/>
        </w:sectPr>
      </w:pPr>
    </w:p>
    <w:bookmarkStart w:id="14" w:name="page15"/>
    <w:bookmarkEnd w:id="14"/>
    <w:p>
      <w:pPr>
        <w:ind w:firstLine="324"/>
        <w:spacing w:after="0" w:line="279" w:lineRule="auto"/>
        <w:rPr>
          <w:sz w:val="20"/>
          <w:szCs w:val="20"/>
          <w:color w:val="auto"/>
        </w:rPr>
      </w:pPr>
      <w:r>
        <w:rPr>
          <w:rFonts w:ascii="Arial" w:cs="Arial" w:eastAsia="Arial" w:hAnsi="Arial"/>
          <w:sz w:val="17"/>
          <w:szCs w:val="17"/>
          <w:color w:val="auto"/>
        </w:rPr>
        <w:t>A description of the Certificate of Designations and the Series A Convertible Preferred Stock is included in the Proxy Statement/Prospectus in the sections entitled “</w:t>
      </w:r>
      <w:r>
        <w:rPr>
          <w:rFonts w:ascii="Arial" w:cs="Arial" w:eastAsia="Arial" w:hAnsi="Arial"/>
          <w:sz w:val="17"/>
          <w:szCs w:val="17"/>
          <w:i w:val="1"/>
          <w:iCs w:val="1"/>
          <w:color w:val="auto"/>
        </w:rPr>
        <w:t>Proposal 1 – The Business Combination Proposal – Certain Related Agreements – Subscription Agreements</w:t>
      </w:r>
      <w:r>
        <w:rPr>
          <w:rFonts w:ascii="Arial" w:cs="Arial" w:eastAsia="Arial" w:hAnsi="Arial"/>
          <w:sz w:val="17"/>
          <w:szCs w:val="17"/>
          <w:color w:val="auto"/>
        </w:rPr>
        <w:t>” beginning on page 153 of the Proxy Statement/Prospectus and “</w:t>
      </w:r>
      <w:r>
        <w:rPr>
          <w:rFonts w:ascii="Arial" w:cs="Arial" w:eastAsia="Arial" w:hAnsi="Arial"/>
          <w:sz w:val="17"/>
          <w:szCs w:val="17"/>
          <w:i w:val="1"/>
          <w:iCs w:val="1"/>
          <w:color w:val="auto"/>
        </w:rPr>
        <w:t>Description of MTAC’s Securities – Preferred Stock – Series A Convertible Preferred Stock”</w:t>
      </w:r>
      <w:r>
        <w:rPr>
          <w:rFonts w:ascii="Arial" w:cs="Arial" w:eastAsia="Arial" w:hAnsi="Arial"/>
          <w:sz w:val="17"/>
          <w:szCs w:val="17"/>
          <w:color w:val="auto"/>
        </w:rPr>
        <w:t xml:space="preserve"> beginning on page 321 of the Proxy Statement/Prospectus, each of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341" w:right="519" w:bottom="1440" w:gutter="0" w:footer="0" w:header="0"/>
        </w:sectPr>
      </w:pPr>
    </w:p>
    <w:bookmarkStart w:id="15" w:name="page16"/>
    <w:bookmarkEnd w:id="15"/>
    <w:p>
      <w:pPr>
        <w:jc w:val="both"/>
        <w:ind w:right="160" w:firstLine="324"/>
        <w:spacing w:after="0" w:line="263" w:lineRule="auto"/>
        <w:rPr>
          <w:sz w:val="20"/>
          <w:szCs w:val="20"/>
          <w:color w:val="auto"/>
        </w:rPr>
      </w:pPr>
      <w:r>
        <w:rPr>
          <w:rFonts w:ascii="Arial" w:cs="Arial" w:eastAsia="Arial" w:hAnsi="Arial"/>
          <w:sz w:val="18"/>
          <w:szCs w:val="18"/>
          <w:color w:val="auto"/>
        </w:rPr>
        <w:t>The New TriSalus Common Stock and Public Warrants are listed for trading on the Nasdaq Global Market under the symbols “TSLI” and “TSLIW,” respectively. On the date of the Closing, the CUSIP numbers relating to New TriSalus Common Stock and Public Warrants changed to 89680M 101 and 89680M 119, respectively.</w:t>
      </w:r>
    </w:p>
    <w:p>
      <w:pPr>
        <w:spacing w:after="0" w:line="18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Copies of the Certificate of Incorporation, the Bylaws and the Certificate of Designations are included as Exhibit 3.1, Exhibit 3.2 and Exhibit 3.3, respectively, to this Current Report on Form 8-K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2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On August 10, 2023, the New TriSalus Board approved the engagement of KPMG LLP (“KPMG”) as the Company’s independent registered public accounting firm to audit the Company’s consolidated financial statements for the year ending December 31, 2023. KPMG served as the independent registered public accounting firm of Legacy TriSalus prior to the Business Combination. Accordingly, WithumSmith+Brown, PC (“Withum”), the Company’s independent registered public accounting firm prior to the Business Combination, was informed on the Closing Date that it would be dismissed and replaced by KPMG as the Company’s independent registered public accounting firm.</w:t>
      </w:r>
    </w:p>
    <w:p>
      <w:pPr>
        <w:spacing w:after="0" w:line="17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Withum’s report on the Company’s consolidated balance sheets as of December 31, 2022 and 2021, the related consolidated statements of operations, stockholders’ equity and cash flows for the years ended December 31, 2022 and 2021 and the related notes to the financial statements (collectively, the “financial statements”) did not contain any adverse opinion or disclaimer of opinion, nor were they qualified or modified as to uncertainty, audit scope or accounting principles, except for the substantial doubt about the Company’s ability to continue as a going concern.</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During the period from September 11, 2020 (inception) through December 31, 2022 and the subsequent interim period through August 10, 2023, there were no: (i)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or (ii) reportable events as defined in Item 304(a)(1)(v) of Regulation S-K under the Exchange Act.</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During the period from September 11, 2020 (inception) through December 31, 2022, and the interim period through August 10, 2023, the Company did not consult KPMG with respect to either (i) the application of accounting principles to a specified transaction, either completed or proposed; or the type of audit opinion that might be rendered on the Company’s financial statements, and no written report or oral advice was provided to the Company by KPMG that KPMG concluded was an important factor considered by the Company in reaching a decision as to the accounting, auditing or financial reporting issue; or (ii) any matter that was either the subject of a disagreement, as that term is described in Item 304(a)(1)(iv) of Regulation S-K under the Exchange Act and the related instructions to Item 304 of Regulation S-K under the Exchange Act, or a reportable event, as that term is defined in Item 304(a)(1)(v) of Regulation S-K under the Exchange Act.</w:t>
      </w:r>
    </w:p>
    <w:p>
      <w:pPr>
        <w:spacing w:after="0" w:line="19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The Company has provided Withum with a copy of the disclosures made by the Company in response to this Item 4.01 and has requested that Withum furnish the Company with a letter addressed to the SEC stating whether it agrees with the statements made by the Company in response to this Item 4.01 and, if not, stating the respects in which it does not agree. A letter from Withum is attached to this Current Report on Form 8-K as Exhibit 16.1.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5.01. Changes in Control of the Registrant.</w:t>
      </w:r>
    </w:p>
    <w:p>
      <w:pPr>
        <w:spacing w:after="0" w:line="22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Reference is made to the disclosure beginning on page 133 of the Proxy Statement/Prospectus in the section entitled “</w:t>
      </w:r>
      <w:r>
        <w:rPr>
          <w:rFonts w:ascii="Arial" w:cs="Arial" w:eastAsia="Arial" w:hAnsi="Arial"/>
          <w:sz w:val="18"/>
          <w:szCs w:val="18"/>
          <w:i w:val="1"/>
          <w:iCs w:val="1"/>
          <w:color w:val="auto"/>
        </w:rPr>
        <w:t>Proposal No. 1—The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Proposal—The Merger Agreement</w:t>
      </w:r>
      <w:r>
        <w:rPr>
          <w:rFonts w:ascii="Arial" w:cs="Arial" w:eastAsia="Arial" w:hAnsi="Arial"/>
          <w:sz w:val="18"/>
          <w:szCs w:val="18"/>
          <w:color w:val="auto"/>
        </w:rPr>
        <w:t>,” which is incorporated herein by reference. Further reference is made to the information contained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Introductory Note</w:t>
      </w:r>
      <w:r>
        <w:rPr>
          <w:rFonts w:ascii="Arial" w:cs="Arial" w:eastAsia="Arial" w:hAnsi="Arial"/>
          <w:sz w:val="18"/>
          <w:szCs w:val="18"/>
          <w:color w:val="auto"/>
        </w:rPr>
        <w:t>” above and Item 2.01 to this Current Report,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6" w:name="page17"/>
    <w:bookmarkEnd w:id="16"/>
    <w:p>
      <w:pPr>
        <w:ind w:right="540" w:firstLine="324"/>
        <w:spacing w:after="0" w:line="308" w:lineRule="auto"/>
        <w:rPr>
          <w:sz w:val="20"/>
          <w:szCs w:val="20"/>
          <w:color w:val="auto"/>
        </w:rPr>
      </w:pPr>
      <w:r>
        <w:rPr>
          <w:rFonts w:ascii="Arial" w:cs="Arial" w:eastAsia="Arial" w:hAnsi="Arial"/>
          <w:sz w:val="17"/>
          <w:szCs w:val="17"/>
          <w:color w:val="auto"/>
        </w:rPr>
        <w:t>As a result of the consummation of the Business Combination, a change of control of MTAC has occurred, and the stockholders of MTAC as of immediately prior to the Closing held 9.7% of the outstanding shares of New TriSalus Common Stock immediately following the Closing.</w:t>
      </w:r>
    </w:p>
    <w:p>
      <w:pPr>
        <w:spacing w:after="0" w:line="14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780" w:firstLine="324"/>
        <w:spacing w:after="0" w:line="308" w:lineRule="auto"/>
        <w:rPr>
          <w:sz w:val="20"/>
          <w:szCs w:val="20"/>
          <w:color w:val="auto"/>
        </w:rPr>
      </w:pPr>
      <w:r>
        <w:rPr>
          <w:rFonts w:ascii="Arial" w:cs="Arial" w:eastAsia="Arial" w:hAnsi="Arial"/>
          <w:sz w:val="17"/>
          <w:szCs w:val="17"/>
          <w:color w:val="auto"/>
        </w:rPr>
        <w:t>The information set forth in the sections entitled “</w:t>
      </w:r>
      <w:r>
        <w:rPr>
          <w:rFonts w:ascii="Arial" w:cs="Arial" w:eastAsia="Arial" w:hAnsi="Arial"/>
          <w:sz w:val="17"/>
          <w:szCs w:val="17"/>
          <w:i w:val="1"/>
          <w:iCs w:val="1"/>
          <w:color w:val="auto"/>
        </w:rPr>
        <w:t>Directors and Executive Officers</w:t>
      </w:r>
      <w:r>
        <w:rPr>
          <w:rFonts w:ascii="Arial" w:cs="Arial" w:eastAsia="Arial" w:hAnsi="Arial"/>
          <w:sz w:val="17"/>
          <w:szCs w:val="17"/>
          <w:color w:val="auto"/>
        </w:rPr>
        <w:t>”, “</w:t>
      </w:r>
      <w:r>
        <w:rPr>
          <w:rFonts w:ascii="Arial" w:cs="Arial" w:eastAsia="Arial" w:hAnsi="Arial"/>
          <w:sz w:val="17"/>
          <w:szCs w:val="17"/>
          <w:i w:val="1"/>
          <w:iCs w:val="1"/>
          <w:color w:val="auto"/>
        </w:rPr>
        <w:t>Certain Relationships and Related Transactions</w:t>
      </w:r>
      <w:r>
        <w:rPr>
          <w:rFonts w:ascii="Arial" w:cs="Arial" w:eastAsia="Arial" w:hAnsi="Arial"/>
          <w:sz w:val="17"/>
          <w:szCs w:val="17"/>
          <w:color w:val="auto"/>
        </w:rPr>
        <w:t>”, and “</w:t>
      </w:r>
      <w:r>
        <w:rPr>
          <w:rFonts w:ascii="Arial" w:cs="Arial" w:eastAsia="Arial" w:hAnsi="Arial"/>
          <w:sz w:val="17"/>
          <w:szCs w:val="17"/>
          <w:i w:val="1"/>
          <w:iCs w:val="1"/>
          <w:color w:val="auto"/>
        </w:rPr>
        <w:t>Indemnification of Directors and Officers</w:t>
      </w:r>
      <w:r>
        <w:rPr>
          <w:rFonts w:ascii="Arial" w:cs="Arial" w:eastAsia="Arial" w:hAnsi="Arial"/>
          <w:sz w:val="17"/>
          <w:szCs w:val="17"/>
          <w:color w:val="auto"/>
        </w:rPr>
        <w:t>” in Item 2.01 of this Current Report on Form 8-K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TriSalus Life Sciences, Inc. 2023 Equity Incentive Plan</w:t>
      </w:r>
    </w:p>
    <w:p>
      <w:pPr>
        <w:spacing w:after="0" w:line="229"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At the MTAC Stockholder Meeting, the stockholders of MTAC considered and approved the 2023 Plan. The 2023 Plan was previously approved, subject to stockholder approval, by the board of directors of MTAC on June 29, 2023, and on the Closing Date, the New TriSalus Board ratified the approval of the 2023 Plan. The 2023 Plan became effective immediately upon the Closing.</w:t>
      </w:r>
    </w:p>
    <w:p>
      <w:pPr>
        <w:spacing w:after="0" w:line="18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2023 Plan initially makes available a maximum number of 5,585,008 shares of New TriSalus Common Stock. Additionally, the number of shares reserved for issuance under the 2023 Plan will automatically increase on January 1 of each year, starting on January 1, 2024 and ending on January 1, 2033, in an amount equal to (i) five percent (5%) of the number of shares of New TriSalus Common Stock outstanding (or issuable upon conversion or exercise of outstanding instruments) on the final day of the immediately preceding calendar year, or (ii) such lesser number of shares of New TriSalus Common Stock determined by the New TriSalus Board prior to the date of the increase.</w:t>
      </w:r>
    </w:p>
    <w:p>
      <w:pPr>
        <w:spacing w:after="0" w:line="17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 description of the 2023 Plan is included in the Proxy Statement/Prospectus in the section entitled “</w:t>
      </w:r>
      <w:r>
        <w:rPr>
          <w:rFonts w:ascii="Arial" w:cs="Arial" w:eastAsia="Arial" w:hAnsi="Arial"/>
          <w:sz w:val="17"/>
          <w:szCs w:val="17"/>
          <w:i w:val="1"/>
          <w:iCs w:val="1"/>
          <w:color w:val="auto"/>
        </w:rPr>
        <w:t>Proposal 4 – The Stock Plan Proposal</w:t>
      </w:r>
      <w:r>
        <w:rPr>
          <w:rFonts w:ascii="Arial" w:cs="Arial" w:eastAsia="Arial" w:hAnsi="Arial"/>
          <w:sz w:val="17"/>
          <w:szCs w:val="17"/>
          <w:color w:val="auto"/>
        </w:rPr>
        <w:t>” beginning on page 195 of the Proxy Statement/Prospectus, which is incorporated herein by reference. The foregoing description of the 2023 Plan is qualified in its entirety by the full text of the 2023 Plan, which is attached hereto as Exhibit 10.21 and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TriSalus Life Sciences, Inc. 2023 Employee Stock Purchase Plan</w:t>
      </w:r>
    </w:p>
    <w:p>
      <w:pPr>
        <w:spacing w:after="0" w:line="229"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At the MTAC Stockholder Meeting, the stockholders of MTAC considered and approved the 2023 ESPP. The 2023 ESPP was previously approved, subject to the stockholder approval, by the board of directors of MTAC on June 29, 2023, and on the Closing Date, the New TriSalus Board ratified the approval of the 2023 ESPP. The 2023 ESPP became effective immediately upon the Closing.</w:t>
      </w:r>
    </w:p>
    <w:p>
      <w:pPr>
        <w:spacing w:after="0" w:line="184"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2023 ESPP initially makes available a maximum number of 1,396,252 shares of New TriSalus Common Stock. Additionally, the number of shares reserved for issuance under the 2023 ESPP will automatically increase on January 1 of each year, starting on January 1, 2024 and ending on January 1, 2033, in an amount equal to (i) three percent (3%) of the number of shares of New TriSalus Common Stock outstanding (or issuable upon conversion or exercise of outstanding instruments) on the final day of the immediately preceding calendar year, (ii) 2,792,503 shares or (iii) such lesser number of shares of New TriSalus Common Stock determined by the New TriSalus Board prior to the date of the increase.</w:t>
      </w:r>
    </w:p>
    <w:p>
      <w:pPr>
        <w:spacing w:after="0" w:line="176"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A description of the 2023 ESPP is included in the Proxy Statement/Prospectus in the section entitled “</w:t>
      </w:r>
      <w:r>
        <w:rPr>
          <w:rFonts w:ascii="Arial" w:cs="Arial" w:eastAsia="Arial" w:hAnsi="Arial"/>
          <w:sz w:val="17"/>
          <w:szCs w:val="17"/>
          <w:i w:val="1"/>
          <w:iCs w:val="1"/>
          <w:color w:val="auto"/>
        </w:rPr>
        <w:t>Proposal 5 – The ESPP Proposal</w:t>
      </w:r>
      <w:r>
        <w:rPr>
          <w:rFonts w:ascii="Arial" w:cs="Arial" w:eastAsia="Arial" w:hAnsi="Arial"/>
          <w:sz w:val="17"/>
          <w:szCs w:val="17"/>
          <w:color w:val="auto"/>
        </w:rPr>
        <w:t>” beginning on page 203 of the Proxy Statement/Prospectus, which is incorporated herein by reference. The foregoing description of the 2023 ESPP is qualified in its entirety by the full text of the 2023 ESPP, which is attached hereto as Exhibit 10.24 and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520" w:firstLine="324"/>
        <w:spacing w:after="0" w:line="259" w:lineRule="auto"/>
        <w:rPr>
          <w:sz w:val="20"/>
          <w:szCs w:val="20"/>
          <w:color w:val="auto"/>
        </w:rPr>
      </w:pPr>
      <w:r>
        <w:rPr>
          <w:rFonts w:ascii="Arial" w:cs="Arial" w:eastAsia="Arial" w:hAnsi="Arial"/>
          <w:sz w:val="18"/>
          <w:szCs w:val="18"/>
          <w:color w:val="auto"/>
        </w:rPr>
        <w:t>At the MTAC Stockholder Meeting, MTAC’s stockholders considered and approved, among other items, “</w:t>
      </w:r>
      <w:r>
        <w:rPr>
          <w:rFonts w:ascii="Arial" w:cs="Arial" w:eastAsia="Arial" w:hAnsi="Arial"/>
          <w:sz w:val="18"/>
          <w:szCs w:val="18"/>
          <w:i w:val="1"/>
          <w:iCs w:val="1"/>
          <w:color w:val="auto"/>
        </w:rPr>
        <w:t>Proposal 2 – The Charter Approval</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 (“Charter Proposal”), which is described in greater detail beginning on page 190 in the Proxy Statement/Prospectus. The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which became effective upon filing with the Secretary of State of the State of Delaware on August 10, 2023 includes the amendments proposed by the Charter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 w:name="page18"/>
    <w:bookmarkEnd w:id="17"/>
    <w:p>
      <w:pPr>
        <w:ind w:right="60" w:firstLine="324"/>
        <w:spacing w:after="0" w:line="273" w:lineRule="auto"/>
        <w:rPr>
          <w:sz w:val="20"/>
          <w:szCs w:val="20"/>
          <w:color w:val="auto"/>
        </w:rPr>
      </w:pPr>
      <w:r>
        <w:rPr>
          <w:rFonts w:ascii="Arial" w:cs="Arial" w:eastAsia="Arial" w:hAnsi="Arial"/>
          <w:sz w:val="17"/>
          <w:szCs w:val="17"/>
          <w:color w:val="auto"/>
        </w:rPr>
        <w:t>On August 10, 2023, the New TriSalus Board adopted the Bylaws, which became effective on that date. The Certificate of Incorporation included the amendments proposed by the Charter Proposal. The material terms of the Certificate of Incorporation and the Bylaws and the general effect upon the rights of holders of MTAC’s capital stock are discussed in Exhibit 4.4 to this Current Report on Form 8-K in the section entitled “</w:t>
      </w:r>
      <w:r>
        <w:rPr>
          <w:rFonts w:ascii="Arial" w:cs="Arial" w:eastAsia="Arial" w:hAnsi="Arial"/>
          <w:sz w:val="17"/>
          <w:szCs w:val="17"/>
          <w:i w:val="1"/>
          <w:iCs w:val="1"/>
          <w:color w:val="auto"/>
        </w:rPr>
        <w:t>Description of Securities –</w:t>
      </w:r>
      <w:r>
        <w:rPr>
          <w:rFonts w:ascii="Arial" w:cs="Arial" w:eastAsia="Arial" w:hAnsi="Arial"/>
          <w:sz w:val="17"/>
          <w:szCs w:val="17"/>
          <w:color w:val="auto"/>
        </w:rPr>
        <w:t xml:space="preserve"> </w:t>
      </w:r>
      <w:r>
        <w:rPr>
          <w:rFonts w:ascii="Arial" w:cs="Arial" w:eastAsia="Arial" w:hAnsi="Arial"/>
          <w:sz w:val="17"/>
          <w:szCs w:val="17"/>
          <w:i w:val="1"/>
          <w:iCs w:val="1"/>
          <w:color w:val="auto"/>
        </w:rPr>
        <w:t>Common Stock</w:t>
      </w:r>
      <w:r>
        <w:rPr>
          <w:rFonts w:ascii="Arial" w:cs="Arial" w:eastAsia="Arial" w:hAnsi="Arial"/>
          <w:sz w:val="17"/>
          <w:szCs w:val="17"/>
          <w:color w:val="auto"/>
        </w:rPr>
        <w:t>”, the Proxy Statement/Prospectus in the sections entitled “</w:t>
      </w:r>
      <w:r>
        <w:rPr>
          <w:rFonts w:ascii="Arial" w:cs="Arial" w:eastAsia="Arial" w:hAnsi="Arial"/>
          <w:sz w:val="17"/>
          <w:szCs w:val="17"/>
          <w:i w:val="1"/>
          <w:iCs w:val="1"/>
          <w:color w:val="auto"/>
        </w:rPr>
        <w:t>Description of MTAC’s Securities—Preferred Stock</w:t>
      </w:r>
      <w:r>
        <w:rPr>
          <w:rFonts w:ascii="Arial" w:cs="Arial" w:eastAsia="Arial" w:hAnsi="Arial"/>
          <w:sz w:val="17"/>
          <w:szCs w:val="17"/>
          <w:color w:val="auto"/>
        </w:rPr>
        <w:t>” beginning on page 321, the</w:t>
      </w:r>
      <w:r>
        <w:rPr>
          <w:rFonts w:ascii="Arial" w:cs="Arial" w:eastAsia="Arial" w:hAnsi="Arial"/>
          <w:sz w:val="17"/>
          <w:szCs w:val="17"/>
          <w:i w:val="1"/>
          <w:iCs w:val="1"/>
          <w:color w:val="auto"/>
        </w:rPr>
        <w:t xml:space="preserve"> </w:t>
      </w:r>
      <w:r>
        <w:rPr>
          <w:rFonts w:ascii="Arial" w:cs="Arial" w:eastAsia="Arial" w:hAnsi="Arial"/>
          <w:sz w:val="17"/>
          <w:szCs w:val="17"/>
          <w:color w:val="auto"/>
        </w:rPr>
        <w:t>Proxy Statement/Prospectus in the sections entitled “</w:t>
      </w:r>
      <w:r>
        <w:rPr>
          <w:rFonts w:ascii="Arial" w:cs="Arial" w:eastAsia="Arial" w:hAnsi="Arial"/>
          <w:sz w:val="17"/>
          <w:szCs w:val="17"/>
          <w:i w:val="1"/>
          <w:iCs w:val="1"/>
          <w:color w:val="auto"/>
        </w:rPr>
        <w:t>Description of MTAC’s Securities—Warrants</w:t>
      </w:r>
      <w:r>
        <w:rPr>
          <w:rFonts w:ascii="Arial" w:cs="Arial" w:eastAsia="Arial" w:hAnsi="Arial"/>
          <w:sz w:val="17"/>
          <w:szCs w:val="17"/>
          <w:color w:val="auto"/>
        </w:rPr>
        <w:t>” beginning on page 324 and “</w:t>
      </w:r>
      <w:r>
        <w:rPr>
          <w:rFonts w:ascii="Arial" w:cs="Arial" w:eastAsia="Arial" w:hAnsi="Arial"/>
          <w:sz w:val="17"/>
          <w:szCs w:val="17"/>
          <w:i w:val="1"/>
          <w:iCs w:val="1"/>
          <w:color w:val="auto"/>
        </w:rPr>
        <w:t>Comparison of Corporate</w:t>
      </w:r>
      <w:r>
        <w:rPr>
          <w:rFonts w:ascii="Arial" w:cs="Arial" w:eastAsia="Arial" w:hAnsi="Arial"/>
          <w:sz w:val="17"/>
          <w:szCs w:val="17"/>
          <w:color w:val="auto"/>
        </w:rPr>
        <w:t xml:space="preserve"> </w:t>
      </w:r>
      <w:r>
        <w:rPr>
          <w:rFonts w:ascii="Arial" w:cs="Arial" w:eastAsia="Arial" w:hAnsi="Arial"/>
          <w:sz w:val="17"/>
          <w:szCs w:val="17"/>
          <w:i w:val="1"/>
          <w:iCs w:val="1"/>
          <w:color w:val="auto"/>
        </w:rPr>
        <w:t>Governance and Stockholders’ Rights</w:t>
      </w:r>
      <w:r>
        <w:rPr>
          <w:rFonts w:ascii="Arial" w:cs="Arial" w:eastAsia="Arial" w:hAnsi="Arial"/>
          <w:sz w:val="17"/>
          <w:szCs w:val="17"/>
          <w:color w:val="auto"/>
        </w:rPr>
        <w:t>” beginning on page 333, which are incorporated herein by reference.</w:t>
      </w:r>
    </w:p>
    <w:p>
      <w:pPr>
        <w:spacing w:after="0" w:line="17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the disclosure set forth under Item 3.03 in this Current Report on Form 8-K is incorporated herein by reference. Copies of the Certificate of Incorporation and the Bylaws are included as Exhibit 3.1 and Exhibit 3.2, respectively, to this Current Report on Form 8-K and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5.05. Amendments to the Registrant’s Code of Ethics, or Waiver of a Provision of the Code of Ethics.</w:t>
      </w:r>
    </w:p>
    <w:p>
      <w:pPr>
        <w:spacing w:after="0" w:line="22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In connection with the Business Combination, on August 10, 2023, the New TriSalus Board approved and adopted a new Code of Business Conduct and Ethics applicable to all employees, officers and directors of the Company. A copy of the Code of Business Conduct and Ethics can be found in the Investors section of the Company’s website at www.trisaluslifesci.com.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5.06. Change in Shell Company Status.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On August 10, 2023, as a result of the Business Combination, MTAC ceased to be a shell company (as defined in Rule 12b-2 of the Exchange Act) as of the Closing. A description of the Business Combination and the terms of the Merger Agreement are included in the Proxy Statement/Prospectus in the section entitled “</w:t>
      </w:r>
      <w:r>
        <w:rPr>
          <w:rFonts w:ascii="Arial" w:cs="Arial" w:eastAsia="Arial" w:hAnsi="Arial"/>
          <w:sz w:val="18"/>
          <w:szCs w:val="18"/>
          <w:i w:val="1"/>
          <w:iCs w:val="1"/>
          <w:color w:val="auto"/>
        </w:rPr>
        <w:t>Proposal 1 – The Business Combination Proposal</w:t>
      </w:r>
      <w:r>
        <w:rPr>
          <w:rFonts w:ascii="Arial" w:cs="Arial" w:eastAsia="Arial" w:hAnsi="Arial"/>
          <w:sz w:val="18"/>
          <w:szCs w:val="18"/>
          <w:color w:val="auto"/>
        </w:rPr>
        <w:t>” beginning on page 133 of the Proxy Statement/Prospectus, which are incorporated herein by reference. Further, the information set forth in the “</w:t>
      </w:r>
      <w:r>
        <w:rPr>
          <w:rFonts w:ascii="Arial" w:cs="Arial" w:eastAsia="Arial" w:hAnsi="Arial"/>
          <w:sz w:val="18"/>
          <w:szCs w:val="18"/>
          <w:i w:val="1"/>
          <w:iCs w:val="1"/>
          <w:color w:val="auto"/>
        </w:rPr>
        <w:t>Introductory Note</w:t>
      </w:r>
      <w:r>
        <w:rPr>
          <w:rFonts w:ascii="Arial" w:cs="Arial" w:eastAsia="Arial" w:hAnsi="Arial"/>
          <w:sz w:val="18"/>
          <w:szCs w:val="18"/>
          <w:color w:val="auto"/>
        </w:rPr>
        <w:t>” and under Item 2.01 of this Current Report on Form 8-K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On August 10, 2023, the Company issued a press release announcing the closing of the Business Combination. A copy of the press release is filed hereto as Exhibit 99.4 and incorporated by reference herein.</w:t>
      </w:r>
    </w:p>
    <w:p>
      <w:pPr>
        <w:spacing w:after="0" w:line="1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information in this Item 7.01, including Exhibit 99.4, is furnished and shall not be deemed “filed” for purposes of Section 18 of the Exchange Act, or otherwise subject to liabilities under that section, and shall not be deemed to be incorporated by reference into the filings of the registrant under the Securities Act of 1933, as amended, or the Exchange Act, regardless of any general incorporation language in such filings. This Current Report on 8-K will not be deemed an admission as to the materiality of any information contained in this Item 7.01, including Exhibit 99.4.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of Businesses Acquired.</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historical unaudited condensed consolidated financial statements of Legacy TriSalus as of and for the three and six months ended June 30, 2023, and for the three and six months ended June 30, 2022 and the related notes are included in Exhibit 99.1 to this Current Report on Form 8-K and are incorporated herein by reference.</w:t>
      </w:r>
    </w:p>
    <w:p>
      <w:pPr>
        <w:spacing w:after="0" w:line="184" w:lineRule="exact"/>
        <w:rPr>
          <w:sz w:val="20"/>
          <w:szCs w:val="20"/>
          <w:color w:val="auto"/>
        </w:rPr>
      </w:pPr>
    </w:p>
    <w:p>
      <w:pPr>
        <w:jc w:val="both"/>
        <w:ind w:right="60" w:firstLine="324"/>
        <w:spacing w:after="0" w:line="342" w:lineRule="auto"/>
        <w:rPr>
          <w:sz w:val="20"/>
          <w:szCs w:val="20"/>
          <w:color w:val="auto"/>
        </w:rPr>
      </w:pPr>
      <w:r>
        <w:rPr>
          <w:rFonts w:ascii="Arial" w:cs="Arial" w:eastAsia="Arial" w:hAnsi="Arial"/>
          <w:sz w:val="16"/>
          <w:szCs w:val="16"/>
          <w:color w:val="auto"/>
        </w:rPr>
        <w:t>The historical audited consolidated financial statements of Legacy TriSalus as of and for the years ended December 31, 2022, and 2021 and the related notes are included in the Proxy Statement/Prospectus beginning on page F-66 of the Proxy Statement/Prospectus.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right="320" w:firstLine="324"/>
        <w:spacing w:after="0" w:line="342" w:lineRule="auto"/>
        <w:rPr>
          <w:sz w:val="20"/>
          <w:szCs w:val="20"/>
          <w:color w:val="auto"/>
        </w:rPr>
      </w:pPr>
      <w:r>
        <w:rPr>
          <w:rFonts w:ascii="Arial" w:cs="Arial" w:eastAsia="Arial" w:hAnsi="Arial"/>
          <w:sz w:val="16"/>
          <w:szCs w:val="16"/>
          <w:color w:val="auto"/>
        </w:rPr>
        <w:t>The historical unaudited condensed consolidated financial statements of MTAC as of and for the three and six months ended June 30, 2023 and the three and six months ended June 30, 2022 and the related notes are included in the MTAC Q2 Report and incorporated herein by reference.</w:t>
      </w:r>
    </w:p>
    <w:p>
      <w:pPr>
        <w:spacing w:after="0" w:line="124"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historical audited consolidated financial statements of MTAC as of and for the years ended December 31, 2022, and 2021 and the related notes are included in the Proxy Statement/Prospectus beginning on page F-26 of the Proxy Statement/Prospectus and are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229"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The unaudited pro forma condensed combined financial information of Legacy TriSalus and MTAC as of June 30, 2023 and for year ended December 31, 2022 is set forth in Exhibit 99.3 hereto and is incorporated herein by reference.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14"/>
          </w:tcPr>
          <w:p>
            <w:pPr>
              <w:ind w:left="440"/>
              <w:spacing w:after="0"/>
              <w:rPr>
                <w:sz w:val="20"/>
                <w:szCs w:val="20"/>
                <w:color w:val="auto"/>
              </w:rPr>
            </w:pPr>
            <w:r>
              <w:rPr>
                <w:rFonts w:ascii="Arial" w:cs="Arial" w:eastAsia="Arial" w:hAnsi="Arial"/>
                <w:sz w:val="18"/>
                <w:szCs w:val="18"/>
                <w:b w:val="1"/>
                <w:bCs w:val="1"/>
                <w:color w:val="auto"/>
              </w:rPr>
              <w:t>Incorporated by Reference</w:t>
            </w:r>
          </w:p>
        </w:tc>
      </w:tr>
      <w:tr>
        <w:trPr>
          <w:trHeight w:val="191"/>
        </w:trPr>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6"/>
              </w:rPr>
              <w:t>Schedule/</w:t>
            </w:r>
          </w:p>
        </w:tc>
        <w:tc>
          <w:tcPr>
            <w:tcW w:w="560" w:type="dxa"/>
            <w:vAlign w:val="bottom"/>
            <w:gridSpan w:val="3"/>
          </w:tcPr>
          <w:p>
            <w:pPr>
              <w:ind w:left="140"/>
              <w:spacing w:after="0" w:line="191" w:lineRule="exact"/>
              <w:rPr>
                <w:sz w:val="20"/>
                <w:szCs w:val="20"/>
                <w:color w:val="auto"/>
              </w:rPr>
            </w:pPr>
            <w:r>
              <w:rPr>
                <w:rFonts w:ascii="Arial" w:cs="Arial" w:eastAsia="Arial" w:hAnsi="Arial"/>
                <w:sz w:val="18"/>
                <w:szCs w:val="18"/>
                <w:b w:val="1"/>
                <w:bCs w:val="1"/>
                <w:color w:val="auto"/>
              </w:rPr>
              <w:t>File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34"/>
        </w:trPr>
        <w:tc>
          <w:tcPr>
            <w:tcW w:w="100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Exhibit No.</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80" w:type="dxa"/>
            <w:vAlign w:val="bottom"/>
            <w:gridSpan w:val="8"/>
          </w:tcPr>
          <w:p>
            <w:pPr>
              <w:ind w:left="4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b w:val="1"/>
                <w:bCs w:val="1"/>
                <w:color w:val="auto"/>
              </w:rPr>
              <w:t>Form</w:t>
            </w:r>
          </w:p>
        </w:tc>
        <w:tc>
          <w:tcPr>
            <w:tcW w:w="100" w:type="dxa"/>
            <w:vAlign w:val="bottom"/>
          </w:tcPr>
          <w:p>
            <w:pPr>
              <w:spacing w:after="0"/>
              <w:rPr>
                <w:sz w:val="20"/>
                <w:szCs w:val="20"/>
                <w:color w:val="auto"/>
              </w:rPr>
            </w:pPr>
          </w:p>
        </w:tc>
        <w:tc>
          <w:tcPr>
            <w:tcW w:w="560" w:type="dxa"/>
            <w:vAlign w:val="bottom"/>
            <w:gridSpan w:val="3"/>
          </w:tcPr>
          <w:p>
            <w:pPr>
              <w:ind w:left="160"/>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700" w:type="dxa"/>
            <w:vAlign w:val="bottom"/>
            <w:gridSpan w:val="4"/>
          </w:tcPr>
          <w:p>
            <w:pPr>
              <w:ind w:left="20"/>
              <w:spacing w:after="0"/>
              <w:rPr>
                <w:sz w:val="20"/>
                <w:szCs w:val="20"/>
                <w:color w:val="auto"/>
              </w:rPr>
            </w:pPr>
            <w:r>
              <w:rPr>
                <w:rFonts w:ascii="Arial" w:cs="Arial" w:eastAsia="Arial" w:hAnsi="Arial"/>
                <w:sz w:val="18"/>
                <w:szCs w:val="18"/>
                <w:b w:val="1"/>
                <w:bCs w:val="1"/>
                <w:color w:val="auto"/>
              </w:rPr>
              <w:t>Exhibit</w:t>
            </w:r>
          </w:p>
        </w:tc>
        <w:tc>
          <w:tcPr>
            <w:tcW w:w="1320" w:type="dxa"/>
            <w:vAlign w:val="bottom"/>
            <w:gridSpan w:val="4"/>
          </w:tcPr>
          <w:p>
            <w:pPr>
              <w:ind w:left="240"/>
              <w:spacing w:after="0"/>
              <w:rPr>
                <w:sz w:val="20"/>
                <w:szCs w:val="20"/>
                <w:color w:val="auto"/>
              </w:rPr>
            </w:pPr>
            <w:r>
              <w:rPr>
                <w:rFonts w:ascii="Arial" w:cs="Arial" w:eastAsia="Arial" w:hAnsi="Arial"/>
                <w:sz w:val="18"/>
                <w:szCs w:val="18"/>
                <w:b w:val="1"/>
                <w:bCs w:val="1"/>
                <w:color w:val="auto"/>
              </w:rPr>
              <w:t>Filing Date</w:t>
            </w:r>
          </w:p>
        </w:tc>
      </w:tr>
      <w:tr>
        <w:trPr>
          <w:trHeight w:val="20"/>
        </w:trPr>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r>
      <w:tr>
        <w:trPr>
          <w:trHeight w:val="385"/>
        </w:trPr>
        <w:tc>
          <w:tcPr>
            <w:tcW w:w="340" w:type="dxa"/>
            <w:vAlign w:val="bottom"/>
            <w:gridSpan w:val="2"/>
          </w:tcPr>
          <w:p>
            <w:pPr>
              <w:spacing w:after="0"/>
              <w:rPr>
                <w:rFonts w:ascii="Arial" w:cs="Arial" w:eastAsia="Arial" w:hAnsi="Arial"/>
                <w:sz w:val="18"/>
                <w:szCs w:val="18"/>
                <w:color w:val="0000EE"/>
                <w:w w:val="89"/>
              </w:rPr>
            </w:pPr>
            <w:hyperlink r:id="rId34">
              <w:r>
                <w:rPr>
                  <w:rFonts w:ascii="Arial" w:cs="Arial" w:eastAsia="Arial" w:hAnsi="Arial"/>
                  <w:sz w:val="18"/>
                  <w:szCs w:val="18"/>
                  <w:color w:val="0000EE"/>
                  <w:w w:val="89"/>
                </w:rPr>
                <w:t>2.</w:t>
              </w:r>
              <w:r>
                <w:rPr>
                  <w:rFonts w:ascii="Arial" w:cs="Arial" w:eastAsia="Arial" w:hAnsi="Arial"/>
                  <w:sz w:val="18"/>
                  <w:szCs w:val="18"/>
                  <w:u w:val="single" w:color="auto"/>
                  <w:color w:val="0000EE"/>
                  <w:w w:val="89"/>
                </w:rPr>
                <w:t>1+</w:t>
              </w:r>
            </w:hyperlink>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0" w:type="dxa"/>
            <w:vAlign w:val="bottom"/>
            <w:gridSpan w:val="15"/>
          </w:tcPr>
          <w:p>
            <w:pPr>
              <w:spacing w:after="0"/>
              <w:rPr>
                <w:rFonts w:ascii="Arial" w:cs="Arial" w:eastAsia="Arial" w:hAnsi="Arial"/>
                <w:sz w:val="18"/>
                <w:szCs w:val="18"/>
                <w:color w:val="0000EE"/>
                <w:w w:val="89"/>
              </w:rPr>
            </w:pPr>
            <w:hyperlink r:id="rId34">
              <w:r>
                <w:rPr>
                  <w:rFonts w:ascii="Arial" w:cs="Arial" w:eastAsia="Arial" w:hAnsi="Arial"/>
                  <w:sz w:val="18"/>
                  <w:szCs w:val="18"/>
                  <w:color w:val="0000EE"/>
                  <w:w w:val="89"/>
                </w:rPr>
                <w:t>Agreement and Plan of Merger, dated as of November 11, 2022, by and among MedTech</w:t>
              </w:r>
            </w:hyperlink>
          </w:p>
        </w:tc>
        <w:tc>
          <w:tcPr>
            <w:tcW w:w="960" w:type="dxa"/>
            <w:vAlign w:val="bottom"/>
            <w:gridSpan w:val="4"/>
          </w:tcPr>
          <w:p>
            <w:pPr>
              <w:ind w:left="120"/>
              <w:spacing w:after="0"/>
              <w:rPr>
                <w:rFonts w:ascii="Arial" w:cs="Arial" w:eastAsia="Arial" w:hAnsi="Arial"/>
                <w:sz w:val="18"/>
                <w:szCs w:val="18"/>
                <w:color w:val="0000EE"/>
              </w:rPr>
            </w:pPr>
            <w:hyperlink r:id="rId34">
              <w:r>
                <w:rPr>
                  <w:rFonts w:ascii="Arial" w:cs="Arial" w:eastAsia="Arial" w:hAnsi="Arial"/>
                  <w:sz w:val="18"/>
                  <w:szCs w:val="18"/>
                  <w:color w:val="0000EE"/>
                </w:rPr>
                <w:t>8-K</w:t>
              </w:r>
            </w:hyperlink>
          </w:p>
        </w:tc>
        <w:tc>
          <w:tcPr>
            <w:tcW w:w="460" w:type="dxa"/>
            <w:vAlign w:val="bottom"/>
            <w:gridSpan w:val="2"/>
          </w:tcPr>
          <w:p>
            <w:pPr>
              <w:spacing w:after="0"/>
              <w:rPr>
                <w:rFonts w:ascii="Arial" w:cs="Arial" w:eastAsia="Arial" w:hAnsi="Arial"/>
                <w:sz w:val="18"/>
                <w:szCs w:val="18"/>
                <w:color w:val="0000EE"/>
              </w:rPr>
            </w:pPr>
            <w:hyperlink r:id="rId34">
              <w:r>
                <w:rPr>
                  <w:rFonts w:ascii="Arial" w:cs="Arial" w:eastAsia="Arial" w:hAnsi="Arial"/>
                  <w:sz w:val="18"/>
                  <w:szCs w:val="18"/>
                  <w:color w:val="0000EE"/>
                </w:rPr>
                <w:t>001-</w:t>
              </w:r>
            </w:hyperlink>
          </w:p>
        </w:tc>
        <w:tc>
          <w:tcPr>
            <w:tcW w:w="100" w:type="dxa"/>
            <w:vAlign w:val="bottom"/>
          </w:tcPr>
          <w:p>
            <w:pPr>
              <w:spacing w:after="0"/>
              <w:rPr>
                <w:sz w:val="24"/>
                <w:szCs w:val="24"/>
                <w:color w:val="auto"/>
              </w:rPr>
            </w:pPr>
          </w:p>
        </w:tc>
        <w:tc>
          <w:tcPr>
            <w:tcW w:w="420" w:type="dxa"/>
            <w:vAlign w:val="bottom"/>
            <w:gridSpan w:val="3"/>
          </w:tcPr>
          <w:p>
            <w:pPr>
              <w:ind w:left="100"/>
              <w:spacing w:after="0"/>
              <w:rPr>
                <w:rFonts w:ascii="Arial" w:cs="Arial" w:eastAsia="Arial" w:hAnsi="Arial"/>
                <w:sz w:val="18"/>
                <w:szCs w:val="18"/>
                <w:color w:val="0000EE"/>
              </w:rPr>
            </w:pPr>
            <w:hyperlink r:id="rId34">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EE"/>
              </w:rPr>
            </w:pPr>
            <w:hyperlink r:id="rId34">
              <w:r>
                <w:rPr>
                  <w:rFonts w:ascii="Arial" w:cs="Arial" w:eastAsia="Arial" w:hAnsi="Arial"/>
                  <w:sz w:val="18"/>
                  <w:szCs w:val="18"/>
                  <w:color w:val="0000EE"/>
                </w:rPr>
                <w:t>November 14,</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0" w:type="dxa"/>
            <w:vAlign w:val="bottom"/>
            <w:gridSpan w:val="15"/>
          </w:tcPr>
          <w:p>
            <w:pPr>
              <w:spacing w:after="0" w:line="196" w:lineRule="exact"/>
              <w:rPr>
                <w:rFonts w:ascii="Arial" w:cs="Arial" w:eastAsia="Arial" w:hAnsi="Arial"/>
                <w:sz w:val="18"/>
                <w:szCs w:val="18"/>
                <w:color w:val="0000EE"/>
                <w:w w:val="98"/>
              </w:rPr>
            </w:pPr>
            <w:hyperlink r:id="rId34">
              <w:r>
                <w:rPr>
                  <w:rFonts w:ascii="Arial" w:cs="Arial" w:eastAsia="Arial" w:hAnsi="Arial"/>
                  <w:sz w:val="18"/>
                  <w:szCs w:val="18"/>
                  <w:color w:val="0000EE"/>
                  <w:w w:val="98"/>
                </w:rPr>
                <w:t>Acquisition Corporation, MTAC Merger Sub, Inc., and TriSalus Life Sciences, Inc.</w:t>
              </w:r>
            </w:hyperlink>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39813</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line="196" w:lineRule="exact"/>
              <w:rPr>
                <w:rFonts w:ascii="Arial" w:cs="Arial" w:eastAsia="Arial" w:hAnsi="Arial"/>
                <w:sz w:val="18"/>
                <w:szCs w:val="18"/>
                <w:color w:val="0000EE"/>
                <w:w w:val="84"/>
              </w:rPr>
            </w:pPr>
            <w:hyperlink r:id="rId34">
              <w:r>
                <w:rPr>
                  <w:rFonts w:ascii="Arial" w:cs="Arial" w:eastAsia="Arial" w:hAnsi="Arial"/>
                  <w:sz w:val="18"/>
                  <w:szCs w:val="18"/>
                  <w:color w:val="0000EE"/>
                  <w:w w:val="84"/>
                </w:rPr>
                <w:t>2022</w:t>
              </w:r>
            </w:hyperlink>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35">
              <w:r>
                <w:rPr>
                  <w:rFonts w:ascii="Arial" w:cs="Arial" w:eastAsia="Arial" w:hAnsi="Arial"/>
                  <w:sz w:val="18"/>
                  <w:szCs w:val="18"/>
                  <w:color w:val="0000EE"/>
                  <w:w w:val="87"/>
                </w:rPr>
                <w:t>2.</w:t>
              </w:r>
              <w:r>
                <w:rPr>
                  <w:rFonts w:ascii="Arial" w:cs="Arial" w:eastAsia="Arial" w:hAnsi="Arial"/>
                  <w:sz w:val="18"/>
                  <w:szCs w:val="18"/>
                  <w:u w:val="single" w:color="auto"/>
                  <w:color w:val="0000EE"/>
                  <w:w w:val="87"/>
                </w:rPr>
                <w:t>2</w:t>
              </w:r>
            </w:hyperlink>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60" w:type="dxa"/>
            <w:vAlign w:val="bottom"/>
            <w:gridSpan w:val="13"/>
          </w:tcPr>
          <w:p>
            <w:pPr>
              <w:spacing w:after="0"/>
              <w:rPr>
                <w:rFonts w:ascii="Arial" w:cs="Arial" w:eastAsia="Arial" w:hAnsi="Arial"/>
                <w:sz w:val="18"/>
                <w:szCs w:val="18"/>
                <w:color w:val="0000EE"/>
                <w:w w:val="90"/>
              </w:rPr>
            </w:pPr>
            <w:hyperlink r:id="rId35">
              <w:r>
                <w:rPr>
                  <w:rFonts w:ascii="Arial" w:cs="Arial" w:eastAsia="Arial" w:hAnsi="Arial"/>
                  <w:sz w:val="18"/>
                  <w:szCs w:val="18"/>
                  <w:color w:val="0000EE"/>
                  <w:w w:val="90"/>
                </w:rPr>
                <w:t>First Amendment to Agreement and Plan of Merger, dated as of April 4, 2023, by and</w:t>
              </w:r>
            </w:hyperlink>
          </w:p>
        </w:tc>
        <w:tc>
          <w:tcPr>
            <w:tcW w:w="240" w:type="dxa"/>
            <w:vAlign w:val="bottom"/>
            <w:gridSpan w:val="2"/>
          </w:tcPr>
          <w:p>
            <w:pPr>
              <w:spacing w:after="0"/>
              <w:rPr>
                <w:sz w:val="24"/>
                <w:szCs w:val="24"/>
                <w:color w:val="auto"/>
              </w:rPr>
            </w:pPr>
          </w:p>
        </w:tc>
        <w:tc>
          <w:tcPr>
            <w:tcW w:w="960" w:type="dxa"/>
            <w:vAlign w:val="bottom"/>
            <w:gridSpan w:val="4"/>
          </w:tcPr>
          <w:p>
            <w:pPr>
              <w:ind w:left="120"/>
              <w:spacing w:after="0"/>
              <w:rPr>
                <w:rFonts w:ascii="Arial" w:cs="Arial" w:eastAsia="Arial" w:hAnsi="Arial"/>
                <w:sz w:val="18"/>
                <w:szCs w:val="18"/>
                <w:color w:val="0000EE"/>
              </w:rPr>
            </w:pPr>
            <w:hyperlink r:id="rId35">
              <w:r>
                <w:rPr>
                  <w:rFonts w:ascii="Arial" w:cs="Arial" w:eastAsia="Arial" w:hAnsi="Arial"/>
                  <w:sz w:val="18"/>
                  <w:szCs w:val="18"/>
                  <w:color w:val="0000EE"/>
                </w:rPr>
                <w:t>8-K</w:t>
              </w:r>
            </w:hyperlink>
          </w:p>
        </w:tc>
        <w:tc>
          <w:tcPr>
            <w:tcW w:w="460" w:type="dxa"/>
            <w:vAlign w:val="bottom"/>
            <w:gridSpan w:val="2"/>
          </w:tcPr>
          <w:p>
            <w:pPr>
              <w:spacing w:after="0"/>
              <w:rPr>
                <w:rFonts w:ascii="Arial" w:cs="Arial" w:eastAsia="Arial" w:hAnsi="Arial"/>
                <w:sz w:val="18"/>
                <w:szCs w:val="18"/>
                <w:color w:val="0000EE"/>
              </w:rPr>
            </w:pPr>
            <w:hyperlink r:id="rId35">
              <w:r>
                <w:rPr>
                  <w:rFonts w:ascii="Arial" w:cs="Arial" w:eastAsia="Arial" w:hAnsi="Arial"/>
                  <w:sz w:val="18"/>
                  <w:szCs w:val="18"/>
                  <w:color w:val="0000EE"/>
                </w:rPr>
                <w:t>001-</w:t>
              </w:r>
            </w:hyperlink>
          </w:p>
        </w:tc>
        <w:tc>
          <w:tcPr>
            <w:tcW w:w="100" w:type="dxa"/>
            <w:vAlign w:val="bottom"/>
          </w:tcPr>
          <w:p>
            <w:pPr>
              <w:spacing w:after="0"/>
              <w:rPr>
                <w:sz w:val="24"/>
                <w:szCs w:val="24"/>
                <w:color w:val="auto"/>
              </w:rPr>
            </w:pPr>
          </w:p>
        </w:tc>
        <w:tc>
          <w:tcPr>
            <w:tcW w:w="680" w:type="dxa"/>
            <w:vAlign w:val="bottom"/>
            <w:gridSpan w:val="4"/>
          </w:tcPr>
          <w:p>
            <w:pPr>
              <w:ind w:left="100"/>
              <w:spacing w:after="0"/>
              <w:rPr>
                <w:rFonts w:ascii="Arial" w:cs="Arial" w:eastAsia="Arial" w:hAnsi="Arial"/>
                <w:sz w:val="18"/>
                <w:szCs w:val="18"/>
                <w:color w:val="0000EE"/>
              </w:rPr>
            </w:pPr>
            <w:hyperlink r:id="rId3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EE"/>
              </w:rPr>
            </w:pPr>
            <w:hyperlink r:id="rId35">
              <w:r>
                <w:rPr>
                  <w:rFonts w:ascii="Arial" w:cs="Arial" w:eastAsia="Arial" w:hAnsi="Arial"/>
                  <w:sz w:val="18"/>
                  <w:szCs w:val="18"/>
                  <w:color w:val="0000EE"/>
                </w:rPr>
                <w:t>April 5, 2023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0" w:type="dxa"/>
            <w:vAlign w:val="bottom"/>
            <w:gridSpan w:val="15"/>
          </w:tcPr>
          <w:p>
            <w:pPr>
              <w:spacing w:after="0" w:line="196" w:lineRule="exact"/>
              <w:rPr>
                <w:rFonts w:ascii="Arial" w:cs="Arial" w:eastAsia="Arial" w:hAnsi="Arial"/>
                <w:sz w:val="18"/>
                <w:szCs w:val="18"/>
                <w:color w:val="0000EE"/>
                <w:w w:val="95"/>
              </w:rPr>
            </w:pPr>
            <w:hyperlink r:id="rId35">
              <w:r>
                <w:rPr>
                  <w:rFonts w:ascii="Arial" w:cs="Arial" w:eastAsia="Arial" w:hAnsi="Arial"/>
                  <w:sz w:val="18"/>
                  <w:szCs w:val="18"/>
                  <w:color w:val="0000EE"/>
                  <w:w w:val="95"/>
                </w:rPr>
                <w:t>among MedTech Acquisition Corporation, MTAC Merger Sub, Inc., and TriSalus Life</w:t>
              </w:r>
            </w:hyperlink>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39813</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35">
              <w:r>
                <w:rPr>
                  <w:rFonts w:ascii="Arial" w:cs="Arial" w:eastAsia="Arial" w:hAnsi="Arial"/>
                  <w:sz w:val="18"/>
                  <w:szCs w:val="18"/>
                  <w:color w:val="0000EE"/>
                  <w:w w:val="87"/>
                </w:rPr>
                <w:t>Sciences, Inc.</w:t>
              </w:r>
            </w:hyperlink>
          </w:p>
        </w:tc>
        <w:tc>
          <w:tcPr>
            <w:tcW w:w="5200" w:type="dxa"/>
            <w:vAlign w:val="bottom"/>
            <w:tcBorders>
              <w:top w:val="single" w:sz="8" w:color="0000EE"/>
            </w:tcBorders>
            <w:gridSpan w:val="13"/>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36">
              <w:r>
                <w:rPr>
                  <w:rFonts w:ascii="Arial" w:cs="Arial" w:eastAsia="Arial" w:hAnsi="Arial"/>
                  <w:sz w:val="18"/>
                  <w:szCs w:val="18"/>
                  <w:color w:val="0000EE"/>
                  <w:w w:val="87"/>
                </w:rPr>
                <w:t>2.</w:t>
              </w:r>
              <w:r>
                <w:rPr>
                  <w:rFonts w:ascii="Arial" w:cs="Arial" w:eastAsia="Arial" w:hAnsi="Arial"/>
                  <w:sz w:val="18"/>
                  <w:szCs w:val="18"/>
                  <w:u w:val="single" w:color="auto"/>
                  <w:color w:val="0000EE"/>
                  <w:w w:val="87"/>
                </w:rPr>
                <w:t>3</w:t>
              </w:r>
            </w:hyperlink>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0" w:type="dxa"/>
            <w:vAlign w:val="bottom"/>
            <w:gridSpan w:val="15"/>
          </w:tcPr>
          <w:p>
            <w:pPr>
              <w:spacing w:after="0"/>
              <w:rPr>
                <w:rFonts w:ascii="Arial" w:cs="Arial" w:eastAsia="Arial" w:hAnsi="Arial"/>
                <w:sz w:val="18"/>
                <w:szCs w:val="18"/>
                <w:color w:val="0000EE"/>
                <w:w w:val="94"/>
              </w:rPr>
            </w:pPr>
            <w:hyperlink r:id="rId36">
              <w:r>
                <w:rPr>
                  <w:rFonts w:ascii="Arial" w:cs="Arial" w:eastAsia="Arial" w:hAnsi="Arial"/>
                  <w:sz w:val="18"/>
                  <w:szCs w:val="18"/>
                  <w:color w:val="0000EE"/>
                  <w:w w:val="94"/>
                </w:rPr>
                <w:t>Second Amendment to Agreement and Plan of Merger, dated as of May 13, 2023, by</w:t>
              </w:r>
            </w:hyperlink>
          </w:p>
        </w:tc>
        <w:tc>
          <w:tcPr>
            <w:tcW w:w="960" w:type="dxa"/>
            <w:vAlign w:val="bottom"/>
            <w:gridSpan w:val="4"/>
          </w:tcPr>
          <w:p>
            <w:pPr>
              <w:ind w:left="120"/>
              <w:spacing w:after="0"/>
              <w:rPr>
                <w:rFonts w:ascii="Arial" w:cs="Arial" w:eastAsia="Arial" w:hAnsi="Arial"/>
                <w:sz w:val="18"/>
                <w:szCs w:val="18"/>
                <w:color w:val="0000EE"/>
              </w:rPr>
            </w:pPr>
            <w:hyperlink r:id="rId36">
              <w:r>
                <w:rPr>
                  <w:rFonts w:ascii="Arial" w:cs="Arial" w:eastAsia="Arial" w:hAnsi="Arial"/>
                  <w:sz w:val="18"/>
                  <w:szCs w:val="18"/>
                  <w:color w:val="0000EE"/>
                </w:rPr>
                <w:t>8-K</w:t>
              </w:r>
            </w:hyperlink>
          </w:p>
        </w:tc>
        <w:tc>
          <w:tcPr>
            <w:tcW w:w="460" w:type="dxa"/>
            <w:vAlign w:val="bottom"/>
            <w:gridSpan w:val="2"/>
          </w:tcPr>
          <w:p>
            <w:pPr>
              <w:spacing w:after="0"/>
              <w:rPr>
                <w:rFonts w:ascii="Arial" w:cs="Arial" w:eastAsia="Arial" w:hAnsi="Arial"/>
                <w:sz w:val="18"/>
                <w:szCs w:val="18"/>
                <w:color w:val="0000EE"/>
              </w:rPr>
            </w:pPr>
            <w:hyperlink r:id="rId36">
              <w:r>
                <w:rPr>
                  <w:rFonts w:ascii="Arial" w:cs="Arial" w:eastAsia="Arial" w:hAnsi="Arial"/>
                  <w:sz w:val="18"/>
                  <w:szCs w:val="18"/>
                  <w:color w:val="0000EE"/>
                </w:rPr>
                <w:t>001-</w:t>
              </w:r>
            </w:hyperlink>
          </w:p>
        </w:tc>
        <w:tc>
          <w:tcPr>
            <w:tcW w:w="100" w:type="dxa"/>
            <w:vAlign w:val="bottom"/>
          </w:tcPr>
          <w:p>
            <w:pPr>
              <w:spacing w:after="0"/>
              <w:rPr>
                <w:sz w:val="24"/>
                <w:szCs w:val="24"/>
                <w:color w:val="auto"/>
              </w:rPr>
            </w:pPr>
          </w:p>
        </w:tc>
        <w:tc>
          <w:tcPr>
            <w:tcW w:w="680" w:type="dxa"/>
            <w:vAlign w:val="bottom"/>
            <w:gridSpan w:val="4"/>
          </w:tcPr>
          <w:p>
            <w:pPr>
              <w:ind w:left="100"/>
              <w:spacing w:after="0"/>
              <w:rPr>
                <w:rFonts w:ascii="Arial" w:cs="Arial" w:eastAsia="Arial" w:hAnsi="Arial"/>
                <w:sz w:val="18"/>
                <w:szCs w:val="18"/>
                <w:color w:val="0000EE"/>
              </w:rPr>
            </w:pPr>
            <w:hyperlink r:id="rId36">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EE"/>
              </w:rPr>
            </w:pPr>
            <w:hyperlink r:id="rId36">
              <w:r>
                <w:rPr>
                  <w:rFonts w:ascii="Arial" w:cs="Arial" w:eastAsia="Arial" w:hAnsi="Arial"/>
                  <w:sz w:val="18"/>
                  <w:szCs w:val="18"/>
                  <w:color w:val="0000EE"/>
                </w:rPr>
                <w:t>May 13, 2023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6">
              <w:r>
                <w:rPr>
                  <w:rFonts w:ascii="Arial" w:cs="Arial" w:eastAsia="Arial" w:hAnsi="Arial"/>
                  <w:sz w:val="18"/>
                  <w:szCs w:val="18"/>
                  <w:color w:val="0000EE"/>
                  <w:w w:val="91"/>
                </w:rPr>
                <w:t>and among MedTech Acquisition Corporation, MTAC Merger Sub, Inc., and TriSalus</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36">
              <w:r>
                <w:rPr>
                  <w:rFonts w:ascii="Arial" w:cs="Arial" w:eastAsia="Arial" w:hAnsi="Arial"/>
                  <w:sz w:val="18"/>
                  <w:szCs w:val="18"/>
                  <w:color w:val="0000EE"/>
                  <w:w w:val="87"/>
                </w:rPr>
                <w:t>39813</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36">
              <w:r>
                <w:rPr>
                  <w:rFonts w:ascii="Arial" w:cs="Arial" w:eastAsia="Arial" w:hAnsi="Arial"/>
                  <w:sz w:val="18"/>
                  <w:szCs w:val="18"/>
                  <w:color w:val="0000EE"/>
                  <w:w w:val="90"/>
                </w:rPr>
                <w:t>Life Sciences, Inc.</w:t>
              </w:r>
            </w:hyperlink>
          </w:p>
        </w:tc>
        <w:tc>
          <w:tcPr>
            <w:tcW w:w="506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37">
              <w:r>
                <w:rPr>
                  <w:rFonts w:ascii="Arial" w:cs="Arial" w:eastAsia="Arial" w:hAnsi="Arial"/>
                  <w:sz w:val="18"/>
                  <w:szCs w:val="18"/>
                  <w:color w:val="0000EE"/>
                  <w:w w:val="87"/>
                </w:rPr>
                <w:t>2.</w:t>
              </w:r>
              <w:r>
                <w:rPr>
                  <w:rFonts w:ascii="Arial" w:cs="Arial" w:eastAsia="Arial" w:hAnsi="Arial"/>
                  <w:sz w:val="18"/>
                  <w:szCs w:val="18"/>
                  <w:u w:val="single" w:color="auto"/>
                  <w:color w:val="0000EE"/>
                  <w:w w:val="87"/>
                </w:rPr>
                <w:t>4</w:t>
              </w:r>
            </w:hyperlink>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0" w:type="dxa"/>
            <w:vAlign w:val="bottom"/>
            <w:gridSpan w:val="15"/>
          </w:tcPr>
          <w:p>
            <w:pPr>
              <w:spacing w:after="0"/>
              <w:rPr>
                <w:rFonts w:ascii="Arial" w:cs="Arial" w:eastAsia="Arial" w:hAnsi="Arial"/>
                <w:sz w:val="18"/>
                <w:szCs w:val="18"/>
                <w:color w:val="0000EE"/>
                <w:w w:val="93"/>
              </w:rPr>
            </w:pPr>
            <w:hyperlink r:id="rId37">
              <w:r>
                <w:rPr>
                  <w:rFonts w:ascii="Arial" w:cs="Arial" w:eastAsia="Arial" w:hAnsi="Arial"/>
                  <w:sz w:val="18"/>
                  <w:szCs w:val="18"/>
                  <w:color w:val="0000EE"/>
                  <w:w w:val="93"/>
                </w:rPr>
                <w:t>Third Amendment to Agreement and Plan of Merger, dated as of July 5, 2023, by and</w:t>
              </w:r>
            </w:hyperlink>
          </w:p>
        </w:tc>
        <w:tc>
          <w:tcPr>
            <w:tcW w:w="960" w:type="dxa"/>
            <w:vAlign w:val="bottom"/>
            <w:gridSpan w:val="4"/>
          </w:tcPr>
          <w:p>
            <w:pPr>
              <w:ind w:left="120"/>
              <w:spacing w:after="0"/>
              <w:rPr>
                <w:rFonts w:ascii="Arial" w:cs="Arial" w:eastAsia="Arial" w:hAnsi="Arial"/>
                <w:sz w:val="18"/>
                <w:szCs w:val="18"/>
                <w:color w:val="0000EE"/>
              </w:rPr>
            </w:pPr>
            <w:hyperlink r:id="rId37">
              <w:r>
                <w:rPr>
                  <w:rFonts w:ascii="Arial" w:cs="Arial" w:eastAsia="Arial" w:hAnsi="Arial"/>
                  <w:sz w:val="18"/>
                  <w:szCs w:val="18"/>
                  <w:color w:val="0000EE"/>
                </w:rPr>
                <w:t>8-K</w:t>
              </w:r>
            </w:hyperlink>
          </w:p>
        </w:tc>
        <w:tc>
          <w:tcPr>
            <w:tcW w:w="460" w:type="dxa"/>
            <w:vAlign w:val="bottom"/>
            <w:gridSpan w:val="2"/>
          </w:tcPr>
          <w:p>
            <w:pPr>
              <w:spacing w:after="0"/>
              <w:rPr>
                <w:rFonts w:ascii="Arial" w:cs="Arial" w:eastAsia="Arial" w:hAnsi="Arial"/>
                <w:sz w:val="18"/>
                <w:szCs w:val="18"/>
                <w:color w:val="0000EE"/>
              </w:rPr>
            </w:pPr>
            <w:hyperlink r:id="rId37">
              <w:r>
                <w:rPr>
                  <w:rFonts w:ascii="Arial" w:cs="Arial" w:eastAsia="Arial" w:hAnsi="Arial"/>
                  <w:sz w:val="18"/>
                  <w:szCs w:val="18"/>
                  <w:color w:val="0000EE"/>
                </w:rPr>
                <w:t>001-</w:t>
              </w:r>
            </w:hyperlink>
          </w:p>
        </w:tc>
        <w:tc>
          <w:tcPr>
            <w:tcW w:w="100" w:type="dxa"/>
            <w:vAlign w:val="bottom"/>
          </w:tcPr>
          <w:p>
            <w:pPr>
              <w:spacing w:after="0"/>
              <w:rPr>
                <w:sz w:val="24"/>
                <w:szCs w:val="24"/>
                <w:color w:val="auto"/>
              </w:rPr>
            </w:pPr>
          </w:p>
        </w:tc>
        <w:tc>
          <w:tcPr>
            <w:tcW w:w="680" w:type="dxa"/>
            <w:vAlign w:val="bottom"/>
            <w:gridSpan w:val="4"/>
          </w:tcPr>
          <w:p>
            <w:pPr>
              <w:ind w:left="100"/>
              <w:spacing w:after="0"/>
              <w:rPr>
                <w:rFonts w:ascii="Arial" w:cs="Arial" w:eastAsia="Arial" w:hAnsi="Arial"/>
                <w:sz w:val="18"/>
                <w:szCs w:val="18"/>
                <w:color w:val="0000EE"/>
              </w:rPr>
            </w:pPr>
            <w:hyperlink r:id="rId3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EE"/>
              </w:rPr>
            </w:pPr>
            <w:hyperlink r:id="rId37">
              <w:r>
                <w:rPr>
                  <w:rFonts w:ascii="Arial" w:cs="Arial" w:eastAsia="Arial" w:hAnsi="Arial"/>
                  <w:sz w:val="18"/>
                  <w:szCs w:val="18"/>
                  <w:color w:val="0000EE"/>
                </w:rPr>
                <w:t>July 6, 2023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0" w:type="dxa"/>
            <w:vAlign w:val="bottom"/>
            <w:gridSpan w:val="15"/>
          </w:tcPr>
          <w:p>
            <w:pPr>
              <w:spacing w:after="0" w:line="196" w:lineRule="exact"/>
              <w:rPr>
                <w:rFonts w:ascii="Arial" w:cs="Arial" w:eastAsia="Arial" w:hAnsi="Arial"/>
                <w:sz w:val="18"/>
                <w:szCs w:val="18"/>
                <w:color w:val="0000EE"/>
                <w:w w:val="95"/>
              </w:rPr>
            </w:pPr>
            <w:hyperlink r:id="rId37">
              <w:r>
                <w:rPr>
                  <w:rFonts w:ascii="Arial" w:cs="Arial" w:eastAsia="Arial" w:hAnsi="Arial"/>
                  <w:sz w:val="18"/>
                  <w:szCs w:val="18"/>
                  <w:color w:val="0000EE"/>
                  <w:w w:val="95"/>
                </w:rPr>
                <w:t>among MedTech Acquisition Corporation, MTAC Merger Sub, Inc., and TriSalus Life</w:t>
              </w:r>
            </w:hyperlink>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39813</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37">
              <w:r>
                <w:rPr>
                  <w:rFonts w:ascii="Arial" w:cs="Arial" w:eastAsia="Arial" w:hAnsi="Arial"/>
                  <w:sz w:val="18"/>
                  <w:szCs w:val="18"/>
                  <w:color w:val="0000EE"/>
                  <w:w w:val="90"/>
                </w:rPr>
                <w:t>Sciences, Inc.</w:t>
              </w:r>
            </w:hyperlink>
          </w:p>
        </w:tc>
        <w:tc>
          <w:tcPr>
            <w:tcW w:w="5160" w:type="dxa"/>
            <w:vAlign w:val="bottom"/>
            <w:tcBorders>
              <w:top w:val="single" w:sz="8" w:color="0000EE"/>
            </w:tcBorders>
            <w:gridSpan w:val="12"/>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1"/>
              </w:rPr>
              <w:t>Second Amended and Restated Certificate of Incorporation of TriSalus Life</w:t>
            </w:r>
          </w:p>
        </w:tc>
        <w:tc>
          <w:tcPr>
            <w:tcW w:w="94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Sciences, Inc.</w:t>
            </w:r>
          </w:p>
        </w:tc>
        <w:tc>
          <w:tcPr>
            <w:tcW w:w="540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Amended and Restated Bylaws of TriSalus Life Sciences, Inc.</w:t>
            </w:r>
          </w:p>
        </w:tc>
        <w:tc>
          <w:tcPr>
            <w:tcW w:w="192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2"/>
        </w:trPr>
        <w:tc>
          <w:tcPr>
            <w:tcW w:w="240" w:type="dxa"/>
            <w:vAlign w:val="bottom"/>
          </w:tcPr>
          <w:p>
            <w:pPr>
              <w:spacing w:after="0"/>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0" w:type="dxa"/>
            <w:vAlign w:val="bottom"/>
            <w:gridSpan w:val="15"/>
          </w:tcPr>
          <w:p>
            <w:pPr>
              <w:spacing w:after="0"/>
              <w:rPr>
                <w:sz w:val="20"/>
                <w:szCs w:val="20"/>
                <w:color w:val="auto"/>
              </w:rPr>
            </w:pPr>
            <w:r>
              <w:rPr>
                <w:rFonts w:ascii="Arial" w:cs="Arial" w:eastAsia="Arial" w:hAnsi="Arial"/>
                <w:sz w:val="18"/>
                <w:szCs w:val="18"/>
                <w:color w:val="0000EE"/>
                <w:w w:val="94"/>
              </w:rPr>
              <w:t>Certificate of Designations, Preferences and Rights of Series A Convertible Preferred</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Stock of TriSalus Life Sciences, Inc.</w:t>
            </w:r>
          </w:p>
        </w:tc>
        <w:tc>
          <w:tcPr>
            <w:tcW w:w="3480" w:type="dxa"/>
            <w:vAlign w:val="bottom"/>
            <w:tcBorders>
              <w:top w:val="single" w:sz="8" w:color="0000EE"/>
            </w:tcBorders>
            <w:gridSpan w:val="7"/>
          </w:tcPr>
          <w:p>
            <w:pPr>
              <w:spacing w:after="0"/>
              <w:rPr>
                <w:sz w:val="17"/>
                <w:szCs w:val="17"/>
                <w:color w:val="auto"/>
              </w:rPr>
            </w:pPr>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240" w:type="dxa"/>
            <w:vAlign w:val="bottom"/>
          </w:tcPr>
          <w:p>
            <w:pPr>
              <w:spacing w:after="0"/>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0" w:type="dxa"/>
            <w:vAlign w:val="bottom"/>
            <w:gridSpan w:val="15"/>
          </w:tcPr>
          <w:p>
            <w:pPr>
              <w:spacing w:after="0"/>
              <w:rPr>
                <w:sz w:val="20"/>
                <w:szCs w:val="20"/>
                <w:color w:val="auto"/>
              </w:rPr>
            </w:pPr>
            <w:r>
              <w:rPr>
                <w:rFonts w:ascii="Arial" w:cs="Arial" w:eastAsia="Arial" w:hAnsi="Arial"/>
                <w:sz w:val="18"/>
                <w:szCs w:val="18"/>
                <w:color w:val="0000EE"/>
              </w:rPr>
              <w:t>Specimen Common Stock Certificate.</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2"/>
        </w:trPr>
        <w:tc>
          <w:tcPr>
            <w:tcW w:w="2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89"/>
              </w:rPr>
              <w:t>Specimen Warrant Certificate.</w:t>
            </w:r>
          </w:p>
        </w:tc>
        <w:tc>
          <w:tcPr>
            <w:tcW w:w="540" w:type="dxa"/>
            <w:vAlign w:val="bottom"/>
            <w:tcBorders>
              <w:top w:val="single" w:sz="8" w:color="0000EE"/>
            </w:tcBorders>
            <w:gridSpan w:val="3"/>
          </w:tcPr>
          <w:p>
            <w:pPr>
              <w:spacing w:after="0"/>
              <w:rPr>
                <w:sz w:val="24"/>
                <w:szCs w:val="24"/>
                <w:color w:val="auto"/>
              </w:rPr>
            </w:pPr>
          </w:p>
        </w:tc>
        <w:tc>
          <w:tcPr>
            <w:tcW w:w="368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3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60" w:type="dxa"/>
            <w:vAlign w:val="bottom"/>
            <w:gridSpan w:val="13"/>
          </w:tcPr>
          <w:p>
            <w:pPr>
              <w:spacing w:after="0"/>
              <w:rPr>
                <w:rFonts w:ascii="Arial" w:cs="Arial" w:eastAsia="Arial" w:hAnsi="Arial"/>
                <w:sz w:val="18"/>
                <w:szCs w:val="18"/>
                <w:color w:val="0000EE"/>
                <w:w w:val="89"/>
              </w:rPr>
            </w:pPr>
            <w:hyperlink r:id="rId38">
              <w:r>
                <w:rPr>
                  <w:rFonts w:ascii="Arial" w:cs="Arial" w:eastAsia="Arial" w:hAnsi="Arial"/>
                  <w:sz w:val="18"/>
                  <w:szCs w:val="18"/>
                  <w:color w:val="0000EE"/>
                  <w:w w:val="89"/>
                </w:rPr>
                <w:t>Warrant Agreement, dated December 17, 2020, by and between MedTech Acquisition</w:t>
              </w:r>
            </w:hyperlink>
          </w:p>
        </w:tc>
        <w:tc>
          <w:tcPr>
            <w:tcW w:w="240" w:type="dxa"/>
            <w:vAlign w:val="bottom"/>
            <w:gridSpan w:val="2"/>
          </w:tcPr>
          <w:p>
            <w:pPr>
              <w:spacing w:after="0"/>
              <w:rPr>
                <w:sz w:val="24"/>
                <w:szCs w:val="24"/>
                <w:color w:val="auto"/>
              </w:rPr>
            </w:pPr>
          </w:p>
        </w:tc>
        <w:tc>
          <w:tcPr>
            <w:tcW w:w="960" w:type="dxa"/>
            <w:vAlign w:val="bottom"/>
            <w:gridSpan w:val="4"/>
          </w:tcPr>
          <w:p>
            <w:pPr>
              <w:ind w:left="120"/>
              <w:spacing w:after="0"/>
              <w:rPr>
                <w:rFonts w:ascii="Arial" w:cs="Arial" w:eastAsia="Arial" w:hAnsi="Arial"/>
                <w:sz w:val="18"/>
                <w:szCs w:val="18"/>
                <w:color w:val="0000EE"/>
              </w:rPr>
            </w:pPr>
            <w:hyperlink r:id="rId38">
              <w:r>
                <w:rPr>
                  <w:rFonts w:ascii="Arial" w:cs="Arial" w:eastAsia="Arial" w:hAnsi="Arial"/>
                  <w:sz w:val="18"/>
                  <w:szCs w:val="18"/>
                  <w:color w:val="0000EE"/>
                </w:rPr>
                <w:t>8-K</w:t>
              </w:r>
            </w:hyperlink>
          </w:p>
        </w:tc>
        <w:tc>
          <w:tcPr>
            <w:tcW w:w="460" w:type="dxa"/>
            <w:vAlign w:val="bottom"/>
            <w:gridSpan w:val="2"/>
          </w:tcPr>
          <w:p>
            <w:pPr>
              <w:spacing w:after="0"/>
              <w:rPr>
                <w:rFonts w:ascii="Arial" w:cs="Arial" w:eastAsia="Arial" w:hAnsi="Arial"/>
                <w:sz w:val="18"/>
                <w:szCs w:val="18"/>
                <w:color w:val="0000EE"/>
              </w:rPr>
            </w:pPr>
            <w:hyperlink r:id="rId38">
              <w:r>
                <w:rPr>
                  <w:rFonts w:ascii="Arial" w:cs="Arial" w:eastAsia="Arial" w:hAnsi="Arial"/>
                  <w:sz w:val="18"/>
                  <w:szCs w:val="18"/>
                  <w:color w:val="0000EE"/>
                </w:rPr>
                <w:t>001-</w:t>
              </w:r>
            </w:hyperlink>
          </w:p>
        </w:tc>
        <w:tc>
          <w:tcPr>
            <w:tcW w:w="100" w:type="dxa"/>
            <w:vAlign w:val="bottom"/>
          </w:tcPr>
          <w:p>
            <w:pPr>
              <w:spacing w:after="0"/>
              <w:rPr>
                <w:sz w:val="24"/>
                <w:szCs w:val="24"/>
                <w:color w:val="auto"/>
              </w:rPr>
            </w:pPr>
          </w:p>
        </w:tc>
        <w:tc>
          <w:tcPr>
            <w:tcW w:w="420" w:type="dxa"/>
            <w:vAlign w:val="bottom"/>
            <w:gridSpan w:val="3"/>
          </w:tcPr>
          <w:p>
            <w:pPr>
              <w:ind w:left="100"/>
              <w:spacing w:after="0"/>
              <w:rPr>
                <w:rFonts w:ascii="Arial" w:cs="Arial" w:eastAsia="Arial" w:hAnsi="Arial"/>
                <w:sz w:val="18"/>
                <w:szCs w:val="18"/>
                <w:color w:val="0000EE"/>
              </w:rPr>
            </w:pPr>
            <w:hyperlink r:id="rId38">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EE"/>
              </w:rPr>
            </w:pPr>
            <w:hyperlink r:id="rId38">
              <w:r>
                <w:rPr>
                  <w:rFonts w:ascii="Arial" w:cs="Arial" w:eastAsia="Arial" w:hAnsi="Arial"/>
                  <w:sz w:val="18"/>
                  <w:szCs w:val="18"/>
                  <w:color w:val="0000EE"/>
                </w:rPr>
                <w:t>December 23,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158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Corporation and Continental Stock Transfer &amp; Trust Company.</w:t>
              </w:r>
            </w:hyperlink>
          </w:p>
        </w:tc>
        <w:tc>
          <w:tcPr>
            <w:tcW w:w="1580" w:type="dxa"/>
            <w:vAlign w:val="bottom"/>
            <w:gridSpan w:val="4"/>
          </w:tcPr>
          <w:p>
            <w:pPr>
              <w:spacing w:after="0"/>
              <w:rPr>
                <w:sz w:val="17"/>
                <w:szCs w:val="17"/>
                <w:color w:val="auto"/>
              </w:rPr>
            </w:pPr>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38">
              <w:r>
                <w:rPr>
                  <w:rFonts w:ascii="Arial" w:cs="Arial" w:eastAsia="Arial" w:hAnsi="Arial"/>
                  <w:sz w:val="18"/>
                  <w:szCs w:val="18"/>
                  <w:color w:val="0000EE"/>
                  <w:w w:val="87"/>
                </w:rPr>
                <w:t>39813</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38">
              <w:r>
                <w:rPr>
                  <w:rFonts w:ascii="Arial" w:cs="Arial" w:eastAsia="Arial" w:hAnsi="Arial"/>
                  <w:sz w:val="18"/>
                  <w:szCs w:val="18"/>
                  <w:color w:val="0000EE"/>
                  <w:w w:val="84"/>
                </w:rPr>
                <w:t>2020</w:t>
              </w:r>
            </w:hyperlink>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240" w:type="dxa"/>
            <w:vAlign w:val="bottom"/>
          </w:tcPr>
          <w:p>
            <w:pPr>
              <w:spacing w:after="0"/>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0" w:type="dxa"/>
            <w:vAlign w:val="bottom"/>
            <w:gridSpan w:val="15"/>
          </w:tcPr>
          <w:p>
            <w:pPr>
              <w:spacing w:after="0"/>
              <w:rPr>
                <w:sz w:val="20"/>
                <w:szCs w:val="20"/>
                <w:color w:val="auto"/>
              </w:rPr>
            </w:pPr>
            <w:r>
              <w:rPr>
                <w:rFonts w:ascii="Arial" w:cs="Arial" w:eastAsia="Arial" w:hAnsi="Arial"/>
                <w:sz w:val="18"/>
                <w:szCs w:val="18"/>
                <w:color w:val="0000EE"/>
              </w:rPr>
              <w:t>Description of Common Stock</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722"/>
        </w:trPr>
        <w:tc>
          <w:tcPr>
            <w:tcW w:w="24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13"/>
          </w:tcPr>
          <w:p>
            <w:pPr>
              <w:ind w:left="440"/>
              <w:spacing w:after="0"/>
              <w:rPr>
                <w:sz w:val="20"/>
                <w:szCs w:val="20"/>
                <w:color w:val="auto"/>
              </w:rPr>
            </w:pPr>
            <w:r>
              <w:rPr>
                <w:rFonts w:ascii="Arial" w:cs="Arial" w:eastAsia="Arial" w:hAnsi="Arial"/>
                <w:sz w:val="18"/>
                <w:szCs w:val="18"/>
                <w:b w:val="1"/>
                <w:bCs w:val="1"/>
                <w:color w:val="auto"/>
              </w:rPr>
              <w:t>Incorporated by Reference</w:t>
            </w:r>
          </w:p>
        </w:tc>
      </w:tr>
      <w:tr>
        <w:trPr>
          <w:trHeight w:val="191"/>
        </w:trPr>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6"/>
              </w:rPr>
              <w:t>Schedule/</w:t>
            </w:r>
          </w:p>
        </w:tc>
        <w:tc>
          <w:tcPr>
            <w:tcW w:w="560" w:type="dxa"/>
            <w:vAlign w:val="bottom"/>
            <w:gridSpan w:val="3"/>
          </w:tcPr>
          <w:p>
            <w:pPr>
              <w:ind w:left="140"/>
              <w:spacing w:after="0" w:line="191" w:lineRule="exact"/>
              <w:rPr>
                <w:sz w:val="20"/>
                <w:szCs w:val="20"/>
                <w:color w:val="auto"/>
              </w:rPr>
            </w:pPr>
            <w:r>
              <w:rPr>
                <w:rFonts w:ascii="Arial" w:cs="Arial" w:eastAsia="Arial" w:hAnsi="Arial"/>
                <w:sz w:val="18"/>
                <w:szCs w:val="18"/>
                <w:b w:val="1"/>
                <w:bCs w:val="1"/>
                <w:color w:val="auto"/>
              </w:rPr>
              <w:t>File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34"/>
        </w:trPr>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 No.</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gridSpan w:val="13"/>
          </w:tcPr>
          <w:p>
            <w:pPr>
              <w:ind w:left="174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840" w:type="dxa"/>
            <w:vAlign w:val="bottom"/>
            <w:gridSpan w:val="3"/>
          </w:tcPr>
          <w:p>
            <w:pPr>
              <w:ind w:left="180"/>
              <w:spacing w:after="0"/>
              <w:rPr>
                <w:sz w:val="20"/>
                <w:szCs w:val="20"/>
                <w:color w:val="auto"/>
              </w:rPr>
            </w:pPr>
            <w:r>
              <w:rPr>
                <w:rFonts w:ascii="Arial" w:cs="Arial" w:eastAsia="Arial" w:hAnsi="Arial"/>
                <w:sz w:val="18"/>
                <w:szCs w:val="18"/>
                <w:b w:val="1"/>
                <w:bCs w:val="1"/>
                <w:color w:val="auto"/>
              </w:rPr>
              <w:t>Form</w:t>
            </w:r>
          </w:p>
        </w:tc>
        <w:tc>
          <w:tcPr>
            <w:tcW w:w="560" w:type="dxa"/>
            <w:vAlign w:val="bottom"/>
            <w:gridSpan w:val="3"/>
          </w:tcPr>
          <w:p>
            <w:pPr>
              <w:ind w:left="160"/>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70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w:t>
            </w:r>
          </w:p>
        </w:tc>
        <w:tc>
          <w:tcPr>
            <w:tcW w:w="1320" w:type="dxa"/>
            <w:vAlign w:val="bottom"/>
            <w:gridSpan w:val="4"/>
          </w:tcPr>
          <w:p>
            <w:pPr>
              <w:ind w:left="240"/>
              <w:spacing w:after="0"/>
              <w:rPr>
                <w:sz w:val="20"/>
                <w:szCs w:val="20"/>
                <w:color w:val="auto"/>
              </w:rPr>
            </w:pPr>
            <w:r>
              <w:rPr>
                <w:rFonts w:ascii="Arial" w:cs="Arial" w:eastAsia="Arial" w:hAnsi="Arial"/>
                <w:sz w:val="18"/>
                <w:szCs w:val="18"/>
                <w:b w:val="1"/>
                <w:bCs w:val="1"/>
                <w:color w:val="auto"/>
              </w:rPr>
              <w:t>Filing Date</w:t>
            </w:r>
          </w:p>
        </w:tc>
      </w:tr>
      <w:tr>
        <w:trPr>
          <w:trHeight w:val="385"/>
        </w:trPr>
        <w:tc>
          <w:tcPr>
            <w:tcW w:w="100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p>
        </w:tc>
        <w:tc>
          <w:tcPr>
            <w:tcW w:w="200" w:type="dxa"/>
            <w:vAlign w:val="bottom"/>
          </w:tcPr>
          <w:p>
            <w:pPr>
              <w:spacing w:after="0"/>
              <w:rPr>
                <w:sz w:val="24"/>
                <w:szCs w:val="24"/>
                <w:color w:val="auto"/>
              </w:rPr>
            </w:pPr>
          </w:p>
        </w:tc>
        <w:tc>
          <w:tcPr>
            <w:tcW w:w="6400" w:type="dxa"/>
            <w:vAlign w:val="bottom"/>
            <w:tcBorders>
              <w:top w:val="single" w:sz="8" w:color="auto"/>
            </w:tcBorders>
            <w:gridSpan w:val="15"/>
          </w:tcPr>
          <w:p>
            <w:pPr>
              <w:spacing w:after="0"/>
              <w:rPr>
                <w:sz w:val="20"/>
                <w:szCs w:val="20"/>
                <w:color w:val="auto"/>
              </w:rPr>
            </w:pPr>
            <w:r>
              <w:rPr>
                <w:rFonts w:ascii="Arial" w:cs="Arial" w:eastAsia="Arial" w:hAnsi="Arial"/>
                <w:sz w:val="18"/>
                <w:szCs w:val="18"/>
                <w:color w:val="0000EE"/>
                <w:w w:val="91"/>
              </w:rPr>
              <w:t>Amended and Restated Registration Rights Agreement, dated August 10, 2023, by and</w:t>
            </w: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40" w:type="dxa"/>
            <w:vAlign w:val="bottom"/>
            <w:tcBorders>
              <w:top w:val="single" w:sz="8" w:color="0000EE"/>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1"/>
              </w:rPr>
              <w:t>among TriSalus Life Sciences, Inc., members of MedTech Acquisition Sponsor LLC,</w:t>
            </w:r>
          </w:p>
        </w:tc>
        <w:tc>
          <w:tcPr>
            <w:tcW w:w="100" w:type="dxa"/>
            <w:vAlign w:val="bottom"/>
            <w:tcBorders>
              <w:top w:val="single" w:sz="8" w:color="0000EE"/>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0" w:type="dxa"/>
            <w:vAlign w:val="bottom"/>
            <w:gridSpan w:val="15"/>
          </w:tcPr>
          <w:p>
            <w:pPr>
              <w:spacing w:after="0" w:line="196" w:lineRule="exact"/>
              <w:rPr>
                <w:sz w:val="20"/>
                <w:szCs w:val="20"/>
                <w:color w:val="auto"/>
              </w:rPr>
            </w:pPr>
            <w:r>
              <w:rPr>
                <w:rFonts w:ascii="Arial" w:cs="Arial" w:eastAsia="Arial" w:hAnsi="Arial"/>
                <w:sz w:val="18"/>
                <w:szCs w:val="18"/>
                <w:color w:val="0000EE"/>
              </w:rPr>
              <w:t>and certain former stockholders of TriSalus Life Sciences, Inc.</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12"/>
        </w:trPr>
        <w:tc>
          <w:tcPr>
            <w:tcW w:w="1000" w:type="dxa"/>
            <w:vAlign w:val="bottom"/>
            <w:gridSpan w:val="2"/>
          </w:tcPr>
          <w:p>
            <w:pPr>
              <w:jc w:val="right"/>
              <w:ind w:right="680"/>
              <w:spacing w:after="0"/>
              <w:rPr>
                <w:rFonts w:ascii="Arial" w:cs="Arial" w:eastAsia="Arial" w:hAnsi="Arial"/>
                <w:sz w:val="18"/>
                <w:szCs w:val="18"/>
                <w:color w:val="0000EE"/>
                <w:w w:val="85"/>
              </w:rPr>
            </w:pPr>
            <w:hyperlink r:id="rId3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200" w:type="dxa"/>
            <w:vAlign w:val="bottom"/>
          </w:tcPr>
          <w:p>
            <w:pPr>
              <w:spacing w:after="0"/>
              <w:rPr>
                <w:sz w:val="24"/>
                <w:szCs w:val="24"/>
                <w:color w:val="auto"/>
              </w:rPr>
            </w:pPr>
          </w:p>
        </w:tc>
        <w:tc>
          <w:tcPr>
            <w:tcW w:w="4500" w:type="dxa"/>
            <w:vAlign w:val="bottom"/>
            <w:tcBorders>
              <w:top w:val="single" w:sz="8" w:color="0000EE"/>
            </w:tcBorders>
            <w:gridSpan w:val="5"/>
          </w:tcPr>
          <w:p>
            <w:pPr>
              <w:spacing w:after="0"/>
              <w:rPr>
                <w:rFonts w:ascii="Arial" w:cs="Arial" w:eastAsia="Arial" w:hAnsi="Arial"/>
                <w:sz w:val="18"/>
                <w:szCs w:val="18"/>
                <w:color w:val="0000EE"/>
                <w:w w:val="93"/>
              </w:rPr>
            </w:pPr>
            <w:hyperlink r:id="rId39">
              <w:r>
                <w:rPr>
                  <w:rFonts w:ascii="Arial" w:cs="Arial" w:eastAsia="Arial" w:hAnsi="Arial"/>
                  <w:sz w:val="18"/>
                  <w:szCs w:val="18"/>
                  <w:color w:val="0000EE"/>
                  <w:w w:val="93"/>
                </w:rPr>
                <w:t>Form of Subscription Agreement for PIPE Financing (Initial).</w:t>
              </w:r>
            </w:hyperlink>
          </w:p>
        </w:tc>
        <w:tc>
          <w:tcPr>
            <w:tcW w:w="1900" w:type="dxa"/>
            <w:vAlign w:val="bottom"/>
            <w:gridSpan w:val="10"/>
          </w:tcPr>
          <w:p>
            <w:pPr>
              <w:spacing w:after="0"/>
              <w:rPr>
                <w:sz w:val="24"/>
                <w:szCs w:val="24"/>
                <w:color w:val="auto"/>
              </w:rPr>
            </w:pPr>
          </w:p>
        </w:tc>
        <w:tc>
          <w:tcPr>
            <w:tcW w:w="960" w:type="dxa"/>
            <w:vAlign w:val="bottom"/>
            <w:gridSpan w:val="4"/>
          </w:tcPr>
          <w:p>
            <w:pPr>
              <w:ind w:left="120"/>
              <w:spacing w:after="0"/>
              <w:rPr>
                <w:rFonts w:ascii="Arial" w:cs="Arial" w:eastAsia="Arial" w:hAnsi="Arial"/>
                <w:sz w:val="18"/>
                <w:szCs w:val="18"/>
                <w:color w:val="0000EE"/>
              </w:rPr>
            </w:pPr>
            <w:hyperlink r:id="rId39">
              <w:r>
                <w:rPr>
                  <w:rFonts w:ascii="Arial" w:cs="Arial" w:eastAsia="Arial" w:hAnsi="Arial"/>
                  <w:sz w:val="18"/>
                  <w:szCs w:val="18"/>
                  <w:color w:val="0000EE"/>
                </w:rPr>
                <w:t>8-K</w:t>
              </w:r>
            </w:hyperlink>
          </w:p>
        </w:tc>
        <w:tc>
          <w:tcPr>
            <w:tcW w:w="460" w:type="dxa"/>
            <w:vAlign w:val="bottom"/>
            <w:gridSpan w:val="2"/>
          </w:tcPr>
          <w:p>
            <w:pPr>
              <w:spacing w:after="0"/>
              <w:rPr>
                <w:rFonts w:ascii="Arial" w:cs="Arial" w:eastAsia="Arial" w:hAnsi="Arial"/>
                <w:sz w:val="18"/>
                <w:szCs w:val="18"/>
                <w:color w:val="0000EE"/>
              </w:rPr>
            </w:pPr>
            <w:hyperlink r:id="rId39">
              <w:r>
                <w:rPr>
                  <w:rFonts w:ascii="Arial" w:cs="Arial" w:eastAsia="Arial" w:hAnsi="Arial"/>
                  <w:sz w:val="18"/>
                  <w:szCs w:val="18"/>
                  <w:color w:val="0000EE"/>
                </w:rPr>
                <w:t>001-</w:t>
              </w:r>
            </w:hyperlink>
          </w:p>
        </w:tc>
        <w:tc>
          <w:tcPr>
            <w:tcW w:w="100" w:type="dxa"/>
            <w:vAlign w:val="bottom"/>
          </w:tcPr>
          <w:p>
            <w:pPr>
              <w:spacing w:after="0"/>
              <w:rPr>
                <w:sz w:val="24"/>
                <w:szCs w:val="24"/>
                <w:color w:val="auto"/>
              </w:rPr>
            </w:pPr>
          </w:p>
        </w:tc>
        <w:tc>
          <w:tcPr>
            <w:tcW w:w="680" w:type="dxa"/>
            <w:vAlign w:val="bottom"/>
            <w:gridSpan w:val="3"/>
          </w:tcPr>
          <w:p>
            <w:pPr>
              <w:ind w:left="100"/>
              <w:spacing w:after="0"/>
              <w:rPr>
                <w:rFonts w:ascii="Arial" w:cs="Arial" w:eastAsia="Arial" w:hAnsi="Arial"/>
                <w:sz w:val="18"/>
                <w:szCs w:val="18"/>
                <w:color w:val="0000EE"/>
              </w:rPr>
            </w:pPr>
            <w:hyperlink r:id="rId39">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EE"/>
              </w:rPr>
            </w:pPr>
            <w:hyperlink r:id="rId39">
              <w:r>
                <w:rPr>
                  <w:rFonts w:ascii="Arial" w:cs="Arial" w:eastAsia="Arial" w:hAnsi="Arial"/>
                  <w:sz w:val="18"/>
                  <w:szCs w:val="18"/>
                  <w:color w:val="0000EE"/>
                </w:rPr>
                <w:t>June 8, 2023</w:t>
              </w:r>
            </w:hyperlink>
          </w:p>
        </w:tc>
      </w:tr>
      <w:tr>
        <w:trPr>
          <w:trHeight w:val="20"/>
        </w:trPr>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39813</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12"/>
        </w:trPr>
        <w:tc>
          <w:tcPr>
            <w:tcW w:w="1000" w:type="dxa"/>
            <w:vAlign w:val="bottom"/>
            <w:gridSpan w:val="2"/>
          </w:tcPr>
          <w:p>
            <w:pPr>
              <w:jc w:val="right"/>
              <w:ind w:right="680"/>
              <w:spacing w:after="0"/>
              <w:rPr>
                <w:rFonts w:ascii="Arial" w:cs="Arial" w:eastAsia="Arial" w:hAnsi="Arial"/>
                <w:sz w:val="18"/>
                <w:szCs w:val="18"/>
                <w:color w:val="0000EE"/>
                <w:w w:val="85"/>
              </w:rPr>
            </w:pPr>
            <w:hyperlink r:id="rId4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200" w:type="dxa"/>
            <w:vAlign w:val="bottom"/>
          </w:tcPr>
          <w:p>
            <w:pPr>
              <w:spacing w:after="0"/>
              <w:rPr>
                <w:sz w:val="24"/>
                <w:szCs w:val="24"/>
                <w:color w:val="auto"/>
              </w:rPr>
            </w:pPr>
          </w:p>
        </w:tc>
        <w:tc>
          <w:tcPr>
            <w:tcW w:w="6400" w:type="dxa"/>
            <w:vAlign w:val="bottom"/>
            <w:gridSpan w:val="15"/>
          </w:tcPr>
          <w:p>
            <w:pPr>
              <w:spacing w:after="0"/>
              <w:rPr>
                <w:rFonts w:ascii="Arial" w:cs="Arial" w:eastAsia="Arial" w:hAnsi="Arial"/>
                <w:sz w:val="18"/>
                <w:szCs w:val="18"/>
                <w:color w:val="0000EE"/>
              </w:rPr>
            </w:pPr>
            <w:hyperlink r:id="rId40">
              <w:r>
                <w:rPr>
                  <w:rFonts w:ascii="Arial" w:cs="Arial" w:eastAsia="Arial" w:hAnsi="Arial"/>
                  <w:sz w:val="18"/>
                  <w:szCs w:val="18"/>
                  <w:color w:val="0000EE"/>
                </w:rPr>
                <w:t>Form of Subscription Agreement for PIPE Financing (Subsequent).</w:t>
              </w:r>
            </w:hyperlink>
          </w:p>
        </w:tc>
        <w:tc>
          <w:tcPr>
            <w:tcW w:w="960" w:type="dxa"/>
            <w:vAlign w:val="bottom"/>
            <w:gridSpan w:val="4"/>
          </w:tcPr>
          <w:p>
            <w:pPr>
              <w:ind w:left="120"/>
              <w:spacing w:after="0"/>
              <w:rPr>
                <w:rFonts w:ascii="Arial" w:cs="Arial" w:eastAsia="Arial" w:hAnsi="Arial"/>
                <w:sz w:val="18"/>
                <w:szCs w:val="18"/>
                <w:color w:val="0000EE"/>
              </w:rPr>
            </w:pPr>
            <w:hyperlink r:id="rId40">
              <w:r>
                <w:rPr>
                  <w:rFonts w:ascii="Arial" w:cs="Arial" w:eastAsia="Arial" w:hAnsi="Arial"/>
                  <w:sz w:val="18"/>
                  <w:szCs w:val="18"/>
                  <w:color w:val="0000EE"/>
                </w:rPr>
                <w:t>8-K</w:t>
              </w:r>
            </w:hyperlink>
          </w:p>
        </w:tc>
        <w:tc>
          <w:tcPr>
            <w:tcW w:w="460" w:type="dxa"/>
            <w:vAlign w:val="bottom"/>
            <w:tcBorders>
              <w:top w:val="single" w:sz="8" w:color="0000EE"/>
            </w:tcBorders>
            <w:gridSpan w:val="2"/>
          </w:tcPr>
          <w:p>
            <w:pPr>
              <w:spacing w:after="0"/>
              <w:rPr>
                <w:rFonts w:ascii="Arial" w:cs="Arial" w:eastAsia="Arial" w:hAnsi="Arial"/>
                <w:sz w:val="18"/>
                <w:szCs w:val="18"/>
                <w:color w:val="0000EE"/>
              </w:rPr>
            </w:pPr>
            <w:hyperlink r:id="rId40">
              <w:r>
                <w:rPr>
                  <w:rFonts w:ascii="Arial" w:cs="Arial" w:eastAsia="Arial" w:hAnsi="Arial"/>
                  <w:sz w:val="18"/>
                  <w:szCs w:val="18"/>
                  <w:color w:val="0000EE"/>
                </w:rPr>
                <w:t>001-</w:t>
              </w:r>
            </w:hyperlink>
          </w:p>
        </w:tc>
        <w:tc>
          <w:tcPr>
            <w:tcW w:w="100" w:type="dxa"/>
            <w:vAlign w:val="bottom"/>
          </w:tcPr>
          <w:p>
            <w:pPr>
              <w:spacing w:after="0"/>
              <w:rPr>
                <w:sz w:val="24"/>
                <w:szCs w:val="24"/>
                <w:color w:val="auto"/>
              </w:rPr>
            </w:pPr>
          </w:p>
        </w:tc>
        <w:tc>
          <w:tcPr>
            <w:tcW w:w="680" w:type="dxa"/>
            <w:vAlign w:val="bottom"/>
            <w:gridSpan w:val="3"/>
          </w:tcPr>
          <w:p>
            <w:pPr>
              <w:ind w:left="100"/>
              <w:spacing w:after="0"/>
              <w:rPr>
                <w:rFonts w:ascii="Arial" w:cs="Arial" w:eastAsia="Arial" w:hAnsi="Arial"/>
                <w:sz w:val="18"/>
                <w:szCs w:val="18"/>
                <w:color w:val="0000EE"/>
              </w:rPr>
            </w:pPr>
            <w:hyperlink r:id="rId40">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20" w:type="dxa"/>
            <w:vAlign w:val="bottom"/>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EE"/>
              </w:rPr>
            </w:pPr>
            <w:hyperlink r:id="rId40">
              <w:r>
                <w:rPr>
                  <w:rFonts w:ascii="Arial" w:cs="Arial" w:eastAsia="Arial" w:hAnsi="Arial"/>
                  <w:sz w:val="18"/>
                  <w:szCs w:val="18"/>
                  <w:color w:val="0000EE"/>
                </w:rPr>
                <w:t>July 6, 2023</w:t>
              </w:r>
            </w:hyperlink>
          </w:p>
        </w:tc>
      </w:tr>
      <w:tr>
        <w:trPr>
          <w:trHeight w:val="20"/>
        </w:trPr>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39813</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12"/>
        </w:trPr>
        <w:tc>
          <w:tcPr>
            <w:tcW w:w="1000" w:type="dxa"/>
            <w:vAlign w:val="bottom"/>
            <w:gridSpan w:val="2"/>
          </w:tcPr>
          <w:p>
            <w:pPr>
              <w:jc w:val="right"/>
              <w:ind w:right="680"/>
              <w:spacing w:after="0"/>
              <w:rPr>
                <w:rFonts w:ascii="Arial" w:cs="Arial" w:eastAsia="Arial" w:hAnsi="Arial"/>
                <w:sz w:val="18"/>
                <w:szCs w:val="18"/>
                <w:color w:val="0000EE"/>
                <w:w w:val="85"/>
              </w:rPr>
            </w:pPr>
            <w:hyperlink r:id="rId4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200" w:type="dxa"/>
            <w:vAlign w:val="bottom"/>
          </w:tcPr>
          <w:p>
            <w:pPr>
              <w:spacing w:after="0"/>
              <w:rPr>
                <w:sz w:val="24"/>
                <w:szCs w:val="24"/>
                <w:color w:val="auto"/>
              </w:rPr>
            </w:pPr>
          </w:p>
        </w:tc>
        <w:tc>
          <w:tcPr>
            <w:tcW w:w="6400" w:type="dxa"/>
            <w:vAlign w:val="bottom"/>
            <w:gridSpan w:val="15"/>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Sponsor Support Agreement, dated as of November 11, 2022, by and among MedTech</w:t>
              </w:r>
            </w:hyperlink>
          </w:p>
        </w:tc>
        <w:tc>
          <w:tcPr>
            <w:tcW w:w="960" w:type="dxa"/>
            <w:vAlign w:val="bottom"/>
            <w:gridSpan w:val="4"/>
          </w:tcPr>
          <w:p>
            <w:pPr>
              <w:ind w:left="120"/>
              <w:spacing w:after="0"/>
              <w:rPr>
                <w:rFonts w:ascii="Arial" w:cs="Arial" w:eastAsia="Arial" w:hAnsi="Arial"/>
                <w:sz w:val="18"/>
                <w:szCs w:val="18"/>
                <w:color w:val="0000EE"/>
              </w:rPr>
            </w:pPr>
            <w:hyperlink r:id="rId41">
              <w:r>
                <w:rPr>
                  <w:rFonts w:ascii="Arial" w:cs="Arial" w:eastAsia="Arial" w:hAnsi="Arial"/>
                  <w:sz w:val="18"/>
                  <w:szCs w:val="18"/>
                  <w:color w:val="0000EE"/>
                </w:rPr>
                <w:t>8-K</w:t>
              </w:r>
            </w:hyperlink>
          </w:p>
        </w:tc>
        <w:tc>
          <w:tcPr>
            <w:tcW w:w="460" w:type="dxa"/>
            <w:vAlign w:val="bottom"/>
            <w:tcBorders>
              <w:top w:val="single" w:sz="8" w:color="0000EE"/>
            </w:tcBorders>
            <w:gridSpan w:val="2"/>
          </w:tcPr>
          <w:p>
            <w:pPr>
              <w:spacing w:after="0"/>
              <w:rPr>
                <w:rFonts w:ascii="Arial" w:cs="Arial" w:eastAsia="Arial" w:hAnsi="Arial"/>
                <w:sz w:val="18"/>
                <w:szCs w:val="18"/>
                <w:color w:val="0000EE"/>
              </w:rPr>
            </w:pPr>
            <w:hyperlink r:id="rId41">
              <w:r>
                <w:rPr>
                  <w:rFonts w:ascii="Arial" w:cs="Arial" w:eastAsia="Arial" w:hAnsi="Arial"/>
                  <w:sz w:val="18"/>
                  <w:szCs w:val="18"/>
                  <w:color w:val="0000EE"/>
                </w:rPr>
                <w:t>001-</w:t>
              </w:r>
            </w:hyperlink>
          </w:p>
        </w:tc>
        <w:tc>
          <w:tcPr>
            <w:tcW w:w="100" w:type="dxa"/>
            <w:vAlign w:val="bottom"/>
          </w:tcPr>
          <w:p>
            <w:pPr>
              <w:spacing w:after="0"/>
              <w:rPr>
                <w:sz w:val="24"/>
                <w:szCs w:val="24"/>
                <w:color w:val="auto"/>
              </w:rPr>
            </w:pPr>
          </w:p>
        </w:tc>
        <w:tc>
          <w:tcPr>
            <w:tcW w:w="680" w:type="dxa"/>
            <w:vAlign w:val="bottom"/>
            <w:gridSpan w:val="3"/>
          </w:tcPr>
          <w:p>
            <w:pPr>
              <w:ind w:left="100"/>
              <w:spacing w:after="0"/>
              <w:rPr>
                <w:rFonts w:ascii="Arial" w:cs="Arial" w:eastAsia="Arial" w:hAnsi="Arial"/>
                <w:sz w:val="18"/>
                <w:szCs w:val="18"/>
                <w:color w:val="0000EE"/>
              </w:rPr>
            </w:pPr>
            <w:hyperlink r:id="rId41">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20" w:type="dxa"/>
            <w:vAlign w:val="bottom"/>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EE"/>
              </w:rPr>
            </w:pPr>
            <w:hyperlink r:id="rId41">
              <w:r>
                <w:rPr>
                  <w:rFonts w:ascii="Arial" w:cs="Arial" w:eastAsia="Arial" w:hAnsi="Arial"/>
                  <w:sz w:val="18"/>
                  <w:szCs w:val="18"/>
                  <w:color w:val="0000EE"/>
                </w:rPr>
                <w:t>November 14,</w:t>
              </w:r>
            </w:hyperlink>
          </w:p>
        </w:tc>
      </w:tr>
      <w:tr>
        <w:trPr>
          <w:trHeight w:val="196"/>
        </w:trPr>
        <w:tc>
          <w:tcPr>
            <w:tcW w:w="3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20" w:type="dxa"/>
            <w:vAlign w:val="bottom"/>
            <w:tcBorders>
              <w:top w:val="single" w:sz="8" w:color="0000EE"/>
            </w:tcBorders>
            <w:gridSpan w:val="13"/>
          </w:tcPr>
          <w:p>
            <w:pPr>
              <w:spacing w:after="0" w:line="196" w:lineRule="exact"/>
              <w:rPr>
                <w:rFonts w:ascii="Arial" w:cs="Arial" w:eastAsia="Arial" w:hAnsi="Arial"/>
                <w:sz w:val="18"/>
                <w:szCs w:val="18"/>
                <w:color w:val="0000EE"/>
                <w:w w:val="99"/>
              </w:rPr>
            </w:pPr>
            <w:hyperlink r:id="rId41">
              <w:r>
                <w:rPr>
                  <w:rFonts w:ascii="Arial" w:cs="Arial" w:eastAsia="Arial" w:hAnsi="Arial"/>
                  <w:sz w:val="18"/>
                  <w:szCs w:val="18"/>
                  <w:color w:val="0000EE"/>
                  <w:w w:val="99"/>
                </w:rPr>
                <w:t>Acquisition Corporation, TriSalus Life Sciences, Inc., and MedTech Acquisition</w:t>
              </w:r>
            </w:hyperlink>
          </w:p>
        </w:tc>
        <w:tc>
          <w:tcPr>
            <w:tcW w:w="1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39813</w:t>
              </w:r>
            </w:hyperlink>
          </w:p>
        </w:tc>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4"/>
              </w:rPr>
            </w:pPr>
            <w:hyperlink r:id="rId41">
              <w:r>
                <w:rPr>
                  <w:rFonts w:ascii="Arial" w:cs="Arial" w:eastAsia="Arial" w:hAnsi="Arial"/>
                  <w:sz w:val="18"/>
                  <w:szCs w:val="18"/>
                  <w:color w:val="0000EE"/>
                  <w:w w:val="84"/>
                </w:rPr>
                <w:t>2022</w:t>
              </w:r>
            </w:hyperlink>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Sponsor LLC.</w:t>
              </w:r>
            </w:hyperlink>
          </w:p>
        </w:tc>
        <w:tc>
          <w:tcPr>
            <w:tcW w:w="4760" w:type="dxa"/>
            <w:vAlign w:val="bottom"/>
            <w:tcBorders>
              <w:top w:val="single" w:sz="8" w:color="0000EE"/>
            </w:tcBorders>
            <w:gridSpan w:val="6"/>
          </w:tcPr>
          <w:p>
            <w:pPr>
              <w:spacing w:after="0"/>
              <w:rPr>
                <w:sz w:val="17"/>
                <w:szCs w:val="17"/>
                <w:color w:val="auto"/>
              </w:rPr>
            </w:pPr>
          </w:p>
        </w:tc>
        <w:tc>
          <w:tcPr>
            <w:tcW w:w="62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12"/>
        </w:trPr>
        <w:tc>
          <w:tcPr>
            <w:tcW w:w="1000" w:type="dxa"/>
            <w:vAlign w:val="bottom"/>
            <w:gridSpan w:val="2"/>
          </w:tcPr>
          <w:p>
            <w:pPr>
              <w:jc w:val="right"/>
              <w:ind w:right="680"/>
              <w:spacing w:after="0"/>
              <w:rPr>
                <w:rFonts w:ascii="Arial" w:cs="Arial" w:eastAsia="Arial" w:hAnsi="Arial"/>
                <w:sz w:val="18"/>
                <w:szCs w:val="18"/>
                <w:color w:val="0000EE"/>
                <w:w w:val="85"/>
              </w:rPr>
            </w:pPr>
            <w:hyperlink r:id="rId4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200" w:type="dxa"/>
            <w:vAlign w:val="bottom"/>
          </w:tcPr>
          <w:p>
            <w:pPr>
              <w:spacing w:after="0"/>
              <w:rPr>
                <w:sz w:val="24"/>
                <w:szCs w:val="24"/>
                <w:color w:val="auto"/>
              </w:rPr>
            </w:pPr>
          </w:p>
        </w:tc>
        <w:tc>
          <w:tcPr>
            <w:tcW w:w="6400" w:type="dxa"/>
            <w:vAlign w:val="bottom"/>
            <w:gridSpan w:val="15"/>
          </w:tcPr>
          <w:p>
            <w:pPr>
              <w:spacing w:after="0"/>
              <w:rPr>
                <w:rFonts w:ascii="Arial" w:cs="Arial" w:eastAsia="Arial" w:hAnsi="Arial"/>
                <w:sz w:val="18"/>
                <w:szCs w:val="18"/>
                <w:color w:val="0000EE"/>
              </w:rPr>
            </w:pPr>
            <w:hyperlink r:id="rId42">
              <w:r>
                <w:rPr>
                  <w:rFonts w:ascii="Arial" w:cs="Arial" w:eastAsia="Arial" w:hAnsi="Arial"/>
                  <w:sz w:val="18"/>
                  <w:szCs w:val="18"/>
                  <w:color w:val="0000EE"/>
                </w:rPr>
                <w:t>Form of Stockholder Support Agreement, by and among MedTech Acquisition</w:t>
              </w:r>
            </w:hyperlink>
          </w:p>
        </w:tc>
        <w:tc>
          <w:tcPr>
            <w:tcW w:w="960" w:type="dxa"/>
            <w:vAlign w:val="bottom"/>
            <w:gridSpan w:val="4"/>
          </w:tcPr>
          <w:p>
            <w:pPr>
              <w:ind w:left="120"/>
              <w:spacing w:after="0"/>
              <w:rPr>
                <w:rFonts w:ascii="Arial" w:cs="Arial" w:eastAsia="Arial" w:hAnsi="Arial"/>
                <w:sz w:val="18"/>
                <w:szCs w:val="18"/>
                <w:color w:val="0000EE"/>
              </w:rPr>
            </w:pPr>
            <w:hyperlink r:id="rId42">
              <w:r>
                <w:rPr>
                  <w:rFonts w:ascii="Arial" w:cs="Arial" w:eastAsia="Arial" w:hAnsi="Arial"/>
                  <w:sz w:val="18"/>
                  <w:szCs w:val="18"/>
                  <w:color w:val="0000EE"/>
                </w:rPr>
                <w:t>8-K</w:t>
              </w:r>
            </w:hyperlink>
          </w:p>
        </w:tc>
        <w:tc>
          <w:tcPr>
            <w:tcW w:w="460" w:type="dxa"/>
            <w:vAlign w:val="bottom"/>
            <w:gridSpan w:val="2"/>
          </w:tcPr>
          <w:p>
            <w:pPr>
              <w:spacing w:after="0"/>
              <w:rPr>
                <w:rFonts w:ascii="Arial" w:cs="Arial" w:eastAsia="Arial" w:hAnsi="Arial"/>
                <w:sz w:val="18"/>
                <w:szCs w:val="18"/>
                <w:color w:val="0000EE"/>
              </w:rPr>
            </w:pPr>
            <w:hyperlink r:id="rId42">
              <w:r>
                <w:rPr>
                  <w:rFonts w:ascii="Arial" w:cs="Arial" w:eastAsia="Arial" w:hAnsi="Arial"/>
                  <w:sz w:val="18"/>
                  <w:szCs w:val="18"/>
                  <w:color w:val="0000EE"/>
                </w:rPr>
                <w:t>001-</w:t>
              </w:r>
            </w:hyperlink>
          </w:p>
        </w:tc>
        <w:tc>
          <w:tcPr>
            <w:tcW w:w="100" w:type="dxa"/>
            <w:vAlign w:val="bottom"/>
          </w:tcPr>
          <w:p>
            <w:pPr>
              <w:spacing w:after="0"/>
              <w:rPr>
                <w:sz w:val="24"/>
                <w:szCs w:val="24"/>
                <w:color w:val="auto"/>
              </w:rPr>
            </w:pPr>
          </w:p>
        </w:tc>
        <w:tc>
          <w:tcPr>
            <w:tcW w:w="680" w:type="dxa"/>
            <w:vAlign w:val="bottom"/>
            <w:gridSpan w:val="3"/>
          </w:tcPr>
          <w:p>
            <w:pPr>
              <w:ind w:left="100"/>
              <w:spacing w:after="0"/>
              <w:rPr>
                <w:rFonts w:ascii="Arial" w:cs="Arial" w:eastAsia="Arial" w:hAnsi="Arial"/>
                <w:sz w:val="18"/>
                <w:szCs w:val="18"/>
                <w:color w:val="0000EE"/>
              </w:rPr>
            </w:pPr>
            <w:hyperlink r:id="rId42">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20" w:type="dxa"/>
            <w:vAlign w:val="bottom"/>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EE"/>
              </w:rPr>
            </w:pPr>
            <w:hyperlink r:id="rId42">
              <w:r>
                <w:rPr>
                  <w:rFonts w:ascii="Arial" w:cs="Arial" w:eastAsia="Arial" w:hAnsi="Arial"/>
                  <w:sz w:val="18"/>
                  <w:szCs w:val="18"/>
                  <w:color w:val="0000EE"/>
                </w:rPr>
                <w:t>November 14,</w:t>
              </w:r>
            </w:hyperlink>
          </w:p>
        </w:tc>
      </w:tr>
      <w:tr>
        <w:trPr>
          <w:trHeight w:val="20"/>
        </w:trPr>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Corporation, TriSalus Life Sciences, Inc. and certain stockholders of TriSalus Life</w:t>
              </w:r>
            </w:hyperlink>
          </w:p>
        </w:tc>
        <w:tc>
          <w:tcPr>
            <w:tcW w:w="46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42">
              <w:r>
                <w:rPr>
                  <w:rFonts w:ascii="Arial" w:cs="Arial" w:eastAsia="Arial" w:hAnsi="Arial"/>
                  <w:sz w:val="18"/>
                  <w:szCs w:val="18"/>
                  <w:color w:val="0000EE"/>
                  <w:w w:val="87"/>
                </w:rPr>
                <w:t>39813</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42">
              <w:r>
                <w:rPr>
                  <w:rFonts w:ascii="Arial" w:cs="Arial" w:eastAsia="Arial" w:hAnsi="Arial"/>
                  <w:sz w:val="18"/>
                  <w:szCs w:val="18"/>
                  <w:color w:val="0000EE"/>
                  <w:w w:val="84"/>
                </w:rPr>
                <w:t>2022</w:t>
              </w:r>
            </w:hyperlink>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42">
              <w:r>
                <w:rPr>
                  <w:rFonts w:ascii="Arial" w:cs="Arial" w:eastAsia="Arial" w:hAnsi="Arial"/>
                  <w:sz w:val="18"/>
                  <w:szCs w:val="18"/>
                  <w:color w:val="0000EE"/>
                  <w:w w:val="87"/>
                </w:rPr>
                <w:t>Sciences, Inc.</w:t>
              </w:r>
            </w:hyperlink>
          </w:p>
        </w:tc>
        <w:tc>
          <w:tcPr>
            <w:tcW w:w="540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12"/>
        </w:trPr>
        <w:tc>
          <w:tcPr>
            <w:tcW w:w="1000" w:type="dxa"/>
            <w:vAlign w:val="bottom"/>
            <w:gridSpan w:val="2"/>
          </w:tcPr>
          <w:p>
            <w:pPr>
              <w:jc w:val="right"/>
              <w:ind w:right="680"/>
              <w:spacing w:after="0"/>
              <w:rPr>
                <w:rFonts w:ascii="Arial" w:cs="Arial" w:eastAsia="Arial" w:hAnsi="Arial"/>
                <w:sz w:val="18"/>
                <w:szCs w:val="18"/>
                <w:color w:val="0000EE"/>
                <w:w w:val="85"/>
              </w:rPr>
            </w:pPr>
            <w:hyperlink r:id="rId4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200" w:type="dxa"/>
            <w:vAlign w:val="bottom"/>
          </w:tcPr>
          <w:p>
            <w:pPr>
              <w:spacing w:after="0"/>
              <w:rPr>
                <w:sz w:val="24"/>
                <w:szCs w:val="24"/>
                <w:color w:val="auto"/>
              </w:rPr>
            </w:pPr>
          </w:p>
        </w:tc>
        <w:tc>
          <w:tcPr>
            <w:tcW w:w="6400" w:type="dxa"/>
            <w:vAlign w:val="bottom"/>
            <w:gridSpan w:val="15"/>
          </w:tcPr>
          <w:p>
            <w:pPr>
              <w:spacing w:after="0"/>
              <w:rPr>
                <w:rFonts w:ascii="Arial" w:cs="Arial" w:eastAsia="Arial" w:hAnsi="Arial"/>
                <w:sz w:val="18"/>
                <w:szCs w:val="18"/>
                <w:color w:val="0000EE"/>
                <w:w w:val="97"/>
              </w:rPr>
            </w:pPr>
            <w:hyperlink r:id="rId43">
              <w:r>
                <w:rPr>
                  <w:rFonts w:ascii="Arial" w:cs="Arial" w:eastAsia="Arial" w:hAnsi="Arial"/>
                  <w:sz w:val="18"/>
                  <w:szCs w:val="18"/>
                  <w:color w:val="0000EE"/>
                  <w:w w:val="97"/>
                </w:rPr>
                <w:t>Letter Agreement, dated December 17, 2020, by and among MedTech Acquisition</w:t>
              </w:r>
            </w:hyperlink>
          </w:p>
        </w:tc>
        <w:tc>
          <w:tcPr>
            <w:tcW w:w="960" w:type="dxa"/>
            <w:vAlign w:val="bottom"/>
            <w:gridSpan w:val="4"/>
          </w:tcPr>
          <w:p>
            <w:pPr>
              <w:ind w:left="120"/>
              <w:spacing w:after="0"/>
              <w:rPr>
                <w:rFonts w:ascii="Arial" w:cs="Arial" w:eastAsia="Arial" w:hAnsi="Arial"/>
                <w:sz w:val="18"/>
                <w:szCs w:val="18"/>
                <w:color w:val="0000EE"/>
              </w:rPr>
            </w:pPr>
            <w:hyperlink r:id="rId43">
              <w:r>
                <w:rPr>
                  <w:rFonts w:ascii="Arial" w:cs="Arial" w:eastAsia="Arial" w:hAnsi="Arial"/>
                  <w:sz w:val="18"/>
                  <w:szCs w:val="18"/>
                  <w:color w:val="0000EE"/>
                </w:rPr>
                <w:t>8-K</w:t>
              </w:r>
            </w:hyperlink>
          </w:p>
        </w:tc>
        <w:tc>
          <w:tcPr>
            <w:tcW w:w="460" w:type="dxa"/>
            <w:vAlign w:val="bottom"/>
            <w:gridSpan w:val="2"/>
          </w:tcPr>
          <w:p>
            <w:pPr>
              <w:spacing w:after="0"/>
              <w:rPr>
                <w:rFonts w:ascii="Arial" w:cs="Arial" w:eastAsia="Arial" w:hAnsi="Arial"/>
                <w:sz w:val="18"/>
                <w:szCs w:val="18"/>
                <w:color w:val="0000EE"/>
              </w:rPr>
            </w:pPr>
            <w:hyperlink r:id="rId43">
              <w:r>
                <w:rPr>
                  <w:rFonts w:ascii="Arial" w:cs="Arial" w:eastAsia="Arial" w:hAnsi="Arial"/>
                  <w:sz w:val="18"/>
                  <w:szCs w:val="18"/>
                  <w:color w:val="0000EE"/>
                </w:rPr>
                <w:t>001-</w:t>
              </w:r>
            </w:hyperlink>
          </w:p>
        </w:tc>
        <w:tc>
          <w:tcPr>
            <w:tcW w:w="100" w:type="dxa"/>
            <w:vAlign w:val="bottom"/>
          </w:tcPr>
          <w:p>
            <w:pPr>
              <w:spacing w:after="0"/>
              <w:rPr>
                <w:sz w:val="24"/>
                <w:szCs w:val="24"/>
                <w:color w:val="auto"/>
              </w:rPr>
            </w:pPr>
          </w:p>
        </w:tc>
        <w:tc>
          <w:tcPr>
            <w:tcW w:w="680" w:type="dxa"/>
            <w:vAlign w:val="bottom"/>
            <w:gridSpan w:val="3"/>
          </w:tcPr>
          <w:p>
            <w:pPr>
              <w:ind w:left="100"/>
              <w:spacing w:after="0"/>
              <w:rPr>
                <w:rFonts w:ascii="Arial" w:cs="Arial" w:eastAsia="Arial" w:hAnsi="Arial"/>
                <w:sz w:val="18"/>
                <w:szCs w:val="18"/>
                <w:color w:val="0000EE"/>
              </w:rPr>
            </w:pPr>
            <w:hyperlink r:id="rId4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EE"/>
              </w:rPr>
            </w:pPr>
            <w:hyperlink r:id="rId43">
              <w:r>
                <w:rPr>
                  <w:rFonts w:ascii="Arial" w:cs="Arial" w:eastAsia="Arial" w:hAnsi="Arial"/>
                  <w:sz w:val="18"/>
                  <w:szCs w:val="18"/>
                  <w:color w:val="0000EE"/>
                </w:rPr>
                <w:t>December 23,</w:t>
              </w:r>
            </w:hyperlink>
          </w:p>
        </w:tc>
      </w:tr>
      <w:tr>
        <w:trPr>
          <w:trHeight w:val="196"/>
        </w:trPr>
        <w:tc>
          <w:tcPr>
            <w:tcW w:w="3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Corporation, its officers and directors and MedTech Acquisition Sponsor LLC.</w:t>
              </w:r>
            </w:hyperlink>
          </w:p>
        </w:tc>
        <w:tc>
          <w:tcPr>
            <w:tcW w:w="240" w:type="dxa"/>
            <w:vAlign w:val="bottom"/>
            <w:tcBorders>
              <w:top w:val="single" w:sz="8" w:color="0000EE"/>
            </w:tcBorders>
            <w:gridSpan w:val="3"/>
          </w:tcPr>
          <w:p>
            <w:pPr>
              <w:spacing w:after="0"/>
              <w:rPr>
                <w:sz w:val="17"/>
                <w:szCs w:val="17"/>
                <w:color w:val="auto"/>
              </w:rPr>
            </w:pPr>
          </w:p>
        </w:tc>
        <w:tc>
          <w:tcPr>
            <w:tcW w:w="4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43">
              <w:r>
                <w:rPr>
                  <w:rFonts w:ascii="Arial" w:cs="Arial" w:eastAsia="Arial" w:hAnsi="Arial"/>
                  <w:sz w:val="18"/>
                  <w:szCs w:val="18"/>
                  <w:color w:val="0000EE"/>
                  <w:w w:val="87"/>
                </w:rPr>
                <w:t>39813</w:t>
              </w:r>
            </w:hyperlink>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43">
              <w:r>
                <w:rPr>
                  <w:rFonts w:ascii="Arial" w:cs="Arial" w:eastAsia="Arial" w:hAnsi="Arial"/>
                  <w:sz w:val="18"/>
                  <w:szCs w:val="18"/>
                  <w:color w:val="0000EE"/>
                  <w:w w:val="84"/>
                </w:rPr>
                <w:t>2020</w:t>
              </w:r>
            </w:hyperlink>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r>
      <w:tr>
        <w:trPr>
          <w:trHeight w:val="628"/>
        </w:trPr>
        <w:tc>
          <w:tcPr>
            <w:tcW w:w="1000" w:type="dxa"/>
            <w:vAlign w:val="bottom"/>
            <w:gridSpan w:val="2"/>
          </w:tcPr>
          <w:p>
            <w:pPr>
              <w:jc w:val="right"/>
              <w:ind w:right="680"/>
              <w:spacing w:after="0"/>
              <w:rPr>
                <w:rFonts w:ascii="Arial" w:cs="Arial" w:eastAsia="Arial" w:hAnsi="Arial"/>
                <w:sz w:val="18"/>
                <w:szCs w:val="18"/>
                <w:color w:val="0000EE"/>
                <w:w w:val="85"/>
              </w:rPr>
            </w:pPr>
            <w:hyperlink r:id="rId4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200" w:type="dxa"/>
            <w:vAlign w:val="bottom"/>
          </w:tcPr>
          <w:p>
            <w:pPr>
              <w:spacing w:after="0"/>
              <w:rPr>
                <w:sz w:val="24"/>
                <w:szCs w:val="24"/>
                <w:color w:val="auto"/>
              </w:rPr>
            </w:pPr>
          </w:p>
        </w:tc>
        <w:tc>
          <w:tcPr>
            <w:tcW w:w="6400" w:type="dxa"/>
            <w:vAlign w:val="bottom"/>
            <w:gridSpan w:val="15"/>
          </w:tcPr>
          <w:p>
            <w:pPr>
              <w:spacing w:after="0"/>
              <w:rPr>
                <w:rFonts w:ascii="Arial" w:cs="Arial" w:eastAsia="Arial" w:hAnsi="Arial"/>
                <w:sz w:val="18"/>
                <w:szCs w:val="18"/>
                <w:color w:val="0000EE"/>
                <w:w w:val="99"/>
              </w:rPr>
            </w:pPr>
            <w:hyperlink r:id="rId44">
              <w:r>
                <w:rPr>
                  <w:rFonts w:ascii="Arial" w:cs="Arial" w:eastAsia="Arial" w:hAnsi="Arial"/>
                  <w:sz w:val="18"/>
                  <w:szCs w:val="18"/>
                  <w:color w:val="0000EE"/>
                  <w:w w:val="99"/>
                </w:rPr>
                <w:t>Form of Lock-up Agreement, by and among certain stockholders of TriSalus Life</w:t>
              </w:r>
            </w:hyperlink>
          </w:p>
        </w:tc>
        <w:tc>
          <w:tcPr>
            <w:tcW w:w="960" w:type="dxa"/>
            <w:vAlign w:val="bottom"/>
            <w:gridSpan w:val="4"/>
          </w:tcPr>
          <w:p>
            <w:pPr>
              <w:ind w:left="120"/>
              <w:spacing w:after="0"/>
              <w:rPr>
                <w:rFonts w:ascii="Arial" w:cs="Arial" w:eastAsia="Arial" w:hAnsi="Arial"/>
                <w:sz w:val="18"/>
                <w:szCs w:val="18"/>
                <w:color w:val="0000EE"/>
              </w:rPr>
            </w:pPr>
            <w:hyperlink r:id="rId44">
              <w:r>
                <w:rPr>
                  <w:rFonts w:ascii="Arial" w:cs="Arial" w:eastAsia="Arial" w:hAnsi="Arial"/>
                  <w:sz w:val="18"/>
                  <w:szCs w:val="18"/>
                  <w:color w:val="0000EE"/>
                </w:rPr>
                <w:t>8-K</w:t>
              </w:r>
            </w:hyperlink>
          </w:p>
        </w:tc>
        <w:tc>
          <w:tcPr>
            <w:tcW w:w="460" w:type="dxa"/>
            <w:vAlign w:val="bottom"/>
            <w:gridSpan w:val="2"/>
          </w:tcPr>
          <w:p>
            <w:pPr>
              <w:spacing w:after="0"/>
              <w:rPr>
                <w:rFonts w:ascii="Arial" w:cs="Arial" w:eastAsia="Arial" w:hAnsi="Arial"/>
                <w:sz w:val="18"/>
                <w:szCs w:val="18"/>
                <w:color w:val="0000EE"/>
              </w:rPr>
            </w:pPr>
            <w:hyperlink r:id="rId44">
              <w:r>
                <w:rPr>
                  <w:rFonts w:ascii="Arial" w:cs="Arial" w:eastAsia="Arial" w:hAnsi="Arial"/>
                  <w:sz w:val="18"/>
                  <w:szCs w:val="18"/>
                  <w:color w:val="0000EE"/>
                </w:rPr>
                <w:t>001-</w:t>
              </w:r>
            </w:hyperlink>
          </w:p>
        </w:tc>
        <w:tc>
          <w:tcPr>
            <w:tcW w:w="100" w:type="dxa"/>
            <w:vAlign w:val="bottom"/>
          </w:tcPr>
          <w:p>
            <w:pPr>
              <w:spacing w:after="0"/>
              <w:rPr>
                <w:sz w:val="24"/>
                <w:szCs w:val="24"/>
                <w:color w:val="auto"/>
              </w:rPr>
            </w:pPr>
          </w:p>
        </w:tc>
        <w:tc>
          <w:tcPr>
            <w:tcW w:w="680" w:type="dxa"/>
            <w:vAlign w:val="bottom"/>
            <w:gridSpan w:val="3"/>
          </w:tcPr>
          <w:p>
            <w:pPr>
              <w:ind w:left="100"/>
              <w:spacing w:after="0"/>
              <w:rPr>
                <w:rFonts w:ascii="Arial" w:cs="Arial" w:eastAsia="Arial" w:hAnsi="Arial"/>
                <w:sz w:val="18"/>
                <w:szCs w:val="18"/>
                <w:color w:val="0000EE"/>
              </w:rPr>
            </w:pPr>
            <w:hyperlink r:id="rId44">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20" w:type="dxa"/>
            <w:vAlign w:val="bottom"/>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EE"/>
              </w:rPr>
            </w:pPr>
            <w:hyperlink r:id="rId44">
              <w:r>
                <w:rPr>
                  <w:rFonts w:ascii="Arial" w:cs="Arial" w:eastAsia="Arial" w:hAnsi="Arial"/>
                  <w:sz w:val="18"/>
                  <w:szCs w:val="18"/>
                  <w:color w:val="0000EE"/>
                </w:rPr>
                <w:t>November 14,</w:t>
              </w:r>
            </w:hyperlink>
          </w:p>
        </w:tc>
      </w:tr>
      <w:tr>
        <w:trPr>
          <w:trHeight w:val="20"/>
        </w:trPr>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60" w:type="dxa"/>
            <w:vAlign w:val="bottom"/>
            <w:gridSpan w:val="9"/>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Sciences, Inc. and MedTech Acquisition Corporation.</w:t>
              </w:r>
            </w:hyperlink>
          </w:p>
        </w:tc>
        <w:tc>
          <w:tcPr>
            <w:tcW w:w="54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39813</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line="196" w:lineRule="exact"/>
              <w:rPr>
                <w:rFonts w:ascii="Arial" w:cs="Arial" w:eastAsia="Arial" w:hAnsi="Arial"/>
                <w:sz w:val="18"/>
                <w:szCs w:val="18"/>
                <w:color w:val="0000EE"/>
                <w:w w:val="84"/>
              </w:rPr>
            </w:pPr>
            <w:hyperlink r:id="rId44">
              <w:r>
                <w:rPr>
                  <w:rFonts w:ascii="Arial" w:cs="Arial" w:eastAsia="Arial" w:hAnsi="Arial"/>
                  <w:sz w:val="18"/>
                  <w:szCs w:val="18"/>
                  <w:color w:val="0000EE"/>
                  <w:w w:val="84"/>
                </w:rPr>
                <w:t>2022</w:t>
              </w:r>
            </w:hyperlink>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723"/>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84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14"/>
          </w:tcPr>
          <w:p>
            <w:pPr>
              <w:ind w:left="100"/>
              <w:spacing w:after="0"/>
              <w:rPr>
                <w:sz w:val="20"/>
                <w:szCs w:val="20"/>
                <w:color w:val="auto"/>
              </w:rPr>
            </w:pPr>
            <w:r>
              <w:rPr>
                <w:rFonts w:ascii="Arial" w:cs="Arial" w:eastAsia="Arial" w:hAnsi="Arial"/>
                <w:sz w:val="18"/>
                <w:szCs w:val="18"/>
                <w:b w:val="1"/>
                <w:bCs w:val="1"/>
                <w:color w:val="auto"/>
              </w:rPr>
              <w:t>Incorporated by Reference</w:t>
            </w:r>
          </w:p>
        </w:tc>
      </w:tr>
      <w:tr>
        <w:trPr>
          <w:trHeight w:val="191"/>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4"/>
          </w:tcPr>
          <w:p>
            <w:pPr>
              <w:jc w:val="center"/>
              <w:ind w:right="80"/>
              <w:spacing w:after="0" w:line="191" w:lineRule="exact"/>
              <w:rPr>
                <w:sz w:val="20"/>
                <w:szCs w:val="20"/>
                <w:color w:val="auto"/>
              </w:rPr>
            </w:pPr>
            <w:r>
              <w:rPr>
                <w:rFonts w:ascii="Arial" w:cs="Arial" w:eastAsia="Arial" w:hAnsi="Arial"/>
                <w:sz w:val="18"/>
                <w:szCs w:val="18"/>
                <w:b w:val="1"/>
                <w:bCs w:val="1"/>
                <w:color w:val="auto"/>
                <w:w w:val="86"/>
              </w:rPr>
              <w:t>Schedule/</w:t>
            </w:r>
          </w:p>
        </w:tc>
        <w:tc>
          <w:tcPr>
            <w:tcW w:w="120" w:type="dxa"/>
            <w:vAlign w:val="bottom"/>
          </w:tcPr>
          <w:p>
            <w:pPr>
              <w:spacing w:after="0"/>
              <w:rPr>
                <w:sz w:val="16"/>
                <w:szCs w:val="16"/>
                <w:color w:val="auto"/>
              </w:rPr>
            </w:pPr>
          </w:p>
        </w:tc>
        <w:tc>
          <w:tcPr>
            <w:tcW w:w="540" w:type="dxa"/>
            <w:vAlign w:val="bottom"/>
            <w:gridSpan w:val="4"/>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File</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21"/>
          </w:tcPr>
          <w:p>
            <w:pPr>
              <w:ind w:left="420"/>
              <w:spacing w:after="0"/>
              <w:rPr>
                <w:sz w:val="20"/>
                <w:szCs w:val="20"/>
                <w:color w:val="auto"/>
              </w:rPr>
            </w:pPr>
            <w:r>
              <w:rPr>
                <w:rFonts w:ascii="Arial" w:cs="Arial" w:eastAsia="Arial" w:hAnsi="Arial"/>
                <w:sz w:val="18"/>
                <w:szCs w:val="18"/>
                <w:b w:val="1"/>
                <w:bCs w:val="1"/>
                <w:color w:val="auto"/>
              </w:rPr>
              <w:t>Description</w:t>
            </w:r>
          </w:p>
        </w:tc>
        <w:tc>
          <w:tcPr>
            <w:tcW w:w="80" w:type="dxa"/>
            <w:vAlign w:val="bottom"/>
          </w:tcPr>
          <w:p>
            <w:pPr>
              <w:spacing w:after="0"/>
              <w:rPr>
                <w:sz w:val="20"/>
                <w:szCs w:val="20"/>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Form</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9"/>
              </w:rPr>
              <w:t>No.</w:t>
            </w:r>
          </w:p>
        </w:tc>
        <w:tc>
          <w:tcPr>
            <w:tcW w:w="100" w:type="dxa"/>
            <w:vAlign w:val="bottom"/>
          </w:tcPr>
          <w:p>
            <w:pPr>
              <w:spacing w:after="0"/>
              <w:rPr>
                <w:sz w:val="20"/>
                <w:szCs w:val="20"/>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3"/>
              </w:rPr>
              <w:t>Filing Date</w:t>
            </w:r>
          </w:p>
        </w:tc>
      </w:tr>
      <w:tr>
        <w:trPr>
          <w:trHeight w:val="385"/>
        </w:trPr>
        <w:tc>
          <w:tcPr>
            <w:tcW w:w="500" w:type="dxa"/>
            <w:vAlign w:val="bottom"/>
          </w:tcPr>
          <w:p>
            <w:pPr>
              <w:spacing w:after="0"/>
              <w:rPr>
                <w:rFonts w:ascii="Arial" w:cs="Arial" w:eastAsia="Arial" w:hAnsi="Arial"/>
                <w:sz w:val="18"/>
                <w:szCs w:val="18"/>
                <w:color w:val="0000EE"/>
                <w:w w:val="92"/>
              </w:rPr>
            </w:pPr>
            <w:hyperlink r:id="rId45">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8*#</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20" w:type="dxa"/>
            <w:vAlign w:val="bottom"/>
            <w:gridSpan w:val="18"/>
          </w:tcPr>
          <w:p>
            <w:pPr>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Amended and Restated Employment Agreement, dated November 11, 2022, by and</w:t>
              </w:r>
            </w:hyperlink>
          </w:p>
        </w:tc>
        <w:tc>
          <w:tcPr>
            <w:tcW w:w="50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r:id="rId45">
              <w:r>
                <w:rPr>
                  <w:rFonts w:ascii="Arial" w:cs="Arial" w:eastAsia="Arial" w:hAnsi="Arial"/>
                  <w:sz w:val="18"/>
                  <w:szCs w:val="18"/>
                  <w:color w:val="0000EE"/>
                </w:rPr>
                <w:t>S-4/A</w:t>
              </w:r>
            </w:hyperlink>
          </w:p>
        </w:tc>
        <w:tc>
          <w:tcPr>
            <w:tcW w:w="540" w:type="dxa"/>
            <w:vAlign w:val="bottom"/>
            <w:gridSpan w:val="3"/>
          </w:tcPr>
          <w:p>
            <w:pPr>
              <w:jc w:val="center"/>
              <w:spacing w:after="0"/>
              <w:rPr>
                <w:rFonts w:ascii="Arial" w:cs="Arial" w:eastAsia="Arial" w:hAnsi="Arial"/>
                <w:sz w:val="18"/>
                <w:szCs w:val="18"/>
                <w:color w:val="0000EE"/>
                <w:w w:val="88"/>
              </w:rPr>
            </w:pPr>
            <w:hyperlink r:id="rId45">
              <w:r>
                <w:rPr>
                  <w:rFonts w:ascii="Arial" w:cs="Arial" w:eastAsia="Arial" w:hAnsi="Arial"/>
                  <w:sz w:val="18"/>
                  <w:szCs w:val="18"/>
                  <w:color w:val="0000EE"/>
                  <w:w w:val="88"/>
                </w:rPr>
                <w:t>333-</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93"/>
              </w:rPr>
            </w:pPr>
            <w:hyperlink r:id="rId45">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14</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120"/>
              <w:spacing w:after="0"/>
              <w:rPr>
                <w:rFonts w:ascii="Arial" w:cs="Arial" w:eastAsia="Arial" w:hAnsi="Arial"/>
                <w:sz w:val="18"/>
                <w:szCs w:val="18"/>
                <w:color w:val="0000EE"/>
                <w:w w:val="95"/>
              </w:rPr>
            </w:pPr>
            <w:hyperlink r:id="rId45">
              <w:r>
                <w:rPr>
                  <w:rFonts w:ascii="Arial" w:cs="Arial" w:eastAsia="Arial" w:hAnsi="Arial"/>
                  <w:sz w:val="18"/>
                  <w:szCs w:val="18"/>
                  <w:color w:val="0000EE"/>
                  <w:w w:val="95"/>
                </w:rPr>
                <w:t>April 21, 2023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20" w:type="dxa"/>
            <w:vAlign w:val="bottom"/>
            <w:gridSpan w:val="18"/>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between TriSalus Life Sciences, Inc. and Mary Szela.</w:t>
              </w:r>
            </w:hyperlink>
          </w:p>
        </w:tc>
        <w:tc>
          <w:tcPr>
            <w:tcW w:w="50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center"/>
              <w:spacing w:after="0" w:line="196" w:lineRule="exact"/>
              <w:rPr>
                <w:rFonts w:ascii="Arial" w:cs="Arial" w:eastAsia="Arial" w:hAnsi="Arial"/>
                <w:sz w:val="18"/>
                <w:szCs w:val="18"/>
                <w:color w:val="0000EE"/>
                <w:w w:val="89"/>
              </w:rPr>
            </w:pPr>
            <w:hyperlink r:id="rId45">
              <w:r>
                <w:rPr>
                  <w:rFonts w:ascii="Arial" w:cs="Arial" w:eastAsia="Arial" w:hAnsi="Arial"/>
                  <w:sz w:val="18"/>
                  <w:szCs w:val="18"/>
                  <w:color w:val="0000EE"/>
                  <w:w w:val="89"/>
                </w:rPr>
                <w:t>269138</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500" w:type="dxa"/>
            <w:vAlign w:val="bottom"/>
          </w:tcPr>
          <w:p>
            <w:pPr>
              <w:spacing w:after="0"/>
              <w:rPr>
                <w:rFonts w:ascii="Arial" w:cs="Arial" w:eastAsia="Arial" w:hAnsi="Arial"/>
                <w:sz w:val="18"/>
                <w:szCs w:val="18"/>
                <w:color w:val="0000EE"/>
                <w:w w:val="92"/>
              </w:rPr>
            </w:pPr>
            <w:hyperlink r:id="rId46">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9*#</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20" w:type="dxa"/>
            <w:vAlign w:val="bottom"/>
            <w:gridSpan w:val="18"/>
          </w:tcPr>
          <w:p>
            <w:pPr>
              <w:spacing w:after="0"/>
              <w:rPr>
                <w:rFonts w:ascii="Arial" w:cs="Arial" w:eastAsia="Arial" w:hAnsi="Arial"/>
                <w:sz w:val="18"/>
                <w:szCs w:val="18"/>
                <w:color w:val="0000EE"/>
                <w:w w:val="89"/>
              </w:rPr>
            </w:pPr>
            <w:hyperlink r:id="rId46">
              <w:r>
                <w:rPr>
                  <w:rFonts w:ascii="Arial" w:cs="Arial" w:eastAsia="Arial" w:hAnsi="Arial"/>
                  <w:sz w:val="18"/>
                  <w:szCs w:val="18"/>
                  <w:color w:val="0000EE"/>
                  <w:w w:val="89"/>
                </w:rPr>
                <w:t>Amended and Restated Employment Agreement, dated November 12, 2022, by and</w:t>
              </w:r>
            </w:hyperlink>
          </w:p>
        </w:tc>
        <w:tc>
          <w:tcPr>
            <w:tcW w:w="50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r:id="rId46">
              <w:r>
                <w:rPr>
                  <w:rFonts w:ascii="Arial" w:cs="Arial" w:eastAsia="Arial" w:hAnsi="Arial"/>
                  <w:sz w:val="18"/>
                  <w:szCs w:val="18"/>
                  <w:color w:val="0000EE"/>
                </w:rPr>
                <w:t>S-4/A</w:t>
              </w:r>
            </w:hyperlink>
          </w:p>
        </w:tc>
        <w:tc>
          <w:tcPr>
            <w:tcW w:w="540" w:type="dxa"/>
            <w:vAlign w:val="bottom"/>
            <w:gridSpan w:val="3"/>
          </w:tcPr>
          <w:p>
            <w:pPr>
              <w:jc w:val="center"/>
              <w:spacing w:after="0"/>
              <w:rPr>
                <w:rFonts w:ascii="Arial" w:cs="Arial" w:eastAsia="Arial" w:hAnsi="Arial"/>
                <w:sz w:val="18"/>
                <w:szCs w:val="18"/>
                <w:color w:val="0000EE"/>
                <w:w w:val="88"/>
              </w:rPr>
            </w:pPr>
            <w:hyperlink r:id="rId46">
              <w:r>
                <w:rPr>
                  <w:rFonts w:ascii="Arial" w:cs="Arial" w:eastAsia="Arial" w:hAnsi="Arial"/>
                  <w:sz w:val="18"/>
                  <w:szCs w:val="18"/>
                  <w:color w:val="0000EE"/>
                  <w:w w:val="88"/>
                </w:rPr>
                <w:t>333-</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93"/>
              </w:rPr>
            </w:pPr>
            <w:hyperlink r:id="rId46">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15</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120"/>
              <w:spacing w:after="0"/>
              <w:rPr>
                <w:rFonts w:ascii="Arial" w:cs="Arial" w:eastAsia="Arial" w:hAnsi="Arial"/>
                <w:sz w:val="18"/>
                <w:szCs w:val="18"/>
                <w:color w:val="0000EE"/>
                <w:w w:val="95"/>
              </w:rPr>
            </w:pPr>
            <w:hyperlink r:id="rId46">
              <w:r>
                <w:rPr>
                  <w:rFonts w:ascii="Arial" w:cs="Arial" w:eastAsia="Arial" w:hAnsi="Arial"/>
                  <w:sz w:val="18"/>
                  <w:szCs w:val="18"/>
                  <w:color w:val="0000EE"/>
                  <w:w w:val="95"/>
                </w:rPr>
                <w:t>April 21, 2023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20" w:type="dxa"/>
            <w:vAlign w:val="bottom"/>
            <w:gridSpan w:val="18"/>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between TriSalus Life Sciences, Inc. and Steven C. Katz, MD.</w:t>
              </w:r>
            </w:hyperlink>
          </w:p>
        </w:tc>
        <w:tc>
          <w:tcPr>
            <w:tcW w:w="50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center"/>
              <w:spacing w:after="0" w:line="19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269138</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600" w:type="dxa"/>
            <w:vAlign w:val="bottom"/>
            <w:gridSpan w:val="2"/>
          </w:tcPr>
          <w:p>
            <w:pPr>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10*#</w:t>
              </w:r>
            </w:hyperlink>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60" w:type="dxa"/>
            <w:vAlign w:val="bottom"/>
            <w:gridSpan w:val="19"/>
          </w:tcPr>
          <w:p>
            <w:pPr>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Executive Employment Agreement, dated July 9, 2022, by and between TriSalus Life</w:t>
              </w:r>
            </w:hyperlink>
          </w:p>
        </w:tc>
        <w:tc>
          <w:tcPr>
            <w:tcW w:w="360" w:type="dxa"/>
            <w:vAlign w:val="bottom"/>
            <w:gridSpan w:val="7"/>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r:id="rId47">
              <w:r>
                <w:rPr>
                  <w:rFonts w:ascii="Arial" w:cs="Arial" w:eastAsia="Arial" w:hAnsi="Arial"/>
                  <w:sz w:val="18"/>
                  <w:szCs w:val="18"/>
                  <w:color w:val="0000EE"/>
                </w:rPr>
                <w:t>S-4/A</w:t>
              </w:r>
            </w:hyperlink>
          </w:p>
        </w:tc>
        <w:tc>
          <w:tcPr>
            <w:tcW w:w="540" w:type="dxa"/>
            <w:vAlign w:val="bottom"/>
            <w:gridSpan w:val="3"/>
          </w:tcPr>
          <w:p>
            <w:pPr>
              <w:jc w:val="center"/>
              <w:spacing w:after="0"/>
              <w:rPr>
                <w:rFonts w:ascii="Arial" w:cs="Arial" w:eastAsia="Arial" w:hAnsi="Arial"/>
                <w:sz w:val="18"/>
                <w:szCs w:val="18"/>
                <w:color w:val="0000EE"/>
                <w:w w:val="88"/>
              </w:rPr>
            </w:pPr>
            <w:hyperlink r:id="rId47">
              <w:r>
                <w:rPr>
                  <w:rFonts w:ascii="Arial" w:cs="Arial" w:eastAsia="Arial" w:hAnsi="Arial"/>
                  <w:sz w:val="18"/>
                  <w:szCs w:val="18"/>
                  <w:color w:val="0000EE"/>
                  <w:w w:val="88"/>
                </w:rPr>
                <w:t>333-</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93"/>
              </w:rPr>
            </w:pPr>
            <w:hyperlink r:id="rId47">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16</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120"/>
              <w:spacing w:after="0"/>
              <w:rPr>
                <w:rFonts w:ascii="Arial" w:cs="Arial" w:eastAsia="Arial" w:hAnsi="Arial"/>
                <w:sz w:val="18"/>
                <w:szCs w:val="18"/>
                <w:color w:val="0000EE"/>
                <w:w w:val="95"/>
              </w:rPr>
            </w:pPr>
            <w:hyperlink r:id="rId47">
              <w:r>
                <w:rPr>
                  <w:rFonts w:ascii="Arial" w:cs="Arial" w:eastAsia="Arial" w:hAnsi="Arial"/>
                  <w:sz w:val="18"/>
                  <w:szCs w:val="18"/>
                  <w:color w:val="0000EE"/>
                  <w:w w:val="95"/>
                </w:rPr>
                <w:t>April 21, 2023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60" w:type="dxa"/>
            <w:vAlign w:val="bottom"/>
            <w:gridSpan w:val="19"/>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Sciences, Inc. and Sean Murphy.</w:t>
              </w:r>
            </w:hyperlink>
          </w:p>
        </w:tc>
        <w:tc>
          <w:tcPr>
            <w:tcW w:w="36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center"/>
              <w:spacing w:after="0" w:line="196" w:lineRule="exact"/>
              <w:rPr>
                <w:rFonts w:ascii="Arial" w:cs="Arial" w:eastAsia="Arial" w:hAnsi="Arial"/>
                <w:sz w:val="18"/>
                <w:szCs w:val="18"/>
                <w:color w:val="0000EE"/>
                <w:w w:val="89"/>
              </w:rPr>
            </w:pPr>
            <w:hyperlink r:id="rId47">
              <w:r>
                <w:rPr>
                  <w:rFonts w:ascii="Arial" w:cs="Arial" w:eastAsia="Arial" w:hAnsi="Arial"/>
                  <w:sz w:val="18"/>
                  <w:szCs w:val="18"/>
                  <w:color w:val="0000EE"/>
                  <w:w w:val="89"/>
                </w:rPr>
                <w:t>269138</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412"/>
        </w:trPr>
        <w:tc>
          <w:tcPr>
            <w:tcW w:w="600" w:type="dxa"/>
            <w:vAlign w:val="bottom"/>
            <w:gridSpan w:val="2"/>
          </w:tcPr>
          <w:p>
            <w:pPr>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11*#</w:t>
              </w:r>
            </w:hyperlink>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20" w:type="dxa"/>
            <w:vAlign w:val="bottom"/>
            <w:gridSpan w:val="26"/>
          </w:tcPr>
          <w:p>
            <w:pPr>
              <w:spacing w:after="0"/>
              <w:rPr>
                <w:rFonts w:ascii="Arial" w:cs="Arial" w:eastAsia="Arial" w:hAnsi="Arial"/>
                <w:sz w:val="18"/>
                <w:szCs w:val="18"/>
                <w:color w:val="0000EE"/>
                <w:w w:val="93"/>
              </w:rPr>
            </w:pPr>
            <w:hyperlink r:id="rId48">
              <w:r>
                <w:rPr>
                  <w:rFonts w:ascii="Arial" w:cs="Arial" w:eastAsia="Arial" w:hAnsi="Arial"/>
                  <w:sz w:val="18"/>
                  <w:szCs w:val="18"/>
                  <w:color w:val="0000EE"/>
                  <w:w w:val="93"/>
                </w:rPr>
                <w:t>Amended and Restated Executive Employment Agreement, dated October 11, 2022, by</w:t>
              </w:r>
            </w:hyperlink>
          </w:p>
        </w:tc>
        <w:tc>
          <w:tcPr>
            <w:tcW w:w="2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r:id="rId48">
              <w:r>
                <w:rPr>
                  <w:rFonts w:ascii="Arial" w:cs="Arial" w:eastAsia="Arial" w:hAnsi="Arial"/>
                  <w:sz w:val="18"/>
                  <w:szCs w:val="18"/>
                  <w:color w:val="0000EE"/>
                </w:rPr>
                <w:t>S-4/A</w:t>
              </w:r>
            </w:hyperlink>
          </w:p>
        </w:tc>
        <w:tc>
          <w:tcPr>
            <w:tcW w:w="540" w:type="dxa"/>
            <w:vAlign w:val="bottom"/>
            <w:gridSpan w:val="3"/>
          </w:tcPr>
          <w:p>
            <w:pPr>
              <w:jc w:val="center"/>
              <w:spacing w:after="0"/>
              <w:rPr>
                <w:rFonts w:ascii="Arial" w:cs="Arial" w:eastAsia="Arial" w:hAnsi="Arial"/>
                <w:sz w:val="18"/>
                <w:szCs w:val="18"/>
                <w:color w:val="0000EE"/>
                <w:w w:val="88"/>
              </w:rPr>
            </w:pPr>
            <w:hyperlink r:id="rId48">
              <w:r>
                <w:rPr>
                  <w:rFonts w:ascii="Arial" w:cs="Arial" w:eastAsia="Arial" w:hAnsi="Arial"/>
                  <w:sz w:val="18"/>
                  <w:szCs w:val="18"/>
                  <w:color w:val="0000EE"/>
                  <w:w w:val="88"/>
                </w:rPr>
                <w:t>333-</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93"/>
              </w:rPr>
            </w:pPr>
            <w:hyperlink r:id="rId48">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17</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120"/>
              <w:spacing w:after="0"/>
              <w:rPr>
                <w:rFonts w:ascii="Arial" w:cs="Arial" w:eastAsia="Arial" w:hAnsi="Arial"/>
                <w:sz w:val="18"/>
                <w:szCs w:val="18"/>
                <w:color w:val="0000EE"/>
                <w:w w:val="95"/>
              </w:rPr>
            </w:pPr>
            <w:hyperlink r:id="rId48">
              <w:r>
                <w:rPr>
                  <w:rFonts w:ascii="Arial" w:cs="Arial" w:eastAsia="Arial" w:hAnsi="Arial"/>
                  <w:sz w:val="18"/>
                  <w:szCs w:val="18"/>
                  <w:color w:val="0000EE"/>
                  <w:w w:val="95"/>
                </w:rPr>
                <w:t>April 21, 2023</w:t>
              </w:r>
            </w:hyperlink>
          </w:p>
        </w:tc>
      </w:tr>
      <w:tr>
        <w:trPr>
          <w:trHeight w:val="196"/>
        </w:trPr>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and between TriSalus Life Sciences, Inc. and Richard Marshak.</w:t>
              </w:r>
            </w:hyperlink>
          </w:p>
        </w:tc>
        <w:tc>
          <w:tcPr>
            <w:tcW w:w="1640" w:type="dxa"/>
            <w:vAlign w:val="bottom"/>
            <w:tcBorders>
              <w:top w:val="single" w:sz="8" w:color="0000EE"/>
            </w:tcBorders>
            <w:gridSpan w:val="10"/>
          </w:tcPr>
          <w:p>
            <w:pPr>
              <w:spacing w:after="0"/>
              <w:rPr>
                <w:sz w:val="17"/>
                <w:szCs w:val="17"/>
                <w:color w:val="auto"/>
              </w:rPr>
            </w:pPr>
          </w:p>
        </w:tc>
        <w:tc>
          <w:tcPr>
            <w:tcW w:w="2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89"/>
              </w:rPr>
            </w:pPr>
            <w:hyperlink r:id="rId48">
              <w:r>
                <w:rPr>
                  <w:rFonts w:ascii="Arial" w:cs="Arial" w:eastAsia="Arial" w:hAnsi="Arial"/>
                  <w:sz w:val="18"/>
                  <w:szCs w:val="18"/>
                  <w:color w:val="0000EE"/>
                  <w:w w:val="89"/>
                </w:rPr>
                <w:t>269138</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600" w:type="dxa"/>
            <w:vAlign w:val="bottom"/>
            <w:gridSpan w:val="2"/>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12*#</w:t>
              </w:r>
            </w:hyperlink>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60" w:type="dxa"/>
            <w:vAlign w:val="bottom"/>
            <w:gridSpan w:val="23"/>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Executive Employment Agreement, dated November 11, 2022, by and between TriSalus</w:t>
              </w:r>
            </w:hyperlink>
          </w:p>
        </w:tc>
        <w:tc>
          <w:tcPr>
            <w:tcW w:w="16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r:id="rId49">
              <w:r>
                <w:rPr>
                  <w:rFonts w:ascii="Arial" w:cs="Arial" w:eastAsia="Arial" w:hAnsi="Arial"/>
                  <w:sz w:val="18"/>
                  <w:szCs w:val="18"/>
                  <w:color w:val="0000EE"/>
                </w:rPr>
                <w:t>S-4/A</w:t>
              </w:r>
            </w:hyperlink>
          </w:p>
        </w:tc>
        <w:tc>
          <w:tcPr>
            <w:tcW w:w="540" w:type="dxa"/>
            <w:vAlign w:val="bottom"/>
            <w:gridSpan w:val="3"/>
          </w:tcPr>
          <w:p>
            <w:pPr>
              <w:jc w:val="center"/>
              <w:spacing w:after="0"/>
              <w:rPr>
                <w:rFonts w:ascii="Arial" w:cs="Arial" w:eastAsia="Arial" w:hAnsi="Arial"/>
                <w:sz w:val="18"/>
                <w:szCs w:val="18"/>
                <w:color w:val="0000EE"/>
                <w:w w:val="88"/>
              </w:rPr>
            </w:pPr>
            <w:hyperlink r:id="rId49">
              <w:r>
                <w:rPr>
                  <w:rFonts w:ascii="Arial" w:cs="Arial" w:eastAsia="Arial" w:hAnsi="Arial"/>
                  <w:sz w:val="18"/>
                  <w:szCs w:val="18"/>
                  <w:color w:val="0000EE"/>
                  <w:w w:val="88"/>
                </w:rPr>
                <w:t>333-</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93"/>
              </w:rPr>
            </w:pPr>
            <w:hyperlink r:id="rId49">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18</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120"/>
              <w:spacing w:after="0"/>
              <w:rPr>
                <w:rFonts w:ascii="Arial" w:cs="Arial" w:eastAsia="Arial" w:hAnsi="Arial"/>
                <w:sz w:val="18"/>
                <w:szCs w:val="18"/>
                <w:color w:val="0000EE"/>
                <w:w w:val="95"/>
              </w:rPr>
            </w:pPr>
            <w:hyperlink r:id="rId49">
              <w:r>
                <w:rPr>
                  <w:rFonts w:ascii="Arial" w:cs="Arial" w:eastAsia="Arial" w:hAnsi="Arial"/>
                  <w:sz w:val="18"/>
                  <w:szCs w:val="18"/>
                  <w:color w:val="0000EE"/>
                  <w:w w:val="95"/>
                </w:rPr>
                <w:t>April 21, 2023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Life Sciences, Inc. and Jennifer L. Stevens.</w:t>
              </w:r>
            </w:hyperlink>
          </w:p>
        </w:tc>
        <w:tc>
          <w:tcPr>
            <w:tcW w:w="3160" w:type="dxa"/>
            <w:vAlign w:val="bottom"/>
            <w:gridSpan w:val="16"/>
          </w:tcPr>
          <w:p>
            <w:pPr>
              <w:spacing w:after="0"/>
              <w:rPr>
                <w:sz w:val="17"/>
                <w:szCs w:val="17"/>
                <w:color w:val="auto"/>
              </w:rPr>
            </w:pPr>
          </w:p>
        </w:tc>
        <w:tc>
          <w:tcPr>
            <w:tcW w:w="16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89"/>
              </w:rPr>
            </w:pPr>
            <w:hyperlink r:id="rId49">
              <w:r>
                <w:rPr>
                  <w:rFonts w:ascii="Arial" w:cs="Arial" w:eastAsia="Arial" w:hAnsi="Arial"/>
                  <w:sz w:val="18"/>
                  <w:szCs w:val="18"/>
                  <w:color w:val="0000EE"/>
                  <w:w w:val="89"/>
                </w:rPr>
                <w:t>269138</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600" w:type="dxa"/>
            <w:vAlign w:val="bottom"/>
            <w:gridSpan w:val="2"/>
          </w:tcPr>
          <w:p>
            <w:pPr>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13*#</w:t>
              </w:r>
            </w:hyperlink>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1"/>
          </w:tcPr>
          <w:p>
            <w:pPr>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Executive Employment Agreement, dated November 4, 2022, by and between TriSalus</w:t>
              </w:r>
            </w:hyperlink>
          </w:p>
        </w:tc>
        <w:tc>
          <w:tcPr>
            <w:tcW w:w="24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r:id="rId50">
              <w:r>
                <w:rPr>
                  <w:rFonts w:ascii="Arial" w:cs="Arial" w:eastAsia="Arial" w:hAnsi="Arial"/>
                  <w:sz w:val="18"/>
                  <w:szCs w:val="18"/>
                  <w:color w:val="0000EE"/>
                </w:rPr>
                <w:t>S-4/A</w:t>
              </w:r>
            </w:hyperlink>
          </w:p>
        </w:tc>
        <w:tc>
          <w:tcPr>
            <w:tcW w:w="540" w:type="dxa"/>
            <w:vAlign w:val="bottom"/>
            <w:gridSpan w:val="3"/>
          </w:tcPr>
          <w:p>
            <w:pPr>
              <w:jc w:val="center"/>
              <w:spacing w:after="0"/>
              <w:rPr>
                <w:rFonts w:ascii="Arial" w:cs="Arial" w:eastAsia="Arial" w:hAnsi="Arial"/>
                <w:sz w:val="18"/>
                <w:szCs w:val="18"/>
                <w:color w:val="0000EE"/>
                <w:w w:val="88"/>
              </w:rPr>
            </w:pPr>
            <w:hyperlink r:id="rId50">
              <w:r>
                <w:rPr>
                  <w:rFonts w:ascii="Arial" w:cs="Arial" w:eastAsia="Arial" w:hAnsi="Arial"/>
                  <w:sz w:val="18"/>
                  <w:szCs w:val="18"/>
                  <w:color w:val="0000EE"/>
                  <w:w w:val="88"/>
                </w:rPr>
                <w:t>333-</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93"/>
              </w:rPr>
            </w:pPr>
            <w:hyperlink r:id="rId50">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19</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120"/>
              <w:spacing w:after="0"/>
              <w:rPr>
                <w:rFonts w:ascii="Arial" w:cs="Arial" w:eastAsia="Arial" w:hAnsi="Arial"/>
                <w:sz w:val="18"/>
                <w:szCs w:val="18"/>
                <w:color w:val="0000EE"/>
                <w:w w:val="95"/>
              </w:rPr>
            </w:pPr>
            <w:hyperlink r:id="rId50">
              <w:r>
                <w:rPr>
                  <w:rFonts w:ascii="Arial" w:cs="Arial" w:eastAsia="Arial" w:hAnsi="Arial"/>
                  <w:sz w:val="18"/>
                  <w:szCs w:val="18"/>
                  <w:color w:val="0000EE"/>
                  <w:w w:val="95"/>
                </w:rPr>
                <w:t>April 21, 2023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80" w:type="dxa"/>
            <w:vAlign w:val="bottom"/>
            <w:gridSpan w:val="21"/>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Life Sciences, Inc. and Bryan F. Cox, Ph.D.</w:t>
              </w:r>
            </w:hyperlink>
          </w:p>
        </w:tc>
        <w:tc>
          <w:tcPr>
            <w:tcW w:w="24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center"/>
              <w:spacing w:after="0" w:line="196" w:lineRule="exact"/>
              <w:rPr>
                <w:rFonts w:ascii="Arial" w:cs="Arial" w:eastAsia="Arial" w:hAnsi="Arial"/>
                <w:sz w:val="18"/>
                <w:szCs w:val="18"/>
                <w:color w:val="0000EE"/>
                <w:w w:val="89"/>
              </w:rPr>
            </w:pPr>
            <w:hyperlink r:id="rId50">
              <w:r>
                <w:rPr>
                  <w:rFonts w:ascii="Arial" w:cs="Arial" w:eastAsia="Arial" w:hAnsi="Arial"/>
                  <w:sz w:val="18"/>
                  <w:szCs w:val="18"/>
                  <w:color w:val="0000EE"/>
                  <w:w w:val="89"/>
                </w:rPr>
                <w:t>269138</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14*#</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0"/>
              </w:rPr>
              <w:t>Executive Employment Agreement, dated November 4, 2022, by and between TriSalus</w:t>
            </w:r>
          </w:p>
        </w:tc>
        <w:tc>
          <w:tcPr>
            <w:tcW w:w="24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520" w:type="dxa"/>
            <w:vAlign w:val="bottom"/>
            <w:gridSpan w:val="26"/>
          </w:tcPr>
          <w:p>
            <w:pPr>
              <w:spacing w:after="0" w:line="196" w:lineRule="exact"/>
              <w:rPr>
                <w:sz w:val="20"/>
                <w:szCs w:val="20"/>
                <w:color w:val="auto"/>
              </w:rPr>
            </w:pPr>
            <w:r>
              <w:rPr>
                <w:rFonts w:ascii="Arial" w:cs="Arial" w:eastAsia="Arial" w:hAnsi="Arial"/>
                <w:sz w:val="18"/>
                <w:szCs w:val="18"/>
                <w:color w:val="0000EE"/>
              </w:rPr>
              <w:t>Life Sciences, Inc. and James Alecxih.</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20" w:type="dxa"/>
            <w:vAlign w:val="bottom"/>
            <w:gridSpan w:val="26"/>
          </w:tcPr>
          <w:p>
            <w:pPr>
              <w:spacing w:after="0"/>
              <w:rPr>
                <w:sz w:val="20"/>
                <w:szCs w:val="20"/>
                <w:color w:val="auto"/>
              </w:rPr>
            </w:pPr>
            <w:r>
              <w:rPr>
                <w:rFonts w:ascii="Arial" w:cs="Arial" w:eastAsia="Arial" w:hAnsi="Arial"/>
                <w:sz w:val="18"/>
                <w:szCs w:val="18"/>
                <w:color w:val="0000EE"/>
              </w:rPr>
              <w:t>Surefire Medical, Inc. 2009 Amended and Restated Equity Incentive Plan.</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2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1"/>
              </w:rPr>
              <w:t>Form of Stock Option Grant Notice and Form of Stock Option Agreement under Surefire</w:t>
            </w:r>
          </w:p>
        </w:tc>
        <w:tc>
          <w:tcPr>
            <w:tcW w:w="1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520" w:type="dxa"/>
            <w:vAlign w:val="bottom"/>
            <w:gridSpan w:val="26"/>
          </w:tcPr>
          <w:p>
            <w:pPr>
              <w:spacing w:after="0" w:line="196" w:lineRule="exact"/>
              <w:rPr>
                <w:sz w:val="20"/>
                <w:szCs w:val="20"/>
                <w:color w:val="auto"/>
              </w:rPr>
            </w:pPr>
            <w:r>
              <w:rPr>
                <w:rFonts w:ascii="Arial" w:cs="Arial" w:eastAsia="Arial" w:hAnsi="Arial"/>
                <w:sz w:val="18"/>
                <w:szCs w:val="18"/>
                <w:color w:val="0000EE"/>
              </w:rPr>
              <w:t>Medical, Inc. 2009 Amended and Restated Equity Incentive Plan (Pre-2020).</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2"/>
              </w:rPr>
              <w:t>Form of Early Exercise Stock Option Grant Notice and Form of Stock Option</w:t>
            </w:r>
          </w:p>
        </w:tc>
        <w:tc>
          <w:tcPr>
            <w:tcW w:w="900" w:type="dxa"/>
            <w:vAlign w:val="bottom"/>
            <w:gridSpan w:val="10"/>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8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1"/>
              </w:rPr>
              <w:t>Agreement under Surefire Medical, Inc. 2009 Amended and Restated Equity Incentive</w:t>
            </w:r>
          </w:p>
        </w:tc>
        <w:tc>
          <w:tcPr>
            <w:tcW w:w="24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5"/>
              </w:rPr>
              <w:t>Plan (for grants prior to 2020).</w:t>
            </w:r>
          </w:p>
        </w:tc>
        <w:tc>
          <w:tcPr>
            <w:tcW w:w="4180" w:type="dxa"/>
            <w:vAlign w:val="bottom"/>
            <w:gridSpan w:val="22"/>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2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1"/>
              </w:rPr>
              <w:t>Form of Stock Option Grant Notice and Form of Stock Option Agreement under Surefire</w:t>
            </w:r>
          </w:p>
        </w:tc>
        <w:tc>
          <w:tcPr>
            <w:tcW w:w="1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6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0"/>
              </w:rPr>
              <w:t>Medical, Inc. 2009 Amended and Restated Equity Incentive Plan (for grants after 2020).</w:t>
            </w:r>
          </w:p>
        </w:tc>
        <w:tc>
          <w:tcPr>
            <w:tcW w:w="16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28"/>
        </w:trPr>
        <w:tc>
          <w:tcPr>
            <w:tcW w:w="5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2"/>
              </w:rPr>
              <w:t>Form of Early Exercise Stock Option Grant Notice and Form of Stock Option</w:t>
            </w:r>
          </w:p>
        </w:tc>
        <w:tc>
          <w:tcPr>
            <w:tcW w:w="920" w:type="dxa"/>
            <w:vAlign w:val="bottom"/>
            <w:gridSpan w:val="11"/>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8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1"/>
              </w:rPr>
              <w:t>Agreement under Surefire Medical, Inc. 2009 Amended and Restated Equity Incentive</w:t>
            </w:r>
          </w:p>
        </w:tc>
        <w:tc>
          <w:tcPr>
            <w:tcW w:w="24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Plan (for grants after 2020).</w:t>
            </w:r>
          </w:p>
        </w:tc>
        <w:tc>
          <w:tcPr>
            <w:tcW w:w="4520" w:type="dxa"/>
            <w:vAlign w:val="bottom"/>
            <w:gridSpan w:val="23"/>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20" w:type="dxa"/>
            <w:vAlign w:val="bottom"/>
            <w:gridSpan w:val="26"/>
          </w:tcPr>
          <w:p>
            <w:pPr>
              <w:spacing w:after="0"/>
              <w:rPr>
                <w:sz w:val="20"/>
                <w:szCs w:val="20"/>
                <w:color w:val="auto"/>
              </w:rPr>
            </w:pPr>
            <w:r>
              <w:rPr>
                <w:rFonts w:ascii="Arial" w:cs="Arial" w:eastAsia="Arial" w:hAnsi="Arial"/>
                <w:sz w:val="18"/>
                <w:szCs w:val="18"/>
                <w:color w:val="0000EE"/>
              </w:rPr>
              <w:t>Form of Restricted Stock Unit Grant Notice and Form of Restricted Stock Unit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8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1"/>
              </w:rPr>
              <w:t>Agreement under Surefire Medical, Inc. 2009 Amended and Restated Equity Incentive</w:t>
            </w:r>
          </w:p>
        </w:tc>
        <w:tc>
          <w:tcPr>
            <w:tcW w:w="24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520" w:type="dxa"/>
            <w:vAlign w:val="bottom"/>
            <w:gridSpan w:val="26"/>
          </w:tcPr>
          <w:p>
            <w:pPr>
              <w:spacing w:after="0" w:line="196" w:lineRule="exact"/>
              <w:rPr>
                <w:sz w:val="20"/>
                <w:szCs w:val="20"/>
                <w:color w:val="auto"/>
              </w:rPr>
            </w:pPr>
            <w:r>
              <w:rPr>
                <w:rFonts w:ascii="Arial" w:cs="Arial" w:eastAsia="Arial" w:hAnsi="Arial"/>
                <w:sz w:val="18"/>
                <w:szCs w:val="18"/>
                <w:color w:val="0000EE"/>
              </w:rPr>
              <w:t>Plan.</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160" w:type="dxa"/>
            <w:vAlign w:val="bottom"/>
            <w:gridSpan w:val="10"/>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1"/>
              </w:rPr>
              <w:t>TriSalus Life Sciences, Inc. 2023 Equity Incentive Plan.</w:t>
            </w:r>
          </w:p>
        </w:tc>
        <w:tc>
          <w:tcPr>
            <w:tcW w:w="2480" w:type="dxa"/>
            <w:vAlign w:val="bottom"/>
            <w:gridSpan w:val="16"/>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1"/>
              </w:rPr>
              <w:t>Form of Stock Option Grant Notice and Form of Stock Option Agreement under 2023</w:t>
            </w:r>
          </w:p>
        </w:tc>
        <w:tc>
          <w:tcPr>
            <w:tcW w:w="32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Equity Incentive Plan.</w:t>
            </w:r>
          </w:p>
        </w:tc>
        <w:tc>
          <w:tcPr>
            <w:tcW w:w="4920" w:type="dxa"/>
            <w:vAlign w:val="bottom"/>
            <w:gridSpan w:val="24"/>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20" w:type="dxa"/>
            <w:vAlign w:val="bottom"/>
            <w:gridSpan w:val="26"/>
          </w:tcPr>
          <w:p>
            <w:pPr>
              <w:spacing w:after="0"/>
              <w:rPr>
                <w:sz w:val="20"/>
                <w:szCs w:val="20"/>
                <w:color w:val="auto"/>
              </w:rPr>
            </w:pPr>
            <w:r>
              <w:rPr>
                <w:rFonts w:ascii="Arial" w:cs="Arial" w:eastAsia="Arial" w:hAnsi="Arial"/>
                <w:sz w:val="18"/>
                <w:szCs w:val="18"/>
                <w:color w:val="0000EE"/>
              </w:rPr>
              <w:t>Form of Restricted Stock Unit Grant Notice and Form of Restricted Stock Unit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8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Agreement under 2023 Equity Incentive Plan.</w:t>
            </w:r>
          </w:p>
        </w:tc>
        <w:tc>
          <w:tcPr>
            <w:tcW w:w="84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723"/>
        </w:trPr>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-2673985</wp:posOffset>
            </wp:positionV>
            <wp:extent cx="285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16"/>
          </w:tcPr>
          <w:p>
            <w:pPr>
              <w:ind w:left="10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91"/>
        </w:trPr>
        <w:tc>
          <w:tcPr>
            <w:tcW w:w="1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Exhibit No.</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4"/>
          </w:tcPr>
          <w:p>
            <w:pPr>
              <w:ind w:left="20"/>
              <w:spacing w:after="0" w:line="191" w:lineRule="exact"/>
              <w:rPr>
                <w:sz w:val="20"/>
                <w:szCs w:val="20"/>
                <w:color w:val="auto"/>
              </w:rPr>
            </w:pPr>
            <w:r>
              <w:rPr>
                <w:rFonts w:ascii="Arial" w:cs="Arial" w:eastAsia="Arial" w:hAnsi="Arial"/>
                <w:sz w:val="18"/>
                <w:szCs w:val="18"/>
                <w:b w:val="1"/>
                <w:bCs w:val="1"/>
                <w:color w:val="auto"/>
                <w:w w:val="96"/>
              </w:rPr>
              <w:t>Schedule/</w:t>
            </w:r>
          </w:p>
        </w:tc>
        <w:tc>
          <w:tcPr>
            <w:tcW w:w="120" w:type="dxa"/>
            <w:vAlign w:val="bottom"/>
          </w:tcPr>
          <w:p>
            <w:pPr>
              <w:spacing w:after="0"/>
              <w:rPr>
                <w:sz w:val="16"/>
                <w:szCs w:val="16"/>
                <w:color w:val="auto"/>
              </w:rPr>
            </w:pPr>
          </w:p>
        </w:tc>
        <w:tc>
          <w:tcPr>
            <w:tcW w:w="540" w:type="dxa"/>
            <w:vAlign w:val="bottom"/>
            <w:gridSpan w:val="4"/>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File</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00" w:type="dxa"/>
            <w:vAlign w:val="bottom"/>
            <w:tcBorders>
              <w:bottom w:val="single" w:sz="8" w:color="auto"/>
            </w:tcBorders>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16"/>
          </w:tcPr>
          <w:p>
            <w:pPr>
              <w:ind w:left="120"/>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19"/>
                <w:szCs w:val="19"/>
                <w:color w:val="auto"/>
              </w:rPr>
            </w:pPr>
          </w:p>
        </w:tc>
        <w:tc>
          <w:tcPr>
            <w:tcW w:w="7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Form</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9"/>
              </w:rPr>
              <w:t>No.</w:t>
            </w:r>
          </w:p>
        </w:tc>
        <w:tc>
          <w:tcPr>
            <w:tcW w:w="100" w:type="dxa"/>
            <w:vAlign w:val="bottom"/>
          </w:tcPr>
          <w:p>
            <w:pPr>
              <w:spacing w:after="0"/>
              <w:rPr>
                <w:sz w:val="19"/>
                <w:szCs w:val="19"/>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391"/>
        </w:trPr>
        <w:tc>
          <w:tcPr>
            <w:tcW w:w="500" w:type="dxa"/>
            <w:vAlign w:val="bottom"/>
            <w:gridSpan w:val="2"/>
          </w:tcPr>
          <w:p>
            <w:pPr>
              <w:spacing w:after="0"/>
              <w:rPr>
                <w:sz w:val="20"/>
                <w:szCs w:val="20"/>
                <w:color w:val="auto"/>
              </w:rPr>
            </w:pPr>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24*</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20" w:type="dxa"/>
            <w:vAlign w:val="bottom"/>
            <w:gridSpan w:val="22"/>
          </w:tcPr>
          <w:p>
            <w:pPr>
              <w:spacing w:after="0"/>
              <w:rPr>
                <w:sz w:val="20"/>
                <w:szCs w:val="20"/>
                <w:color w:val="auto"/>
              </w:rPr>
            </w:pPr>
            <w:r>
              <w:rPr>
                <w:rFonts w:ascii="Arial" w:cs="Arial" w:eastAsia="Arial" w:hAnsi="Arial"/>
                <w:sz w:val="18"/>
                <w:szCs w:val="18"/>
                <w:color w:val="0000EE"/>
              </w:rPr>
              <w:t>TriSalus Life Sciences, Inc. 2023 Employee Stock Purchase Plan.</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gridSpan w:val="2"/>
            <w:vMerge w:val="restart"/>
          </w:tcPr>
          <w:p>
            <w:pPr>
              <w:spacing w:after="0"/>
              <w:rPr>
                <w:sz w:val="20"/>
                <w:szCs w:val="20"/>
                <w:color w:val="auto"/>
              </w:rPr>
            </w:pPr>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25*</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0"/>
              </w:rPr>
              <w:t>Form of Indemnification Agreement by and between the Company and its directors and</w:t>
            </w:r>
          </w:p>
        </w:tc>
        <w:tc>
          <w:tcPr>
            <w:tcW w:w="20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00" w:type="dxa"/>
            <w:vAlign w:val="bottom"/>
            <w:tcBorders>
              <w:bottom w:val="single" w:sz="8" w:color="0000EE"/>
            </w:tcBorders>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520" w:type="dxa"/>
            <w:vAlign w:val="bottom"/>
            <w:gridSpan w:val="22"/>
            <w:vMerge w:val="restart"/>
          </w:tcPr>
          <w:p>
            <w:pPr>
              <w:spacing w:after="0" w:line="196" w:lineRule="exact"/>
              <w:rPr>
                <w:sz w:val="20"/>
                <w:szCs w:val="20"/>
                <w:color w:val="auto"/>
              </w:rPr>
            </w:pPr>
            <w:r>
              <w:rPr>
                <w:rFonts w:ascii="Arial" w:cs="Arial" w:eastAsia="Arial" w:hAnsi="Arial"/>
                <w:sz w:val="18"/>
                <w:szCs w:val="18"/>
                <w:color w:val="0000EE"/>
              </w:rPr>
              <w:t>executive officers.</w:t>
            </w: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520" w:type="dxa"/>
            <w:vAlign w:val="bottom"/>
            <w:gridSpan w:val="22"/>
            <w:vMerge w:val="continue"/>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sz w:val="20"/>
                <w:szCs w:val="20"/>
                <w:color w:val="auto"/>
              </w:rPr>
            </w:pPr>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26*</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20" w:type="dxa"/>
            <w:vAlign w:val="bottom"/>
            <w:gridSpan w:val="22"/>
          </w:tcPr>
          <w:p>
            <w:pPr>
              <w:spacing w:after="0"/>
              <w:rPr>
                <w:sz w:val="20"/>
                <w:szCs w:val="20"/>
                <w:color w:val="auto"/>
              </w:rPr>
            </w:pPr>
            <w:r>
              <w:rPr>
                <w:rFonts w:ascii="Arial" w:cs="Arial" w:eastAsia="Arial" w:hAnsi="Arial"/>
                <w:sz w:val="18"/>
                <w:szCs w:val="18"/>
                <w:color w:val="0000EE"/>
              </w:rPr>
              <w:t>Non-Employee Director Compensation Policy.</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w w:val="82"/>
              </w:rPr>
            </w:pPr>
            <w:hyperlink r:id="rId52">
              <w:r>
                <w:rPr>
                  <w:rFonts w:ascii="Arial" w:cs="Arial" w:eastAsia="Arial" w:hAnsi="Arial"/>
                  <w:sz w:val="18"/>
                  <w:szCs w:val="18"/>
                  <w:color w:val="0000EE"/>
                  <w:w w:val="82"/>
                </w:rPr>
                <w:t>10.</w:t>
              </w:r>
              <w:r>
                <w:rPr>
                  <w:rFonts w:ascii="Arial" w:cs="Arial" w:eastAsia="Arial" w:hAnsi="Arial"/>
                  <w:sz w:val="18"/>
                  <w:szCs w:val="18"/>
                  <w:u w:val="single" w:color="auto"/>
                  <w:color w:val="0000EE"/>
                  <w:w w:val="82"/>
                </w:rPr>
                <w:t>27+</w:t>
              </w:r>
            </w:hyperlink>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40" w:type="dxa"/>
            <w:vAlign w:val="bottom"/>
            <w:gridSpan w:val="18"/>
          </w:tcPr>
          <w:p>
            <w:pPr>
              <w:spacing w:after="0"/>
              <w:rPr>
                <w:rFonts w:ascii="Arial" w:cs="Arial" w:eastAsia="Arial" w:hAnsi="Arial"/>
                <w:sz w:val="18"/>
                <w:szCs w:val="18"/>
                <w:color w:val="0000EE"/>
                <w:w w:val="89"/>
              </w:rPr>
            </w:pPr>
            <w:hyperlink r:id="rId52">
              <w:r>
                <w:rPr>
                  <w:rFonts w:ascii="Arial" w:cs="Arial" w:eastAsia="Arial" w:hAnsi="Arial"/>
                  <w:sz w:val="18"/>
                  <w:szCs w:val="18"/>
                  <w:color w:val="0000EE"/>
                  <w:w w:val="89"/>
                </w:rPr>
                <w:t>Office/Warehouse Lease, dated February 4, 2014 between Colorado Industrial Portfolio</w:t>
              </w:r>
            </w:hyperlink>
          </w:p>
        </w:tc>
        <w:tc>
          <w:tcPr>
            <w:tcW w:w="28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3"/>
          </w:tcPr>
          <w:p>
            <w:pPr>
              <w:jc w:val="center"/>
              <w:spacing w:after="0"/>
              <w:rPr>
                <w:rFonts w:ascii="Arial" w:cs="Arial" w:eastAsia="Arial" w:hAnsi="Arial"/>
                <w:sz w:val="18"/>
                <w:szCs w:val="18"/>
                <w:color w:val="0000EE"/>
                <w:w w:val="88"/>
              </w:rPr>
            </w:pPr>
            <w:hyperlink r:id="rId52">
              <w:r>
                <w:rPr>
                  <w:rFonts w:ascii="Arial" w:cs="Arial" w:eastAsia="Arial" w:hAnsi="Arial"/>
                  <w:sz w:val="18"/>
                  <w:szCs w:val="18"/>
                  <w:color w:val="0000EE"/>
                  <w:w w:val="88"/>
                </w:rPr>
                <w:t>333-</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93"/>
              </w:rPr>
            </w:pPr>
            <w:hyperlink r:id="rId52">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25</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center"/>
              <w:ind w:right="220"/>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July 6, 2023</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40" w:type="dxa"/>
            <w:vAlign w:val="bottom"/>
            <w:gridSpan w:val="18"/>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LLC and Surefire Medical, Inc., as amended.</w:t>
              </w:r>
            </w:hyperlink>
          </w:p>
        </w:tc>
        <w:tc>
          <w:tcPr>
            <w:tcW w:w="28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3"/>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S-4/A</w:t>
              </w:r>
            </w:hyperlink>
          </w:p>
        </w:tc>
        <w:tc>
          <w:tcPr>
            <w:tcW w:w="540" w:type="dxa"/>
            <w:vAlign w:val="bottom"/>
            <w:gridSpan w:val="3"/>
          </w:tcPr>
          <w:p>
            <w:pPr>
              <w:jc w:val="center"/>
              <w:spacing w:after="0" w:line="196" w:lineRule="exact"/>
              <w:rPr>
                <w:rFonts w:ascii="Arial" w:cs="Arial" w:eastAsia="Arial" w:hAnsi="Arial"/>
                <w:sz w:val="18"/>
                <w:szCs w:val="18"/>
                <w:color w:val="0000EE"/>
                <w:w w:val="89"/>
              </w:rPr>
            </w:pPr>
            <w:hyperlink r:id="rId52">
              <w:r>
                <w:rPr>
                  <w:rFonts w:ascii="Arial" w:cs="Arial" w:eastAsia="Arial" w:hAnsi="Arial"/>
                  <w:sz w:val="18"/>
                  <w:szCs w:val="18"/>
                  <w:color w:val="0000EE"/>
                  <w:w w:val="89"/>
                </w:rPr>
                <w:t>269138</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Borders>
              <w:bottom w:val="single" w:sz="8" w:color="0000EE"/>
            </w:tcBorders>
            <w:gridSpan w:val="2"/>
          </w:tcPr>
          <w:p>
            <w:pPr>
              <w:spacing w:after="0"/>
              <w:rPr>
                <w:rFonts w:ascii="Arial" w:cs="Arial" w:eastAsia="Arial" w:hAnsi="Arial"/>
                <w:sz w:val="18"/>
                <w:szCs w:val="18"/>
                <w:color w:val="0000EE"/>
                <w:w w:val="83"/>
              </w:rPr>
            </w:pPr>
            <w:hyperlink r:id="rId53">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28#</w:t>
              </w:r>
            </w:hyperlink>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40" w:type="dxa"/>
            <w:vAlign w:val="bottom"/>
            <w:tcBorders>
              <w:bottom w:val="single" w:sz="8" w:color="0000EE"/>
            </w:tcBorders>
            <w:gridSpan w:val="12"/>
          </w:tcPr>
          <w:p>
            <w:pPr>
              <w:spacing w:after="0"/>
              <w:rPr>
                <w:rFonts w:ascii="Arial" w:cs="Arial" w:eastAsia="Arial" w:hAnsi="Arial"/>
                <w:sz w:val="18"/>
                <w:szCs w:val="18"/>
                <w:color w:val="0000EE"/>
                <w:w w:val="89"/>
              </w:rPr>
            </w:pPr>
            <w:hyperlink r:id="rId53">
              <w:r>
                <w:rPr>
                  <w:rFonts w:ascii="Arial" w:cs="Arial" w:eastAsia="Arial" w:hAnsi="Arial"/>
                  <w:sz w:val="18"/>
                  <w:szCs w:val="18"/>
                  <w:color w:val="0000EE"/>
                  <w:w w:val="89"/>
                </w:rPr>
                <w:t>Asset Purchase Agreement, dated as of July 31, 2020, by and between Dynavax</w:t>
              </w:r>
            </w:hyperlink>
          </w:p>
        </w:tc>
        <w:tc>
          <w:tcPr>
            <w:tcW w:w="780" w:type="dxa"/>
            <w:vAlign w:val="bottom"/>
            <w:gridSpan w:val="10"/>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3"/>
          </w:tcPr>
          <w:p>
            <w:pPr>
              <w:jc w:val="center"/>
              <w:spacing w:after="0"/>
              <w:rPr>
                <w:rFonts w:ascii="Arial" w:cs="Arial" w:eastAsia="Arial" w:hAnsi="Arial"/>
                <w:sz w:val="18"/>
                <w:szCs w:val="18"/>
                <w:color w:val="0000EE"/>
                <w:w w:val="88"/>
              </w:rPr>
            </w:pPr>
            <w:hyperlink r:id="rId53">
              <w:r>
                <w:rPr>
                  <w:rFonts w:ascii="Arial" w:cs="Arial" w:eastAsia="Arial" w:hAnsi="Arial"/>
                  <w:sz w:val="18"/>
                  <w:szCs w:val="18"/>
                  <w:color w:val="0000EE"/>
                  <w:w w:val="88"/>
                </w:rPr>
                <w:t>333-</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bottom w:val="single" w:sz="8" w:color="0000EE"/>
            </w:tcBorders>
          </w:tcPr>
          <w:p>
            <w:pPr>
              <w:jc w:val="center"/>
              <w:spacing w:after="0"/>
              <w:rPr>
                <w:rFonts w:ascii="Arial" w:cs="Arial" w:eastAsia="Arial" w:hAnsi="Arial"/>
                <w:sz w:val="18"/>
                <w:szCs w:val="18"/>
                <w:color w:val="0000EE"/>
                <w:w w:val="93"/>
              </w:rPr>
            </w:pPr>
            <w:hyperlink r:id="rId53">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13</w:t>
              </w:r>
            </w:hyperlink>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r:id="rId53">
              <w:r>
                <w:rPr>
                  <w:rFonts w:ascii="Arial" w:cs="Arial" w:eastAsia="Arial" w:hAnsi="Arial"/>
                  <w:sz w:val="18"/>
                  <w:szCs w:val="18"/>
                  <w:color w:val="0000EE"/>
                  <w:w w:val="95"/>
                </w:rPr>
                <w:t>April 21, 2023</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520" w:type="dxa"/>
            <w:vAlign w:val="bottom"/>
            <w:gridSpan w:val="22"/>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Technologies Corporation and Surefire Medical Inc. d/b/a TriSalus Life Sciences.</w:t>
              </w:r>
            </w:hyperlink>
          </w:p>
        </w:tc>
        <w:tc>
          <w:tcPr>
            <w:tcW w:w="220" w:type="dxa"/>
            <w:vAlign w:val="bottom"/>
          </w:tcPr>
          <w:p>
            <w:pPr>
              <w:spacing w:after="0"/>
              <w:rPr>
                <w:sz w:val="17"/>
                <w:szCs w:val="17"/>
                <w:color w:val="auto"/>
              </w:rPr>
            </w:pPr>
          </w:p>
        </w:tc>
        <w:tc>
          <w:tcPr>
            <w:tcW w:w="640" w:type="dxa"/>
            <w:vAlign w:val="bottom"/>
            <w:gridSpan w:val="3"/>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S-4/A</w:t>
              </w:r>
            </w:hyperlink>
          </w:p>
        </w:tc>
        <w:tc>
          <w:tcPr>
            <w:tcW w:w="540" w:type="dxa"/>
            <w:vAlign w:val="bottom"/>
            <w:gridSpan w:val="3"/>
          </w:tcPr>
          <w:p>
            <w:pPr>
              <w:jc w:val="center"/>
              <w:spacing w:after="0" w:line="196" w:lineRule="exact"/>
              <w:rPr>
                <w:rFonts w:ascii="Arial" w:cs="Arial" w:eastAsia="Arial" w:hAnsi="Arial"/>
                <w:sz w:val="18"/>
                <w:szCs w:val="18"/>
                <w:color w:val="0000EE"/>
                <w:w w:val="89"/>
              </w:rPr>
            </w:pPr>
            <w:hyperlink r:id="rId53">
              <w:r>
                <w:rPr>
                  <w:rFonts w:ascii="Arial" w:cs="Arial" w:eastAsia="Arial" w:hAnsi="Arial"/>
                  <w:sz w:val="18"/>
                  <w:szCs w:val="18"/>
                  <w:color w:val="0000EE"/>
                  <w:w w:val="89"/>
                </w:rPr>
                <w:t>269138</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Borders>
              <w:bottom w:val="single" w:sz="8" w:color="0000EE"/>
            </w:tcBorders>
            <w:gridSpan w:val="2"/>
          </w:tcPr>
          <w:p>
            <w:pPr>
              <w:spacing w:after="0"/>
              <w:rPr>
                <w:rFonts w:ascii="Arial" w:cs="Arial" w:eastAsia="Arial" w:hAnsi="Arial"/>
                <w:sz w:val="18"/>
                <w:szCs w:val="18"/>
                <w:color w:val="0000EE"/>
                <w:w w:val="83"/>
              </w:rPr>
            </w:pPr>
            <w:hyperlink r:id="rId54">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29#</w:t>
              </w:r>
            </w:hyperlink>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40" w:type="dxa"/>
            <w:vAlign w:val="bottom"/>
            <w:tcBorders>
              <w:bottom w:val="single" w:sz="8" w:color="0000EE"/>
            </w:tcBorders>
            <w:gridSpan w:val="14"/>
          </w:tcPr>
          <w:p>
            <w:pPr>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Strategic Collaboration Agreement, dated March 2, 2021, by and between Surefire</w:t>
              </w:r>
            </w:hyperlink>
          </w:p>
        </w:tc>
        <w:tc>
          <w:tcPr>
            <w:tcW w:w="58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3"/>
          </w:tcPr>
          <w:p>
            <w:pPr>
              <w:jc w:val="center"/>
              <w:spacing w:after="0"/>
              <w:rPr>
                <w:rFonts w:ascii="Arial" w:cs="Arial" w:eastAsia="Arial" w:hAnsi="Arial"/>
                <w:sz w:val="18"/>
                <w:szCs w:val="18"/>
                <w:color w:val="0000EE"/>
                <w:w w:val="88"/>
              </w:rPr>
            </w:pPr>
            <w:hyperlink r:id="rId54">
              <w:r>
                <w:rPr>
                  <w:rFonts w:ascii="Arial" w:cs="Arial" w:eastAsia="Arial" w:hAnsi="Arial"/>
                  <w:sz w:val="18"/>
                  <w:szCs w:val="18"/>
                  <w:color w:val="0000EE"/>
                  <w:w w:val="88"/>
                </w:rPr>
                <w:t>333-</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bottom w:val="single" w:sz="8" w:color="0000EE"/>
            </w:tcBorders>
          </w:tcPr>
          <w:p>
            <w:pPr>
              <w:jc w:val="center"/>
              <w:spacing w:after="0"/>
              <w:rPr>
                <w:rFonts w:ascii="Arial" w:cs="Arial" w:eastAsia="Arial" w:hAnsi="Arial"/>
                <w:sz w:val="18"/>
                <w:szCs w:val="18"/>
                <w:color w:val="0000EE"/>
                <w:w w:val="93"/>
              </w:rPr>
            </w:pPr>
            <w:hyperlink r:id="rId54">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20</w:t>
              </w:r>
            </w:hyperlink>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r:id="rId54">
              <w:r>
                <w:rPr>
                  <w:rFonts w:ascii="Arial" w:cs="Arial" w:eastAsia="Arial" w:hAnsi="Arial"/>
                  <w:sz w:val="18"/>
                  <w:szCs w:val="18"/>
                  <w:color w:val="0000EE"/>
                  <w:w w:val="95"/>
                </w:rPr>
                <w:t>April 21, 2023</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Medical Inc. d/b/a TriSalus Life Sciences and The University of Texas M.D. Anderson</w:t>
              </w:r>
            </w:hyperlink>
          </w:p>
        </w:tc>
        <w:tc>
          <w:tcPr>
            <w:tcW w:w="28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89"/>
              </w:rPr>
            </w:pPr>
            <w:hyperlink r:id="rId54">
              <w:r>
                <w:rPr>
                  <w:rFonts w:ascii="Arial" w:cs="Arial" w:eastAsia="Arial" w:hAnsi="Arial"/>
                  <w:sz w:val="18"/>
                  <w:szCs w:val="18"/>
                  <w:color w:val="0000EE"/>
                  <w:w w:val="89"/>
                </w:rPr>
                <w:t>269138</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520" w:type="dxa"/>
            <w:vAlign w:val="bottom"/>
            <w:gridSpan w:val="22"/>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Cancer Center.</w:t>
              </w:r>
            </w:hyperlink>
          </w:p>
        </w:tc>
        <w:tc>
          <w:tcPr>
            <w:tcW w:w="220" w:type="dxa"/>
            <w:vAlign w:val="bottom"/>
          </w:tcPr>
          <w:p>
            <w:pPr>
              <w:spacing w:after="0"/>
              <w:rPr>
                <w:sz w:val="17"/>
                <w:szCs w:val="17"/>
                <w:color w:val="auto"/>
              </w:rPr>
            </w:pPr>
          </w:p>
        </w:tc>
        <w:tc>
          <w:tcPr>
            <w:tcW w:w="640" w:type="dxa"/>
            <w:vAlign w:val="bottom"/>
            <w:gridSpan w:val="3"/>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S-4/A</w:t>
              </w:r>
            </w:hyperlink>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w w:val="83"/>
              </w:rPr>
            </w:pPr>
            <w:hyperlink r:id="rId55">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30#</w:t>
              </w:r>
            </w:hyperlink>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80" w:type="dxa"/>
            <w:vAlign w:val="bottom"/>
            <w:gridSpan w:val="15"/>
          </w:tcPr>
          <w:p>
            <w:pPr>
              <w:spacing w:after="0"/>
              <w:rPr>
                <w:rFonts w:ascii="Arial" w:cs="Arial" w:eastAsia="Arial" w:hAnsi="Arial"/>
                <w:sz w:val="18"/>
                <w:szCs w:val="18"/>
                <w:color w:val="0000EE"/>
                <w:w w:val="90"/>
              </w:rPr>
            </w:pPr>
            <w:hyperlink r:id="rId55">
              <w:r>
                <w:rPr>
                  <w:rFonts w:ascii="Arial" w:cs="Arial" w:eastAsia="Arial" w:hAnsi="Arial"/>
                  <w:sz w:val="18"/>
                  <w:szCs w:val="18"/>
                  <w:color w:val="0000EE"/>
                  <w:w w:val="90"/>
                </w:rPr>
                <w:t>Distribution and Collaboration Agreement, dated May 7, 2019, between Hangzhou</w:t>
              </w:r>
            </w:hyperlink>
          </w:p>
        </w:tc>
        <w:tc>
          <w:tcPr>
            <w:tcW w:w="540" w:type="dxa"/>
            <w:vAlign w:val="bottom"/>
            <w:gridSpan w:val="7"/>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3"/>
          </w:tcPr>
          <w:p>
            <w:pPr>
              <w:jc w:val="center"/>
              <w:spacing w:after="0"/>
              <w:rPr>
                <w:rFonts w:ascii="Arial" w:cs="Arial" w:eastAsia="Arial" w:hAnsi="Arial"/>
                <w:sz w:val="18"/>
                <w:szCs w:val="18"/>
                <w:color w:val="0000EE"/>
                <w:w w:val="88"/>
              </w:rPr>
            </w:pPr>
            <w:hyperlink r:id="rId55">
              <w:r>
                <w:rPr>
                  <w:rFonts w:ascii="Arial" w:cs="Arial" w:eastAsia="Arial" w:hAnsi="Arial"/>
                  <w:sz w:val="18"/>
                  <w:szCs w:val="18"/>
                  <w:color w:val="0000EE"/>
                  <w:w w:val="88"/>
                </w:rPr>
                <w:t>333-</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93"/>
              </w:rPr>
            </w:pPr>
            <w:hyperlink r:id="rId55">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24</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center"/>
              <w:ind w:right="200"/>
              <w:spacing w:after="0"/>
              <w:rPr>
                <w:rFonts w:ascii="Arial" w:cs="Arial" w:eastAsia="Arial" w:hAnsi="Arial"/>
                <w:sz w:val="18"/>
                <w:szCs w:val="18"/>
                <w:color w:val="0000EE"/>
                <w:w w:val="86"/>
              </w:rPr>
            </w:pPr>
            <w:hyperlink r:id="rId55">
              <w:r>
                <w:rPr>
                  <w:rFonts w:ascii="Arial" w:cs="Arial" w:eastAsia="Arial" w:hAnsi="Arial"/>
                  <w:sz w:val="18"/>
                  <w:szCs w:val="18"/>
                  <w:color w:val="0000EE"/>
                  <w:w w:val="86"/>
                </w:rPr>
                <w:t>June 8, 2023</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20" w:type="dxa"/>
            <w:vAlign w:val="bottom"/>
            <w:gridSpan w:val="19"/>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Ruizhen Therapeutics Co., Ltd. and Surefire Medical, Inc. d/b/a TriSalus Life Sciences.</w:t>
              </w:r>
            </w:hyperlink>
          </w:p>
        </w:tc>
        <w:tc>
          <w:tcPr>
            <w:tcW w:w="2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3"/>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S-4/A</w:t>
              </w:r>
            </w:hyperlink>
          </w:p>
        </w:tc>
        <w:tc>
          <w:tcPr>
            <w:tcW w:w="540" w:type="dxa"/>
            <w:vAlign w:val="bottom"/>
            <w:gridSpan w:val="3"/>
          </w:tcPr>
          <w:p>
            <w:pPr>
              <w:jc w:val="center"/>
              <w:spacing w:after="0" w:line="196" w:lineRule="exact"/>
              <w:rPr>
                <w:rFonts w:ascii="Arial" w:cs="Arial" w:eastAsia="Arial" w:hAnsi="Arial"/>
                <w:sz w:val="18"/>
                <w:szCs w:val="18"/>
                <w:color w:val="0000EE"/>
                <w:w w:val="89"/>
              </w:rPr>
            </w:pPr>
            <w:hyperlink r:id="rId55">
              <w:r>
                <w:rPr>
                  <w:rFonts w:ascii="Arial" w:cs="Arial" w:eastAsia="Arial" w:hAnsi="Arial"/>
                  <w:sz w:val="18"/>
                  <w:szCs w:val="18"/>
                  <w:color w:val="0000EE"/>
                  <w:w w:val="89"/>
                </w:rPr>
                <w:t>269138</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320" w:type="dxa"/>
            <w:vAlign w:val="bottom"/>
          </w:tcPr>
          <w:p>
            <w:pPr>
              <w:spacing w:after="0"/>
              <w:rPr>
                <w:sz w:val="20"/>
                <w:szCs w:val="20"/>
                <w:color w:val="auto"/>
              </w:rPr>
            </w:pPr>
            <w:r>
              <w:rPr>
                <w:rFonts w:ascii="Arial" w:cs="Arial" w:eastAsia="Arial" w:hAnsi="Arial"/>
                <w:sz w:val="18"/>
                <w:szCs w:val="18"/>
                <w:color w:val="0000EE"/>
                <w:w w:val="85"/>
              </w:rPr>
              <w:t>16.</w:t>
            </w:r>
            <w:r>
              <w:rPr>
                <w:rFonts w:ascii="Arial" w:cs="Arial" w:eastAsia="Arial" w:hAnsi="Arial"/>
                <w:sz w:val="18"/>
                <w:szCs w:val="18"/>
                <w:u w:val="single" w:color="auto"/>
                <w:color w:val="0000EE"/>
                <w:w w:val="85"/>
              </w:rPr>
              <w:t>1</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2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rPr>
              <w:t>Letter from WithumSmith+Brown, PC to the SEC.</w:t>
            </w:r>
          </w:p>
        </w:tc>
        <w:tc>
          <w:tcPr>
            <w:tcW w:w="20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w w:val="92"/>
              </w:rPr>
              <w:t>List of Subsidiaries of TriSalus Life Sciences, Inc.</w:t>
            </w:r>
          </w:p>
        </w:tc>
        <w:tc>
          <w:tcPr>
            <w:tcW w:w="2880" w:type="dxa"/>
            <w:vAlign w:val="bottom"/>
            <w:gridSpan w:val="13"/>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20" w:type="dxa"/>
            <w:vAlign w:val="bottom"/>
            <w:gridSpan w:val="22"/>
          </w:tcPr>
          <w:p>
            <w:pPr>
              <w:spacing w:after="0"/>
              <w:rPr>
                <w:sz w:val="20"/>
                <w:szCs w:val="20"/>
                <w:color w:val="auto"/>
              </w:rPr>
            </w:pPr>
            <w:r>
              <w:rPr>
                <w:rFonts w:ascii="Arial" w:cs="Arial" w:eastAsia="Arial" w:hAnsi="Arial"/>
                <w:sz w:val="18"/>
                <w:szCs w:val="18"/>
                <w:color w:val="0000EE"/>
                <w:w w:val="93"/>
              </w:rPr>
              <w:t>Unaudited Condensed Consolidated Financial Statements of Legacy TriSalus as of and</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980" w:type="dxa"/>
            <w:vAlign w:val="bottom"/>
            <w:gridSpan w:val="6"/>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8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88"/>
              </w:rPr>
              <w:t>for the three and six months ended June 30, 2023 and for the three and six months ended</w:t>
            </w:r>
          </w:p>
        </w:tc>
        <w:tc>
          <w:tcPr>
            <w:tcW w:w="1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520" w:type="dxa"/>
            <w:vAlign w:val="bottom"/>
            <w:gridSpan w:val="22"/>
          </w:tcPr>
          <w:p>
            <w:pPr>
              <w:spacing w:after="0" w:line="196" w:lineRule="exact"/>
              <w:rPr>
                <w:sz w:val="20"/>
                <w:szCs w:val="20"/>
                <w:color w:val="auto"/>
              </w:rPr>
            </w:pPr>
            <w:r>
              <w:rPr>
                <w:rFonts w:ascii="Arial" w:cs="Arial" w:eastAsia="Arial" w:hAnsi="Arial"/>
                <w:sz w:val="18"/>
                <w:szCs w:val="18"/>
                <w:color w:val="0000EE"/>
              </w:rPr>
              <w:t>June 30, 2022.</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Management’s Discussion and Analysis of Financial Condition and Results of</w:t>
            </w:r>
          </w:p>
        </w:tc>
        <w:tc>
          <w:tcPr>
            <w:tcW w:w="900" w:type="dxa"/>
            <w:vAlign w:val="bottom"/>
            <w:gridSpan w:val="11"/>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0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9"/>
              </w:rPr>
              <w:t>Operations of Legacy TriSalus for the three and six months ended June 30, 2023 and</w:t>
            </w:r>
          </w:p>
        </w:tc>
        <w:tc>
          <w:tcPr>
            <w:tcW w:w="42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gridSpan w:val="2"/>
          </w:tcPr>
          <w:p>
            <w:pPr>
              <w:ind w:left="200"/>
              <w:spacing w:after="0" w:line="196" w:lineRule="exact"/>
              <w:rPr>
                <w:sz w:val="20"/>
                <w:szCs w:val="20"/>
                <w:color w:val="auto"/>
              </w:rPr>
            </w:pPr>
            <w:r>
              <w:rPr>
                <w:rFonts w:ascii="Arial" w:cs="Arial" w:eastAsia="Arial" w:hAnsi="Arial"/>
                <w:sz w:val="18"/>
                <w:szCs w:val="18"/>
                <w:color w:val="0000EE"/>
                <w:w w:val="84"/>
              </w:rPr>
              <w:t>2022.</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3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3</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1"/>
              </w:rPr>
              <w:t>Unaudited Pro Forma Condensed Combined Financial information of TriSalus Life</w:t>
            </w:r>
          </w:p>
        </w:tc>
        <w:tc>
          <w:tcPr>
            <w:tcW w:w="52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8"/>
              </w:rPr>
              <w:t>Sciences, Inc. as of and for the six months ended June 30, 2023 and the year ended</w:t>
            </w:r>
          </w:p>
        </w:tc>
        <w:tc>
          <w:tcPr>
            <w:tcW w:w="54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8"/>
              </w:rPr>
              <w:t>December 31, 2022.</w:t>
            </w:r>
          </w:p>
        </w:tc>
        <w:tc>
          <w:tcPr>
            <w:tcW w:w="5060" w:type="dxa"/>
            <w:vAlign w:val="bottom"/>
            <w:gridSpan w:val="18"/>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4</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6"/>
              </w:rPr>
              <w:t>Press release dated August 10, 2023.</w:t>
            </w:r>
          </w:p>
        </w:tc>
        <w:tc>
          <w:tcPr>
            <w:tcW w:w="3880" w:type="dxa"/>
            <w:vAlign w:val="bottom"/>
            <w:gridSpan w:val="17"/>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20" w:type="dxa"/>
            <w:vAlign w:val="bottom"/>
            <w:gridSpan w:val="2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460" w:right="480" w:hanging="452"/>
        <w:spacing w:after="0" w:line="25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schedules and exhibits to this agreement have been omitted pursuant to Item 601(a)(5) of Regulation S-K. A copy of any omitted schedule and/or exhibit will be furnished to the SEC upon request.</w:t>
      </w:r>
    </w:p>
    <w:p>
      <w:pPr>
        <w:spacing w:after="0" w:line="1" w:lineRule="exact"/>
        <w:rPr>
          <w:sz w:val="20"/>
          <w:szCs w:val="20"/>
          <w:color w:val="auto"/>
        </w:rPr>
      </w:pPr>
    </w:p>
    <w:p>
      <w:pPr>
        <w:ind w:left="460" w:right="1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in accordance with Regulation S-K Item 601(b)(10)(iv) because they are not material and are the type of information that the Registrant treats as private or confidential. The Registrant agrees to furnish supplementally an unredacted copy of the Exhibit, or any section thereof, to the SEC upon request</w:t>
      </w:r>
    </w:p>
    <w:p>
      <w:pPr>
        <w:spacing w:after="0" w:line="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16,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TRISALUS LIFE SCIENCES,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Mary Szela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Mary Szela</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MEDTECH ACQUISITION CORPORATION</w:t>
      </w:r>
    </w:p>
    <w:p>
      <w:pPr>
        <w:spacing w:after="0" w:line="21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MedTech Acquisition Corporation, a corporation organized and existing under and by virtue of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DOES HEREBY CERTIFY AS FOLLOWS:</w:t>
      </w:r>
    </w:p>
    <w:p>
      <w:pPr>
        <w:spacing w:after="0" w:line="170" w:lineRule="exact"/>
        <w:rPr>
          <w:sz w:val="20"/>
          <w:szCs w:val="20"/>
          <w:color w:val="auto"/>
        </w:rPr>
      </w:pPr>
    </w:p>
    <w:p>
      <w:pPr>
        <w:ind w:right="680" w:firstLine="368"/>
        <w:spacing w:after="0" w:line="263" w:lineRule="auto"/>
        <w:tabs>
          <w:tab w:leader="none" w:pos="6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of the Corporation is “MedTech Acquisition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The original certificate of incorporation of the Corporation was filed with the Secretary of State of the State of Delaware on September 11, 2020, and was most recently amended and restated on December 17, 2020 (the “</w:t>
      </w:r>
      <w:r>
        <w:rPr>
          <w:rFonts w:ascii="Arial" w:cs="Arial" w:eastAsia="Arial" w:hAnsi="Arial"/>
          <w:sz w:val="18"/>
          <w:szCs w:val="18"/>
          <w:b w:val="1"/>
          <w:bCs w:val="1"/>
          <w:i w:val="1"/>
          <w:iCs w:val="1"/>
          <w:color w:val="auto"/>
        </w:rPr>
        <w:t>Existing Certificate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0" w:firstLine="368"/>
        <w:spacing w:after="0" w:line="342" w:lineRule="auto"/>
        <w:tabs>
          <w:tab w:leader="none" w:pos="63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Second Amended and Restated Certificate of Incorporation (the “</w:t>
      </w:r>
      <w:r>
        <w:rPr>
          <w:rFonts w:ascii="Arial" w:cs="Arial" w:eastAsia="Arial" w:hAnsi="Arial"/>
          <w:sz w:val="16"/>
          <w:szCs w:val="16"/>
          <w:b w:val="1"/>
          <w:bCs w:val="1"/>
          <w:i w:val="1"/>
          <w:iCs w:val="1"/>
          <w:color w:val="auto"/>
        </w:rPr>
        <w:t>Restated Certificate</w:t>
      </w:r>
      <w:r>
        <w:rPr>
          <w:rFonts w:ascii="Arial" w:cs="Arial" w:eastAsia="Arial" w:hAnsi="Arial"/>
          <w:sz w:val="16"/>
          <w:szCs w:val="16"/>
          <w:color w:val="auto"/>
        </w:rPr>
        <w:t>”), which both restates and amends the provisions of the Existing Certificate, was duly adopted in accordance with the provisions of Sections 242 and 245 of the DGCL, as amended from time to time.</w:t>
      </w:r>
    </w:p>
    <w:p>
      <w:pPr>
        <w:spacing w:after="0" w:line="123" w:lineRule="exact"/>
        <w:rPr>
          <w:rFonts w:ascii="Arial" w:cs="Arial" w:eastAsia="Arial" w:hAnsi="Arial"/>
          <w:sz w:val="16"/>
          <w:szCs w:val="16"/>
          <w:color w:val="auto"/>
        </w:rPr>
      </w:pPr>
    </w:p>
    <w:p>
      <w:pPr>
        <w:ind w:left="640" w:hanging="27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Restated Certificate shall become effective on the date of filing with the Secretary of State of Delaware.</w:t>
      </w:r>
    </w:p>
    <w:p>
      <w:pPr>
        <w:spacing w:after="0" w:line="225" w:lineRule="exact"/>
        <w:rPr>
          <w:rFonts w:ascii="Arial" w:cs="Arial" w:eastAsia="Arial" w:hAnsi="Arial"/>
          <w:sz w:val="18"/>
          <w:szCs w:val="18"/>
          <w:color w:val="auto"/>
        </w:rPr>
      </w:pPr>
    </w:p>
    <w:p>
      <w:pPr>
        <w:ind w:left="640" w:hanging="272"/>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Pursuant to Sections 242 and 245 of the DGCL, the text of the Existing Certificate is hereby restated and amended in its entirety to read as follows:</w:t>
      </w:r>
    </w:p>
    <w:p>
      <w:pPr>
        <w:spacing w:after="0" w:line="244" w:lineRule="exact"/>
        <w:rPr>
          <w:rFonts w:ascii="Arial" w:cs="Arial" w:eastAsia="Arial" w:hAnsi="Arial"/>
          <w:sz w:val="16"/>
          <w:szCs w:val="16"/>
          <w:color w:val="auto"/>
        </w:rPr>
      </w:pPr>
    </w:p>
    <w:p>
      <w:pPr>
        <w:ind w:left="5300"/>
        <w:spacing w:after="0"/>
        <w:rPr>
          <w:rFonts w:ascii="Arial" w:cs="Arial" w:eastAsia="Arial" w:hAnsi="Arial"/>
          <w:sz w:val="16"/>
          <w:szCs w:val="16"/>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of this Corporation is TriSalus Life Sciences,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Registered Agent</w:t>
      </w:r>
    </w:p>
    <w:p>
      <w:pPr>
        <w:spacing w:after="0" w:line="229" w:lineRule="exact"/>
        <w:rPr>
          <w:sz w:val="20"/>
          <w:szCs w:val="20"/>
          <w:color w:val="auto"/>
        </w:rPr>
      </w:pPr>
    </w:p>
    <w:p>
      <w:pPr>
        <w:ind w:right="160" w:firstLine="360"/>
        <w:spacing w:after="0" w:line="342" w:lineRule="auto"/>
        <w:rPr>
          <w:sz w:val="20"/>
          <w:szCs w:val="20"/>
          <w:color w:val="auto"/>
        </w:rPr>
      </w:pPr>
      <w:r>
        <w:rPr>
          <w:rFonts w:ascii="Arial" w:cs="Arial" w:eastAsia="Arial" w:hAnsi="Arial"/>
          <w:sz w:val="16"/>
          <w:szCs w:val="16"/>
          <w:color w:val="auto"/>
        </w:rPr>
        <w:t>The address of the registered office of the Corporation in the State of Delaware is 251 Little Falls Drive, City of Wilmington, County of New Castle, Zip Code 19808, and the name of the registered agent of the Corporation in the State of Delaware at such address is Corporation Service Company.</w:t>
      </w:r>
    </w:p>
    <w:p>
      <w:pPr>
        <w:spacing w:after="0" w:line="12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DGCL.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100" w:firstLine="368"/>
        <w:spacing w:after="0" w:line="311" w:lineRule="auto"/>
        <w:tabs>
          <w:tab w:leader="none" w:pos="67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The Corporation is authorized to issue two classes of stock to be designated, respectively, “Common Stock” and “Preferred Stock.” The total number of shares which the Corporation is authorized to issue is 410,000,000 shares. 400,000,000 shares shall be common stock of the Corporation, par value $0.0001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10,000,000 shares shall be preferred stock of the Corporation, par value $0.0001 (the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ind w:firstLine="368"/>
        <w:spacing w:after="0" w:line="253"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Effective immediately upon the filing and effectiveness of this Restated Certificate with the Office of the Secretary of State of the State of Delaware (the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each one share of the Corporation’s Class A Common Stock, par value $0.0001 per share (the “</w:t>
      </w:r>
      <w:r>
        <w:rPr>
          <w:rFonts w:ascii="Arial" w:cs="Arial" w:eastAsia="Arial" w:hAnsi="Arial"/>
          <w:sz w:val="18"/>
          <w:szCs w:val="18"/>
          <w:b w:val="1"/>
          <w:bCs w:val="1"/>
          <w:i w:val="1"/>
          <w:iCs w:val="1"/>
          <w:color w:val="auto"/>
        </w:rPr>
        <w:t>Class A 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and each one share of the Corporation’s Class B Common Stock, par value $0.0001 per share (the “</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that was issued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immediately prior to the Effective Time shall automatically be reclassified, redesignated and changed into one validly issued, fully paid and non-assessable share of Common Stock without any further action by the Corporation or any stockholder thereof. Each certificate that immediately prior to the Effective Time represented shares of Class A Common Stock or Class B Common Stock (each, a “</w:t>
      </w:r>
      <w:r>
        <w:rPr>
          <w:rFonts w:ascii="Arial" w:cs="Arial" w:eastAsia="Arial" w:hAnsi="Arial"/>
          <w:sz w:val="18"/>
          <w:szCs w:val="18"/>
          <w:b w:val="1"/>
          <w:bCs w:val="1"/>
          <w:i w:val="1"/>
          <w:iCs w:val="1"/>
          <w:color w:val="auto"/>
        </w:rPr>
        <w:t>Prior Certificate</w:t>
      </w:r>
      <w:r>
        <w:rPr>
          <w:rFonts w:ascii="Arial" w:cs="Arial" w:eastAsia="Arial" w:hAnsi="Arial"/>
          <w:sz w:val="18"/>
          <w:szCs w:val="18"/>
          <w:color w:val="auto"/>
        </w:rPr>
        <w:t>”) shall, until surrendered to the Corporation in exchange for a certificate representing the same number of shares of Common Stock, automatically represent that number of shares of Common Stock into which the shares of Class A Common Stock or Class B Common Stock represented by the Prior Certificate shall have been reclassified and redesignated.</w:t>
      </w:r>
    </w:p>
    <w:p>
      <w:pPr>
        <w:spacing w:after="0" w:line="196" w:lineRule="exact"/>
        <w:rPr>
          <w:rFonts w:ascii="Arial" w:cs="Arial" w:eastAsia="Arial" w:hAnsi="Arial"/>
          <w:sz w:val="18"/>
          <w:szCs w:val="18"/>
          <w:b w:val="1"/>
          <w:bCs w:val="1"/>
          <w:color w:val="auto"/>
        </w:rPr>
      </w:pPr>
    </w:p>
    <w:p>
      <w:pPr>
        <w:ind w:right="60" w:firstLine="368"/>
        <w:spacing w:after="0" w:line="275" w:lineRule="auto"/>
        <w:tabs>
          <w:tab w:leader="none" w:pos="67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The Preferred Stock may be issued from time to time in one or more series. The Board of Directors of the Corporation (the “</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is hereby expressly authorized to provide for the issue of all or any of the remaining shares of the Preferred Stock, in one or more series, and to fix the number of shares of such series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and filed in accordance with the DGCL.</w:t>
      </w:r>
    </w:p>
    <w:p>
      <w:pPr>
        <w:spacing w:after="0" w:line="176" w:lineRule="exact"/>
        <w:rPr>
          <w:rFonts w:ascii="Arial" w:cs="Arial" w:eastAsia="Arial" w:hAnsi="Arial"/>
          <w:sz w:val="17"/>
          <w:szCs w:val="17"/>
          <w:b w:val="1"/>
          <w:bCs w:val="1"/>
          <w:color w:val="auto"/>
        </w:rPr>
      </w:pPr>
    </w:p>
    <w:p>
      <w:pPr>
        <w:ind w:right="100" w:firstLine="368"/>
        <w:spacing w:after="0" w:line="273" w:lineRule="auto"/>
        <w:tabs>
          <w:tab w:leader="none" w:pos="67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 xml:space="preserve">Each outstanding share of Common Stock shall entitle the holder thereof to one vote on each matter properly submitted to the stockholders of the Corporation for their vote;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as otherwise required by law or as otherwise provided herein, holders of Common Stock shall not be entitled to vote on any amendment to this Restated Certificate (including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other such series of Preferred Stock, to vote thereon pursuant to law or this Restated Certificate (including any certificate of designation filed with respect to any series of Preferred Stock).</w:t>
      </w:r>
    </w:p>
    <w:p>
      <w:pPr>
        <w:spacing w:after="0" w:line="177" w:lineRule="exact"/>
        <w:rPr>
          <w:rFonts w:ascii="Arial" w:cs="Arial" w:eastAsia="Arial" w:hAnsi="Arial"/>
          <w:sz w:val="17"/>
          <w:szCs w:val="17"/>
          <w:b w:val="1"/>
          <w:bCs w:val="1"/>
          <w:color w:val="auto"/>
        </w:rPr>
      </w:pPr>
    </w:p>
    <w:p>
      <w:pPr>
        <w:ind w:right="40" w:firstLine="368"/>
        <w:spacing w:after="0" w:line="255"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number of authorized shares of Common Stock and/or Preferred Stock, or any series thereof, may be increased or decreased (but not below the number of shares thereof then outstanding plus, if applicable, the number of shares of Common Stock or Preferred Stock or such series, as applicable, reserved for issuance) by the affirmative vote of the holders of a majority of the voting power of all of the outstanding shares of stock of the Corporation entitled to vote thereon, irrespective of the provisions of Section 242(b)(2) of the DGCL (or any successor provision thereto) and without a separate vote of the holders of the Preferred Stock, or of any series thereof, unless a vote of any such holders is required pursuant to the terms of any certificate of designation filed with respect to any series of Preferred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right="360" w:firstLine="360"/>
        <w:spacing w:after="0" w:line="308" w:lineRule="auto"/>
        <w:rPr>
          <w:sz w:val="20"/>
          <w:szCs w:val="20"/>
          <w:color w:val="auto"/>
        </w:rPr>
      </w:pPr>
      <w:r>
        <w:rPr>
          <w:rFonts w:ascii="Arial" w:cs="Arial" w:eastAsia="Arial" w:hAnsi="Arial"/>
          <w:sz w:val="17"/>
          <w:szCs w:val="17"/>
          <w:color w:val="auto"/>
        </w:rPr>
        <w:t>For the management of the business and for the conduct of the affairs of the Corporation, and in further definition, limitation and regulation of the powers of the Corporation, of its directors and stockholders, or any class thereof, as the case may be, it is further provided that: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MANAGEMENT OF THE BUSINESS.</w:t>
      </w:r>
    </w:p>
    <w:p>
      <w:pPr>
        <w:spacing w:after="0" w:line="229"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Except as otherwise provided by the DGCL or this Restated Certificate, the management of the business and the conduct of the affairs of the Corporation shall be vested in its Board of Directors. Subject to any rights of the holders of shares of any series of Preferred Stock then outstanding to elect additional directors under specified circumstances, the number of directors which shall constitute the Board of Directors shall be fixed exclusively by resolutions adopted by a majority of the authorized number of directors constituting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B. BOARD OF DIRECTORS</w:t>
      </w:r>
    </w:p>
    <w:p>
      <w:pPr>
        <w:spacing w:after="0" w:line="229"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Subject to the rights of the holders of any series of Preferred Stock to elect additional directors under specified circumstances, the directors shall be divided into three classes designated as Class I, Class II and Class III, respectively. Each class will consist, as nearly as possible, of a number of directors equal to one-third of the number of members of the Board of Directors authorized as provided in Section A of this Article V. The Board of Directors is authorized to assign members of the Board of Directors already in office to such classes at the time the classification becomes effective. At the first annual meeting of stockholders held after the effectiveness of this Restated Certificate, the initial term of office of the Class I directors shall expire and Class I directors shall be elected for a full term expiring at the third annual meeting of stockholders held thereafter. At the second annual meeting of stockholders held after the effectiveness of this Restated Certificate, the initial term of office of the Class II directors shall expire and Class II directors shall be elected for a full term expiring at the third annual meeting of stockholders held thereafter. At the third annual meeting of stockholders held after the effectiveness of this Restated Certificate, the initial term of office of the Class III directors shall expire and Class III directors shall be elected for a full term expiring at the third annual meeting of stockholders held thereafter. At each succeeding annual meeting of stockholders, directors shall be elected for a full term expiring at the third annual meeting of stockholders held thereafter, to succeed the directors of the class whose terms expire at such annual meeting.</w:t>
      </w:r>
    </w:p>
    <w:p>
      <w:pPr>
        <w:spacing w:after="0" w:line="172" w:lineRule="exact"/>
        <w:rPr>
          <w:sz w:val="20"/>
          <w:szCs w:val="20"/>
          <w:color w:val="auto"/>
        </w:rPr>
      </w:pPr>
    </w:p>
    <w:p>
      <w:pPr>
        <w:ind w:right="80" w:firstLine="360"/>
        <w:spacing w:after="0" w:line="263" w:lineRule="auto"/>
        <w:rPr>
          <w:sz w:val="20"/>
          <w:szCs w:val="20"/>
          <w:color w:val="auto"/>
        </w:rPr>
      </w:pPr>
      <w:r>
        <w:rPr>
          <w:rFonts w:ascii="Arial" w:cs="Arial" w:eastAsia="Arial" w:hAnsi="Arial"/>
          <w:sz w:val="18"/>
          <w:szCs w:val="18"/>
          <w:color w:val="auto"/>
        </w:rPr>
        <w:t>Notwithstanding the foregoing provisions of this section, each director shall serve until such director’s successor is duly elected and qualified or until such director’s earlier death, resignation or removal. No decrease in the number of directors constituting the Board of Directors shall shorten the term of any incumbent director.</w:t>
      </w:r>
    </w:p>
    <w:p>
      <w:pPr>
        <w:spacing w:after="0" w:line="180"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REMOVAL OF DIRECTORS</w:t>
      </w:r>
    </w:p>
    <w:p>
      <w:pPr>
        <w:spacing w:after="0" w:line="229" w:lineRule="exact"/>
        <w:rPr>
          <w:rFonts w:ascii="Arial" w:cs="Arial" w:eastAsia="Arial" w:hAnsi="Arial"/>
          <w:sz w:val="18"/>
          <w:szCs w:val="18"/>
          <w:b w:val="1"/>
          <w:bCs w:val="1"/>
          <w:color w:val="auto"/>
        </w:rPr>
      </w:pPr>
    </w:p>
    <w:p>
      <w:pPr>
        <w:ind w:right="400" w:firstLine="368"/>
        <w:spacing w:after="0" w:line="277" w:lineRule="auto"/>
        <w:tabs>
          <w:tab w:leader="none" w:pos="630"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Subject to the rights of any series of Preferred Stock to remove directors elected by such series of Preferred Stock, neither the entire Board of Directors nor any individual director may be removed from office without cause.</w:t>
      </w:r>
    </w:p>
    <w:p>
      <w:pPr>
        <w:spacing w:after="0" w:line="170" w:lineRule="exact"/>
        <w:rPr>
          <w:rFonts w:ascii="Arial" w:cs="Arial" w:eastAsia="Arial" w:hAnsi="Arial"/>
          <w:sz w:val="18"/>
          <w:szCs w:val="18"/>
          <w:b w:val="1"/>
          <w:bCs w:val="1"/>
          <w:color w:val="auto"/>
        </w:rPr>
      </w:pPr>
    </w:p>
    <w:p>
      <w:pPr>
        <w:ind w:right="40" w:firstLine="368"/>
        <w:spacing w:after="0" w:line="259" w:lineRule="auto"/>
        <w:tabs>
          <w:tab w:leader="none" w:pos="630"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Subject to any limitations imposed by applicable law and the rights of any series of Preferred Stock to remove directors elected by such series of Preferred Stock, any individual director or the entire Board of Directors may be removed from office with cause by the affirmative vote of the holders of at least 66⅔% of the voting power of all the then-outstanding shares of the capital stock of the Corporation entitled to vote generally at an election of directors.</w:t>
      </w:r>
    </w:p>
    <w:p>
      <w:pPr>
        <w:spacing w:after="0" w:line="182" w:lineRule="exact"/>
        <w:rPr>
          <w:rFonts w:ascii="Arial" w:cs="Arial" w:eastAsia="Arial" w:hAnsi="Arial"/>
          <w:sz w:val="18"/>
          <w:szCs w:val="18"/>
          <w:b w:val="1"/>
          <w:bCs w:val="1"/>
          <w:color w:val="auto"/>
        </w:rPr>
      </w:pPr>
    </w:p>
    <w:p>
      <w:pPr>
        <w:ind w:left="320" w:hanging="312"/>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VACANCIES.</w:t>
      </w:r>
    </w:p>
    <w:p>
      <w:pPr>
        <w:spacing w:after="0" w:line="229"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Subject to any limitations imposed by applicable law and subject to the rights of the holders of any series of Preferred Stock to elect additional directors or fill vacancies in respect of such directors,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be filled only by the affirmative vote of a majority of the directors then in office, even though less than a quorum of the Board of Directors or by the sole remaining director, and not by the stockholders. Any director elected to fill a newly created directorship or vacancy in accordance with the preceding sentence shall hold office for the remainder of the full term of the director for which the vacancy was created or occurred and until such director’s successor shall have been elected and qualified or such director’s earlier death, resignation or removal.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PREFERRED STOCKHOLDERS ELECTION RIGHTS</w:t>
      </w:r>
    </w:p>
    <w:p>
      <w:pPr>
        <w:spacing w:after="0" w:line="229"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Whenever the holders of any one or more series of Preferred Stock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Restated Certificate (including any certificate of designation relating to any series of Preferred Stock) applicable thereto. The number of directors that may be elected by the holders of any such series of Preferred Stock shall be in addition to the number fixed pursuant to Article V hereof, and the total number of directors constituting the whole Board shall be automatically adjusted accordingly.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 BYLAW AMENDMENTS.</w:t>
      </w:r>
    </w:p>
    <w:p>
      <w:pPr>
        <w:spacing w:after="0" w:line="229"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 xml:space="preserve">The Board of Directors is expressly authorized and empowered to adopt, amend or repeal any provisions of the Bylaws of the Corporation without the assent or vote of the stockholders in any manner not inconsistent with the laws of the State of Delaware or this Restated Certificate. Any adoption, amendment or repeal of the Bylaws of the Corporation by the Board of Directors shall require the approval of a majority of the authorized number of directors. The stockholders shall also have power to adopt, amend or repeal the Bylaws of the Corporation;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addition to any vote of the holders of any class or series of stock of the Corporation required by law or by this Restated Certificate, such action by stockholders shall require the affirmative vote of the holders of at least 66⅔% of the voting power of all of the then-outstanding shares of the capital stock of the Corporation entitled to vote generally in the election of directors, voting together as a single class.</w:t>
      </w:r>
    </w:p>
    <w:p>
      <w:pPr>
        <w:spacing w:after="0" w:line="173"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ACTIONS.</w:t>
      </w:r>
    </w:p>
    <w:p>
      <w:pPr>
        <w:spacing w:after="0" w:line="229" w:lineRule="exact"/>
        <w:rPr>
          <w:rFonts w:ascii="Arial" w:cs="Arial" w:eastAsia="Arial" w:hAnsi="Arial"/>
          <w:sz w:val="18"/>
          <w:szCs w:val="18"/>
          <w:b w:val="1"/>
          <w:bCs w:val="1"/>
          <w:color w:val="auto"/>
        </w:rPr>
      </w:pPr>
    </w:p>
    <w:p>
      <w:pPr>
        <w:ind w:left="640" w:hanging="272"/>
        <w:spacing w:after="0"/>
        <w:tabs>
          <w:tab w:leader="none" w:pos="640"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The directors of the Corporation need not be elected by written ballot unless the Bylaws so provide.</w:t>
      </w:r>
    </w:p>
    <w:p>
      <w:pPr>
        <w:spacing w:after="0" w:line="225" w:lineRule="exact"/>
        <w:rPr>
          <w:rFonts w:ascii="Arial" w:cs="Arial" w:eastAsia="Arial" w:hAnsi="Arial"/>
          <w:sz w:val="18"/>
          <w:szCs w:val="18"/>
          <w:b w:val="1"/>
          <w:bCs w:val="1"/>
          <w:color w:val="auto"/>
        </w:rPr>
      </w:pPr>
    </w:p>
    <w:p>
      <w:pPr>
        <w:ind w:right="220" w:firstLine="368"/>
        <w:spacing w:after="0" w:line="277" w:lineRule="auto"/>
        <w:tabs>
          <w:tab w:leader="none" w:pos="630"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No action shall be taken by the stockholders of the Corporation except at an annual or special meeting of stockholders called in accordance with the Bylaws and no action shall be taken by the stockholders by written consent.</w:t>
      </w:r>
    </w:p>
    <w:p>
      <w:pPr>
        <w:spacing w:after="0" w:line="170"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Advance notice of stockholder nominations for the election of directors and of business to be brought by stockholders before any meeting of the stockholders of the Corporation shall be given in the manner provided in the Bylaws of the Corporation.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Liability; Indemnification</w:t>
      </w:r>
    </w:p>
    <w:p>
      <w:pPr>
        <w:spacing w:after="0" w:line="229" w:lineRule="exact"/>
        <w:rPr>
          <w:sz w:val="20"/>
          <w:szCs w:val="20"/>
          <w:color w:val="auto"/>
        </w:rPr>
      </w:pPr>
    </w:p>
    <w:p>
      <w:pPr>
        <w:ind w:firstLine="368"/>
        <w:spacing w:after="0" w:line="254" w:lineRule="auto"/>
        <w:tabs>
          <w:tab w:leader="none" w:pos="67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liability of the directors and officers for monetary damages shall be eliminated to the fullest extent permitted under applicable law. In furtherance thereof, a director or officer of the Corporation shall not be personally liable to the Corporation or its stockholders for monetary damages for breach of fiduciary duty as a director or officer, except to the extent such exemption from liability or limitation thereof is not permitted under the DGCL as the same exists or may hereafter be amended. Any repeal or modification of the foregoing two sentences shall not adversely affect any right or protection of a director or officer of the Corporation existing hereunder with respect to any act or omission occurring prior to such repeal or modification. If applicable law is amended after approval by the stockholders of this Article VI to authorize corporate action further eliminating or limiting the personal liability of directors or officers, then the liability of a director or officer to the Corporation shall be eliminated or limited to the fullest extent permitted by applicable law as so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right="240" w:firstLine="368"/>
        <w:spacing w:after="0" w:line="311" w:lineRule="auto"/>
        <w:tabs>
          <w:tab w:leader="none" w:pos="66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To the fullest extent permitted by applicable law, the Corporation is authorized to provide indemnification of (and advancement of expenses to) directors, officers and agents of the Corporation (and any other persons to which applicable law permits the Corporation to provide indemnification) through Bylaw provisions, agreements with such agents or other persons, vote of stockholders or disinterested directors or otherwise.</w:t>
      </w:r>
    </w:p>
    <w:p>
      <w:pPr>
        <w:spacing w:after="0" w:line="148" w:lineRule="exact"/>
        <w:rPr>
          <w:rFonts w:ascii="Arial" w:cs="Arial" w:eastAsia="Arial" w:hAnsi="Arial"/>
          <w:sz w:val="16"/>
          <w:szCs w:val="16"/>
          <w:b w:val="1"/>
          <w:bCs w:val="1"/>
          <w:color w:val="auto"/>
        </w:rPr>
      </w:pPr>
    </w:p>
    <w:p>
      <w:pPr>
        <w:ind w:right="120" w:firstLine="368"/>
        <w:spacing w:after="0" w:line="263" w:lineRule="auto"/>
        <w:tabs>
          <w:tab w:leader="none" w:pos="67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Any repeal or modification of this Article VI shall only be prospective and shall not adversely affect the rights or protections or increase the liability of any officer or director under this Article VI as in effect at the time of the alleged occurrence of any act or omission to act giving rise to liability or indemnification.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Forum</w:t>
      </w:r>
    </w:p>
    <w:p>
      <w:pPr>
        <w:spacing w:after="0" w:line="229" w:lineRule="exact"/>
        <w:rPr>
          <w:sz w:val="20"/>
          <w:szCs w:val="20"/>
          <w:color w:val="auto"/>
        </w:rPr>
      </w:pPr>
    </w:p>
    <w:p>
      <w:pPr>
        <w:ind w:right="20" w:firstLine="368"/>
        <w:spacing w:after="0" w:line="286" w:lineRule="auto"/>
        <w:tabs>
          <w:tab w:leader="none" w:pos="67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Unless the Corporation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the Delaware statutory or common law: (A) any derivative claim or cause of action brought on behalf of the Corporation; (B) any claim or cause of action for breach of a fiduciary duty owed by any current or former director, officer or other employee or stockholder of the Corporation, to the Corporation or the Corporation’s stockholders; (C) any claim or cause of action against the Corporation or any current or former director, officer or other employee of the Corporation, arising out of or pursuant to any provision of the DGCL, this Restated Certificate or the Bylaws of the Corporation (as each may be amended from time to time); (D) any claim or cause of action seeking to interpret, apply, enforce or determine the validity of this Restated Certificate or the Bylaws of the Corporation (as each may be amended from time to time, including any right, obligation, or remedy thereunder); (E) any claim or cause of action as to which the DGCL confers jurisdiction on the Court of Chancery of the State of Delaware; and (F)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applicable law and subject to the court having personal jurisdiction over the indispensable parties named as defendants. This Section A of Article VII shall not apply to claims or causes of action brought to enforce a duty or liability created by the Securities Act of 1933, as amended (the “1933 Act”), or the Securities Exchange Act of 1934, as amended, or any other claim for which the federal courts have exclusive jurisdiction.</w:t>
      </w:r>
    </w:p>
    <w:p>
      <w:pPr>
        <w:spacing w:after="0" w:line="167" w:lineRule="exact"/>
        <w:rPr>
          <w:rFonts w:ascii="Arial" w:cs="Arial" w:eastAsia="Arial" w:hAnsi="Arial"/>
          <w:sz w:val="16"/>
          <w:szCs w:val="16"/>
          <w:b w:val="1"/>
          <w:bCs w:val="1"/>
          <w:color w:val="auto"/>
        </w:rPr>
      </w:pPr>
    </w:p>
    <w:p>
      <w:pPr>
        <w:ind w:right="80" w:firstLine="368"/>
        <w:spacing w:after="0" w:line="263"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Unless the Corporation consents in writing to the selection of an alternative forum, to the fullest extent permitted by applicable law, the federal district courts of the United States of America shall be the exclusive forum for the resolution of any complaint asserting a cause of action arising under the 1933 Act, including all causes of action asserted against any defendant named in such complaint.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Corporate Opportunity</w:t>
      </w:r>
    </w:p>
    <w:p>
      <w:pPr>
        <w:spacing w:after="0" w:line="229"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Corporation renounces, to the fullest extent permitted by law, any interest or expectancy of the Corporation in, or in being offered an opportunity to participate in, any Excluded Opportunity pursuant to Section 122(17) of the DGCL. An “Excluded Opportunity” is any matter, transaction or interest that is presented to, or acquired, created or developed by, or which otherwise comes into the possession of (i) any director of the Corporation who is not an employee of the Corporation or any of its subsidiaries, or (ii) any holder of Common Stock or Preferred Stock or any partner, member, director, stockholder, employee or agent of any such holder, other than someone who is an employee of the Corporation or any of its subsidiaries (collectively, “Covered Persons”), unless such matter, transaction or interest is presented to, or acquired, created or developed by, or otherwise comes into the possession of, a Covered Person solely in such Covered Person’s capacity as a director of the Corporation, such opportunity is one the Corporation is legally and contractually permitted to undertake, and to the extent the director is permitted to refer that opportunity to the Corporation without violating any legal obligation. Any amendment, repeal or modification of the foregoing provisions of this Article VIII shall not adversely affect any right or protection of any director of the Corporation existing at the time of such amendment,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368"/>
        <w:spacing w:after="0" w:line="277" w:lineRule="auto"/>
        <w:tabs>
          <w:tab w:leader="none" w:pos="67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Any person or entity holding, owning, or otherwise acquiring any interest in any security of the Corporation shall be deemed to have notice of and consented to the provisions of this Restated Certificate.</w:t>
      </w:r>
    </w:p>
    <w:p>
      <w:pPr>
        <w:spacing w:after="0" w:line="170" w:lineRule="exact"/>
        <w:rPr>
          <w:rFonts w:ascii="Arial" w:cs="Arial" w:eastAsia="Arial" w:hAnsi="Arial"/>
          <w:sz w:val="18"/>
          <w:szCs w:val="18"/>
          <w:b w:val="1"/>
          <w:bCs w:val="1"/>
          <w:color w:val="auto"/>
        </w:rPr>
      </w:pPr>
    </w:p>
    <w:p>
      <w:pPr>
        <w:ind w:firstLine="368"/>
        <w:spacing w:after="0" w:line="25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Subject to Sections A and C of Article VI and the last sentence of Article VIII, the Corporation reserves the right to amend, alter, change or repeal, at any time and from time to time, any provision contained in this Restated Certificate, in the manner now or hereafter prescribed by statute, except as provided in paragraph C. of this Article IX, and all rights, preferences and privileges of whatsoever nature conferred upon the stockholders, directors or any other persons whomsoever by and pursuant to this Restated Certificate in its present form or as hereafter amended herein are granted subject to this reservation.</w:t>
      </w:r>
    </w:p>
    <w:p>
      <w:pPr>
        <w:spacing w:after="0" w:line="187" w:lineRule="exact"/>
        <w:rPr>
          <w:rFonts w:ascii="Arial" w:cs="Arial" w:eastAsia="Arial" w:hAnsi="Arial"/>
          <w:sz w:val="18"/>
          <w:szCs w:val="18"/>
          <w:b w:val="1"/>
          <w:bCs w:val="1"/>
          <w:color w:val="auto"/>
        </w:rPr>
      </w:pPr>
    </w:p>
    <w:p>
      <w:pPr>
        <w:ind w:right="40" w:firstLine="368"/>
        <w:spacing w:after="0" w:line="255" w:lineRule="auto"/>
        <w:tabs>
          <w:tab w:leader="none" w:pos="67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Notwithstanding any other provisions of this Restated Certificate or any provision of law that might otherwise permit a lesser vote or no vote, but in addition to any affirmative vote of the holders of any particular class or series of capital stock of the Corporation required by applicable law or by this Restated Certificate or any certificate of designation filed with respect to a series of Preferred Stock, the affirmative vote of the holders of at least 66⅔% of the voting power of all of the then-outstanding shares of capital stock of the Corporation entitled to vote generally in the election of directors, voting together as a single class, shall be required to alter, amend or repeal (whether by merger, consolidation or otherwise) or adopt any provision inconsistent with, Articles V, VI, VII, VIII and IX.</w:t>
      </w:r>
    </w:p>
    <w:p>
      <w:pPr>
        <w:spacing w:after="0" w:line="188" w:lineRule="exact"/>
        <w:rPr>
          <w:sz w:val="20"/>
          <w:szCs w:val="20"/>
          <w:color w:val="auto"/>
        </w:rPr>
      </w:pPr>
    </w:p>
    <w:p>
      <w:pPr>
        <w:ind w:right="380" w:firstLine="324"/>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Second Amended and Restated Certificate of Incorporation to be executed by a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 of this Corporation on August 10, 2023.</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C.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Christopher C. Dewey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t>Exhibit 3.2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TRISALUS LIFE SCIENCES, INC.</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__________________________________________________</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10,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           Registered Office. </w:t>
      </w:r>
      <w:r>
        <w:rPr>
          <w:rFonts w:ascii="Arial" w:cs="Arial" w:eastAsia="Arial" w:hAnsi="Arial"/>
          <w:sz w:val="18"/>
          <w:szCs w:val="18"/>
          <w:color w:val="auto"/>
        </w:rPr>
        <w:t>The registered office of TriSalus Life Sciences,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in the State of Delaware and the name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corporation’s registered agent at such address shall be as set forth in the Amended and Restated Certificate of Incorporation of the corporation (as the same may be amended and/or restated from time to time,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2.           Other Offices. </w:t>
      </w:r>
      <w:r>
        <w:rPr>
          <w:rFonts w:ascii="Arial" w:cs="Arial" w:eastAsia="Arial" w:hAnsi="Arial"/>
          <w:sz w:val="17"/>
          <w:szCs w:val="17"/>
          <w:color w:val="auto"/>
        </w:rPr>
        <w:t>The corporation may also have and maintain an office or principal place of business at such place as may be fixed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Board of Directors of the corporation (the “</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and may also have offices at such other places, both within and without the State of Delaware as the Board of Directors may from time to time determine or the business of the corporation may require.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           Corporate Seal. </w:t>
      </w:r>
      <w:r>
        <w:rPr>
          <w:rFonts w:ascii="Arial" w:cs="Arial" w:eastAsia="Arial" w:hAnsi="Arial"/>
          <w:sz w:val="18"/>
          <w:szCs w:val="18"/>
          <w:color w:val="auto"/>
        </w:rPr>
        <w:t>The Board of Directors may adopt a corporate seal. Said seal may be used by causing it or a facsimile thereof to</w:t>
      </w:r>
      <w:r>
        <w:rPr>
          <w:rFonts w:ascii="Arial" w:cs="Arial" w:eastAsia="Arial" w:hAnsi="Arial"/>
          <w:sz w:val="18"/>
          <w:szCs w:val="18"/>
          <w:b w:val="1"/>
          <w:bCs w:val="1"/>
          <w:color w:val="auto"/>
        </w:rPr>
        <w:t xml:space="preserve"> </w:t>
      </w:r>
      <w:r>
        <w:rPr>
          <w:rFonts w:ascii="Arial" w:cs="Arial" w:eastAsia="Arial" w:hAnsi="Arial"/>
          <w:sz w:val="18"/>
          <w:szCs w:val="18"/>
          <w:color w:val="auto"/>
        </w:rPr>
        <w:t>be impressed, affixed or reproduced or otherwise.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4.           Place of Meetings. </w:t>
      </w:r>
      <w:r>
        <w:rPr>
          <w:rFonts w:ascii="Arial" w:cs="Arial" w:eastAsia="Arial" w:hAnsi="Arial"/>
          <w:sz w:val="18"/>
          <w:szCs w:val="18"/>
          <w:color w:val="auto"/>
        </w:rPr>
        <w:t>Meetings of the stockholders of the corporation may be held at such place, if any, either within or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as may be determined from time to time by the Board of Directors. The Board of Directors may, in its sole discretion, determine that the meeting shall not be held at any place, but may instead be held solely by means of remote communication as provided under the General Corporation Law of the State of Delaware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Section 14 below.</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Annual Meetings.</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The annual meeting of the stockholders of the corporation, for the purpose of election of directors and for such other business as</w:t>
      </w:r>
      <w:r>
        <w:rPr>
          <w:rFonts w:ascii="Arial" w:cs="Arial" w:eastAsia="Arial" w:hAnsi="Arial"/>
          <w:sz w:val="17"/>
          <w:szCs w:val="17"/>
          <w:b w:val="1"/>
          <w:bCs w:val="1"/>
          <w:color w:val="auto"/>
        </w:rPr>
        <w:t xml:space="preserve"> </w:t>
      </w:r>
      <w:r>
        <w:rPr>
          <w:rFonts w:ascii="Arial" w:cs="Arial" w:eastAsia="Arial" w:hAnsi="Arial"/>
          <w:sz w:val="17"/>
          <w:szCs w:val="17"/>
          <w:color w:val="auto"/>
        </w:rPr>
        <w:t>may properly come before it, shall be held on such date, time and place, if any, as may be determined from time to time by the Board of Directors. Subject to applicable law, the Board of Directors, or any director or officer of the corporation to whom the Board of Directors delegated such authority, may postpone, reschedule or cancel any annual meeting of stockholders previously scheduled by the Board of Directors at any time before or after notice of such meeting has been given to stockholders. Nominations of persons for election to the Board of Directors and proposals of other business to be considered by the stockholders may be made at an annual meeting of stockholders: (i) pursuant to the corporation’s notice of meeting of stockholders (or any supplement thereto); (ii) by or at the direction of the Board of Directors or a duly authorized committee thereof; (iii) as may be provided in the certificate of designation for any class or series of preferred stock; or (iv) by any stockholder of the corporation who was a stockholder of record at the time of giving the stockholder’s notice provided for in Section 5(b) of these amended and restated bylaws (as may be amended and/or restated from time to time,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and who is a stockholder of record at the time of the annual meeting of stockholders, who is entitled to vote at the meeting and who complied with the notice procedures set forth in this Section 5. For the avoidance of doubt, clause (iv)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Arial" w:cs="Arial" w:eastAsia="Arial" w:hAnsi="Arial"/>
          <w:sz w:val="17"/>
          <w:szCs w:val="17"/>
          <w:b w:val="1"/>
          <w:bCs w:val="1"/>
          <w:i w:val="1"/>
          <w:iCs w:val="1"/>
          <w:color w:val="auto"/>
        </w:rPr>
        <w:t>1934 Act</w:t>
      </w:r>
      <w:r>
        <w:rPr>
          <w:rFonts w:ascii="Arial" w:cs="Arial" w:eastAsia="Arial" w:hAnsi="Arial"/>
          <w:sz w:val="17"/>
          <w:szCs w:val="17"/>
          <w:color w:val="auto"/>
        </w:rPr>
        <w:t>”)) before an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 w:name="page31"/>
    <w:bookmarkEnd w:id="30"/>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At an annual meeting of the stockholders, only such business shall be conducted as is a proper matter for stockholder action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DGCL, the Certificate of Incorporation, the Bylaws, and only such nominations shall be made and such business shall be conducted as shall have been properly brought before the meeting in accordance with the procedures below.</w:t>
      </w:r>
    </w:p>
    <w:p>
      <w:pPr>
        <w:spacing w:after="0" w:line="176" w:lineRule="exact"/>
        <w:rPr>
          <w:sz w:val="20"/>
          <w:szCs w:val="20"/>
          <w:color w:val="auto"/>
        </w:rPr>
      </w:pPr>
    </w:p>
    <w:p>
      <w:pPr>
        <w:jc w:val="both"/>
        <w:ind w:firstLine="1944"/>
        <w:spacing w:after="0" w:line="284" w:lineRule="auto"/>
        <w:rPr>
          <w:sz w:val="20"/>
          <w:szCs w:val="20"/>
          <w:color w:val="auto"/>
        </w:rPr>
      </w:pPr>
      <w:r>
        <w:rPr>
          <w:rFonts w:ascii="Arial" w:cs="Arial" w:eastAsia="Arial" w:hAnsi="Arial"/>
          <w:sz w:val="16"/>
          <w:szCs w:val="16"/>
          <w:b w:val="1"/>
          <w:bCs w:val="1"/>
          <w:color w:val="auto"/>
        </w:rPr>
        <w:t>(i)          </w:t>
      </w:r>
      <w:r>
        <w:rPr>
          <w:rFonts w:ascii="Arial" w:cs="Arial" w:eastAsia="Arial" w:hAnsi="Arial"/>
          <w:sz w:val="16"/>
          <w:szCs w:val="16"/>
          <w:color w:val="auto"/>
        </w:rPr>
        <w:t>For nominations for the election to the Board of Directors to be properly brought before an annual meeting by a</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pursuant to clause (iv) of Section 5(a), the stockholder must deliver written notice to the Secretary at the principal executive offices of the corporation on a timely basis as set forth in Section 5(b)(iii) and must update and supplement the information contained in such written notice on a timely basis as set forth in Section 5(c). Such stockholder’s notice shall include: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of record and beneficially by such nominee and a list of any pledges of or encumbrances on such shares, (4) the date or dates on which such shares were acquired and the investment intent of such acquisition, (5) the questionnaire, representation and agreement required by Section 5(e), completed and signed by such nominee; and (6) all other information concerning such nominee as would be required to be disclosed or provided to the corporation in a proxy statement soliciting proxies for the election of such nominee as a director in an election contest (even if an election contest is not involved and whether or not proxies are being or will be solicited), or that is otherwise required to be disclosed pursuant to applicable requirements of state and federal law, including Section 14 of the 1934 Act and the rules and regulations promulgated thereunder, the Certificate of Incorporation, and these Bylaws (including such person’s written consent to being named in the corporation’s proxy statement and associated proxy card and other filings as a nominee of the stockholder and to serving as a director if elected); and (B) all of the information required by Section 5(b)(iv). The corporation may require any proposed nominee to furnish such other information as it may reasonably require to determine the eligibility of such proposed nominee to serve as a director of the corporation and to determine the independence (as such term is used in any applicable stock exchange listing requirements or applicable law) of such proposed nominee or to determine the eligibility of such proposed nominee to serve on any committee or sub-committee of the Board of Directors under any applicable stock exchange listing requirements or applicable law, or that the Board of Directors determines, in its sole discretion, could be material to a reasonable stockholder’s understanding of the background, qualifications, experience, independence, or lack thereof, of such proposed nominee. The number of nominees a stockholder may nominate for election at the annual meeting of stockholders (or in the case of a stockholder giving the notice on behalf of a beneficial owner, the number of nominees a stockholder may nominate for election at the annual meeting of stockholders on behalf of such beneficial owner) shall not exceed the number of directors to be elected at such annual meeting. A stockholder may not designate any substitute nominees unless the stockholder provides timely notice of such substitute nominee(s) in accordance with this Section 5, in the case of an annual meeting, or Section 6, in the case of a special meeting (and such notice contains all of the information, representations, questionnaires and certifications with respect to such substitute nominee(s) that are required by the Bylaws with respect to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944"/>
        <w:spacing w:after="0" w:line="289" w:lineRule="auto"/>
        <w:rPr>
          <w:sz w:val="20"/>
          <w:szCs w:val="20"/>
          <w:color w:val="auto"/>
        </w:rPr>
      </w:pPr>
      <w:r>
        <w:rPr>
          <w:rFonts w:ascii="Arial" w:cs="Arial" w:eastAsia="Arial" w:hAnsi="Arial"/>
          <w:sz w:val="16"/>
          <w:szCs w:val="16"/>
          <w:b w:val="1"/>
          <w:bCs w:val="1"/>
          <w:color w:val="auto"/>
        </w:rPr>
        <w:t xml:space="preserve">(ii)           </w:t>
      </w:r>
      <w:r>
        <w:rPr>
          <w:rFonts w:ascii="Arial" w:cs="Arial" w:eastAsia="Arial" w:hAnsi="Arial"/>
          <w:sz w:val="16"/>
          <w:szCs w:val="16"/>
          <w:color w:val="auto"/>
        </w:rPr>
        <w:t>For business other than nominations for the election to the Board of Directors to be properly brought before an annual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by a stockholder pursuant to clause (iv) of Section 5(a), the Proposing Person must deliver written notice to the Secretary at the principal executive offices of the corporation on a timely basis as set forth in Section 5(b)(iii), and must update and supplement such written notice on a timely basis as set forth in Section 5(c). The Proposing Person’s notice shall set forth: (A) as to each matter the Proposing Person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(including any anticipated benefit of such business to any Proposing Person (as defined below) other than solely as a result of its ownership of the corporation’s capital stock, that is material to any Proposing Person individually, or to the Proposing Persons in the aggregate) in such business of any Proposing Person; and (B) the information required by Section 5(b)(iv).</w:t>
      </w:r>
    </w:p>
    <w:p>
      <w:pPr>
        <w:spacing w:after="0" w:line="166"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6"/>
          <w:szCs w:val="16"/>
          <w:b w:val="1"/>
          <w:bCs w:val="1"/>
          <w:color w:val="auto"/>
        </w:rPr>
        <w:t xml:space="preserve">(iii)          </w:t>
      </w:r>
      <w:r>
        <w:rPr>
          <w:rFonts w:ascii="Arial" w:cs="Arial" w:eastAsia="Arial" w:hAnsi="Arial"/>
          <w:sz w:val="16"/>
          <w:szCs w:val="16"/>
          <w:color w:val="auto"/>
        </w:rPr>
        <w:t>To be timely, the written notice required by Section 5(b)(i) or 5(b)(ii) must be received by the Secretary at the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offices of the corporation not later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first anniversary of the date (as stated in the corporation’s proxy materials) the definitive proxy statement was first sent to stockholders in connection with the preceding year’s annual meeting of stockholders (for purposes of notice required for action to be taken at the corporation’s annual meeting of stockholders for the 2024 calendar year, the date of the 2023 annual meeting shall be deemed to have occurred on August 8, 2023);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subject to the last sentence of this Section 5(b)(iii), in the event that the date of the annual meeting is advanced more than 30 days prior to or delayed by more than 70 days after the anniversary of the preceding year’s annual meeting, or if no annual meeting was held (or deemed to have been held), notice by the stockholder to be timely must be so received not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not later than the</w:t>
      </w:r>
    </w:p>
    <w:p>
      <w:pPr>
        <w:spacing w:after="0" w:line="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close of business on the later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or, if later than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the tenth day following the day on which public announcement of the date of such meeting is first made by the corporation. In no event shall an adjournment or postponement of an annual meeting (or the public announcement thereof) for which notice has been given, or for which a public announcement of the date of the meeting has been made by the corporation, commence a new time period (or extend any time period) for the giving of a stockholder’s notice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1960"/>
        <w:spacing w:after="0"/>
        <w:rPr>
          <w:sz w:val="20"/>
          <w:szCs w:val="20"/>
          <w:color w:val="auto"/>
        </w:rPr>
      </w:pPr>
      <w:r>
        <w:rPr>
          <w:rFonts w:ascii="Arial" w:cs="Arial" w:eastAsia="Arial" w:hAnsi="Arial"/>
          <w:sz w:val="16"/>
          <w:szCs w:val="16"/>
          <w:b w:val="1"/>
          <w:bCs w:val="1"/>
          <w:color w:val="auto"/>
        </w:rPr>
        <w:t xml:space="preserve">(iv)           </w:t>
      </w:r>
      <w:r>
        <w:rPr>
          <w:rFonts w:ascii="Arial" w:cs="Arial" w:eastAsia="Arial" w:hAnsi="Arial"/>
          <w:sz w:val="16"/>
          <w:szCs w:val="16"/>
          <w:color w:val="auto"/>
        </w:rPr>
        <w:t>The written notice required by Sections 5(b)(i) or 5(b)(ii) shall also set forth, as of the date of the notice and as to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Proposing Person: (A) the name and address of each Proposing Person, including, if applicable, such name and address as they appear on the corporation’s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books and records; (B) the class, series and number of shares of each class or series of the capital stock of the corporation that are,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owned of record or beneficially (within the meaning of Rule 13d-3 under the 1934 Act) by each Proposing Person (provided, that for purposes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5(b)(iv), such Proposing Person shall in all events be deemed to beneficially own all shares of any class or series of capital stock of the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to which such Proposing Person or any of its affiliates or associates has a right to acquire beneficial ownership at any time in the future); (C)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description of any agreement, arrangement or understanding (whether oral or in writing) with respect to such nomination or proposal (and/or the voting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any class or series of capital stock of the corporation) between or among any Proposing Person and any of its affiliates or associates, and/or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persons (including their names), including without limitation, any agreements, arrangements or understandings required to be disclosed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Item 5 or Item 6 of Schedule 13D under the 1934 Act, regardless of whether the requirement to file a Schedule 13D is applicable; (D) a representation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Proposing Persons are holders of record or beneficial owners, as the case may be, of shares of the corporation at the time of giving notice, will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entitled to vote at the meeting, and that such stockholder (or a qualified representative thereof) intends to appear in person or by proxy at the meeting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nominate the person or persons specified in the notice (with respect to a notice under Section 5(b)(i)) or to propose the business that is specified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notice (with respect to a notice under Section 5(b)(ii)); (E) a representation as to whether the Proposing Persons or any other participant (as defined in Item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 of Schedule 14A under the 1934 Act) intend to solicit proxies from the required number of the corporation’s voting shares in support of any proposed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nominee, as promulgated under Rule 14a-19 of the 1934 Act (with respect to a notice under Section 5(b)(i)), and, if so, the name of each participant in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solicitation and the amount of the cost of solicitation that has been and will be borne, directly or indirectly, by each participant in such solicitation,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representation as to whether the Proposing Persons intend or are part of a group which intends to (x) deliver, or make available, a proxy statement and/or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of proxy to holders of at least such percentage of the corporation’s voting shares that would be required to approve or adopt the proposal or elect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nominee or (y) otherwise solicit proxies or votes from stockholders in support of such proposal (with respect to a notice under Section 5(b)(ii)); (F)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extent known by any Proposing Person, the name and address of any other stockholder supporting the proposal on the date of such stockholder’s notice;</w:t>
      </w:r>
    </w:p>
    <w:p>
      <w:pPr>
        <w:spacing w:after="0" w:line="32" w:lineRule="exact"/>
        <w:rPr>
          <w:sz w:val="20"/>
          <w:szCs w:val="20"/>
          <w:color w:val="auto"/>
        </w:rPr>
      </w:pPr>
    </w:p>
    <w:p>
      <w:pPr>
        <w:jc w:val="both"/>
        <w:ind w:firstLine="8"/>
        <w:spacing w:after="0" w:line="288" w:lineRule="auto"/>
        <w:tabs>
          <w:tab w:leader="none" w:pos="29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description of all Derivative Transactions (as defined below) by each Proposing Person during the previous 12 month period, including the date of the transactions and the class, series and number of securities involved in, and the material economic or voting terms of, such Derivative Transactions; (H) a certification regarding whether each Proposing Person has complied with all applicable federal, state and other legal requirements in connection with such Proposing Person’s acquisition of shares of capital stock or other securities of the corporation and/or such Proposing Person’s acts or omissions as a stockholder or beneficial owner of the corporation; and (I) any other information relating to each Proposing Person required to be disclosed in a proxy statement or other filings required to be made in connection with solicitations of proxies for, as applicable, the proposal and/or for the election of directors in an election contest pursuant to and in accordance with Section 14 of the 1934 Act and the rules and regulations promulgated thereunder.</w:t>
      </w:r>
    </w:p>
    <w:p>
      <w:pPr>
        <w:spacing w:after="0" w:line="16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color w:val="auto"/>
        </w:rPr>
        <w:t>A Proposing Person providing the written notice required by Section 5(b)(i) or (ii) shall update and supplement such notice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if necessary, so that the information (other than the representations required by Section 5(b)(iv)(E)) provided or required to be provided in such notice is true and correct in all material respects as of (i) the record date for the determination of stockholders entitled to notice of the meeting and (ii) the date that is five Business Days (as defined below) prior to the meeting and, in the event of any adjournment or postponement thereof, five Business Days prior to such adjourned or postponed meeting; provided, that no such update or supplement shall cure or affect the accuracy (or inaccuracy) of any representations made by any Proposing Person, any of its affiliates or associates or a nominee, or the validity (or invalidity) of any nomination or proposal that failed to comply with this Section 5 or is rendered invalid as a result of any inaccuracy therein. In the case of an update and supplement pursuant to clause (i) of this Section 5(c), such update and supplement shall be received by the Secretary at the principal executive offices of the corporation not later than five Business Days after the public announcement of the record date for the determination of stockholders entitled to notice of the meeting. In the case of an update and supplement pursuant to clause (ii) of this Section 5(c),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6"/>
        <w:spacing w:after="0" w:line="292" w:lineRule="auto"/>
        <w:rPr>
          <w:sz w:val="20"/>
          <w:szCs w:val="20"/>
          <w:color w:val="auto"/>
        </w:rPr>
      </w:pPr>
      <w:r>
        <w:rPr>
          <w:rFonts w:ascii="Arial" w:cs="Arial" w:eastAsia="Arial" w:hAnsi="Arial"/>
          <w:sz w:val="16"/>
          <w:szCs w:val="16"/>
          <w:b w:val="1"/>
          <w:bCs w:val="1"/>
          <w:color w:val="auto"/>
        </w:rPr>
        <w:t xml:space="preserve">(d)           </w:t>
      </w:r>
      <w:r>
        <w:rPr>
          <w:rFonts w:ascii="Arial" w:cs="Arial" w:eastAsia="Arial" w:hAnsi="Arial"/>
          <w:sz w:val="16"/>
          <w:szCs w:val="16"/>
          <w:color w:val="auto"/>
        </w:rPr>
        <w:t>Notwithstanding anything in Section 5(b)(iii) to the contrary, in the event that the number of directors to be elected to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at the next annual meeting is increased effective after the time period for which nominations would otherwise be due under Section 5(b)(iii) and there is no public announcement by the corporation naming all of the nominees for the new positions created by such increase at least 100 days before the first anniversary of the preceding year’s annual meeting, a Proposing Person’s notice required by this Section 5 and that complies with the requirements in Section 5(b)(i), other than the timing requirements in Section 5(b)(iii), shall also be considered timely, but only with respect to nominees for the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16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b w:val="1"/>
          <w:bCs w:val="1"/>
          <w:color w:val="auto"/>
        </w:rPr>
        <w:t xml:space="preserve">(e)           </w:t>
      </w:r>
      <w:r>
        <w:rPr>
          <w:rFonts w:ascii="Arial" w:cs="Arial" w:eastAsia="Arial" w:hAnsi="Arial"/>
          <w:sz w:val="16"/>
          <w:szCs w:val="16"/>
          <w:color w:val="auto"/>
        </w:rPr>
        <w:t>To be eligible to be a nominee for election or re-election as a director of the corporation pursuant to a nomination under Section 5</w:t>
      </w:r>
      <w:r>
        <w:rPr>
          <w:rFonts w:ascii="Arial" w:cs="Arial" w:eastAsia="Arial" w:hAnsi="Arial"/>
          <w:sz w:val="16"/>
          <w:szCs w:val="16"/>
          <w:b w:val="1"/>
          <w:bCs w:val="1"/>
          <w:color w:val="auto"/>
        </w:rPr>
        <w:t xml:space="preserve"> </w:t>
      </w:r>
      <w:r>
        <w:rPr>
          <w:rFonts w:ascii="Arial" w:cs="Arial" w:eastAsia="Arial" w:hAnsi="Arial"/>
          <w:sz w:val="16"/>
          <w:szCs w:val="16"/>
          <w:color w:val="auto"/>
        </w:rPr>
        <w:t>or Section 6, each Proposing Person must deliver (in accordance with the time periods prescribed for delivery of notice under Section 5(b)(iii) to the Secretary at the principal executive offices of the corporation a written questionnaire with respect to the background, qualifications, stock ownership and independence of such proposed nominee and the background of any other person or entity on whose behalf the nomination is being made (in the form provided by the Secretary within 10 days following a written request therefor by a stockholder of record) and a written representation and agreement (in the form provided by the Secretary within 10 days following written request therefor by a stockholder of record) that such person (i) is not and will not become a party to (A) any agreement, arrangement or understanding (whether oral or in writing)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b w:val="1"/>
          <w:bCs w:val="1"/>
          <w:i w:val="1"/>
          <w:iCs w:val="1"/>
          <w:color w:val="auto"/>
        </w:rPr>
        <w:t>Voting Commitment</w:t>
      </w:r>
      <w:r>
        <w:rPr>
          <w:rFonts w:ascii="Arial" w:cs="Arial" w:eastAsia="Arial" w:hAnsi="Arial"/>
          <w:sz w:val="16"/>
          <w:szCs w:val="16"/>
          <w:color w:val="auto"/>
        </w:rPr>
        <w:t>”) that has not been disclosed to the corporation in the questionnaire or (B) any Voting Commitment that could limit or interfere with such person’s ability to comply, if elected as a director of the corporation, with such person’s fiduciary duties under applicable law; (ii) is not and will not become a party to any agreement, arrangement or understanding (whether oral or in writing) with any person or entity other than the corporation with respect to any direct or indirect compensation, reimbursement or indemnification in connection with service or action as a director of the corporation or a nominee that has not been disclosed in such questionnaire; (iii) would be in compliance, if elected as a director of the corporation, and will comply with, all applicable publicly disclosed corporate governance, conflict of interest, confidentiality and stock ownership and trading policies and guidelines of the corporation; and (iv) if elected as a director of the corporation, intends to serve the entire term until the next meeting at which such candidate would face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296"/>
        <w:spacing w:after="0" w:line="287" w:lineRule="auto"/>
        <w:rPr>
          <w:sz w:val="20"/>
          <w:szCs w:val="20"/>
          <w:color w:val="auto"/>
        </w:rPr>
      </w:pPr>
      <w:r>
        <w:rPr>
          <w:rFonts w:ascii="Arial" w:cs="Arial" w:eastAsia="Arial" w:hAnsi="Arial"/>
          <w:sz w:val="16"/>
          <w:szCs w:val="16"/>
          <w:b w:val="1"/>
          <w:bCs w:val="1"/>
          <w:color w:val="auto"/>
        </w:rPr>
        <w:t>(f)          </w:t>
      </w:r>
      <w:r>
        <w:rPr>
          <w:rFonts w:ascii="Arial" w:cs="Arial" w:eastAsia="Arial" w:hAnsi="Arial"/>
          <w:sz w:val="16"/>
          <w:szCs w:val="16"/>
          <w:color w:val="auto"/>
        </w:rPr>
        <w:t>A person shall not be eligible for election or re-election as a director at an annual meeting, unless the person is nominated,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case of an annual meeting, in accordance with either clause (ii), (iii) or (iv) of Section 5(a) and in accordance with the procedures set forth in Section 5(b), Section 5(c), Section 5(d) and Section 5(e), as applicable, or in the case of a special meeting, in accordance with Section 6(c). Only such business shall be conducted at any annual meeting of the stockholders of the corporation as shall have been brought before the meeting in accordance with clauses (i), (ii),</w:t>
      </w:r>
    </w:p>
    <w:p>
      <w:pPr>
        <w:spacing w:after="0" w:line="2" w:lineRule="exact"/>
        <w:rPr>
          <w:sz w:val="20"/>
          <w:szCs w:val="20"/>
          <w:color w:val="auto"/>
        </w:rPr>
      </w:pPr>
    </w:p>
    <w:p>
      <w:pPr>
        <w:jc w:val="both"/>
        <w:ind w:firstLine="8"/>
        <w:spacing w:after="0" w:line="282" w:lineRule="auto"/>
        <w:tabs>
          <w:tab w:leader="none" w:pos="337" w:val="left"/>
        </w:tabs>
        <w:numPr>
          <w:ilvl w:val="0"/>
          <w:numId w:val="21"/>
        </w:numPr>
        <w:rPr>
          <w:rFonts w:ascii="Arial" w:cs="Arial" w:eastAsia="Arial" w:hAnsi="Arial"/>
          <w:sz w:val="16"/>
          <w:szCs w:val="16"/>
          <w:color w:val="auto"/>
        </w:rPr>
      </w:pPr>
      <w:r>
        <w:rPr>
          <w:rFonts w:ascii="Arial" w:cs="Arial" w:eastAsia="Arial" w:hAnsi="Arial"/>
          <w:sz w:val="16"/>
          <w:szCs w:val="16"/>
          <w:color w:val="auto"/>
        </w:rPr>
        <w:t>or (iv) of Section 5(a) and in accordance with the procedures set forth in Section 5(b), Section 5(c), Section 5(d) and Section 5(e), as applicable. Notwithstanding anything to the contrary in the Bylaws, unless otherwise required by applicable law, if any Proposing Person (i) provides notice pursuant to Rule 14a-19(b) promulgated under the 1934 Act with respect to any proposed nominee and (ii) subsequently (x) fails to comply with the requirements of Rule 14a-19 promulgated under the 1934 Act (or fails to timely provide reasonable evidence sufficient to satisfy the corporation that such Proposing Person has met the requirements of Rule 14a-19(a)(3) promulgated under the 1934 Act in accordance with the following sentence) or (y) fails to inform the corporation that they no longer plan to solicit proxies in accordance with the requirements of Rule 14a-19 under the 1934 Act by delivering a written notice to the Secretary at the principal executive offices of the corporation within two Business Days after the occurrence of such change, then the nomination of each such proposed nominee shall be disregarded (and such nominee disqualified from standing for election or re-election), notwithstanding that the nominee is included (as applicable) as a nominee in the corporation’s proxy statement, notice of meeting or other proxy materials for any stockholder meeting (or any supplement thereto) and notwithstanding that proxies or votes in respect of the election of such proposed nominees may have been received by the corporation (which proxies and votes shall be disregarded). Upon request by the corporation, if any Proposing Person provides notice pursuant to Rule 14a-19(b) promulgated under the 1934 Act, such Proposing Person shall deliver to the corporation, no later than five Business Days prior to the applicable meeting, reasonable evidence that it has met the requirements of Rule 14a-19(a)(3) promulgated under the 1934 Act. Notwithstanding anything to the contrary set forth herein, and for the avoidance of doubt, the nomination of any person whose name is included (as applicable) as a nominee in the corporation’s proxy statement, notice of meeting or other proxy materials for any stockholder meeting (or any supplement thereto) as a result of any notice provided by any Proposing Person pursuant to Rule 14a-19(b) promulgated under the Exchange Act with respect to such proposed nominee and whose nomination is not made by or at the direction of the Board of Directors or any authorized committee thereof shall not be deemed (for purposes of clause (i) of Section 5(a) or otherwise) to have been made pursuant to the corporation’s notice of meeting (or any supplement thereto) and any such nominee may only be nominated by a Proposing Person pursuant to clause (b) of Section 5 and, in the case of a special meeting of stockholders, pursuant to and to the extent permitted under Section 6(c) of these Bylaws. Except as otherwise required by applicable law, the chairperson of the meeting shall have the power and duty to determine whether a nomination or any business proposed to be brought before the meeting was made, or proposed, as the case may be, in accordance with the procedures and requirements set forth in the Bylaws (including, without limitation, compliance with Rule 14a-19 promulgated under the 1934 Act) and, if any proposed nomination or business is not in compliance with the Bylaws, or the Proposing Person does not act in accordance with the representations in Sections 5(b)(iv)(D), 5(b)(iv)(E) and 5(e), to declare that such proposal or nomination shall not be presented for stockholder action at the meeting and shall be disregarded (and such nominee disqualified from standing for election or re-election), or that such business shall not be transacted, notwithstanding such proposal or nomination is set forth in (as applicable) the corporation’s proxy statement, notice of meeting or other proxy materials and notwithstanding that proxies or votes in respect of such nomination or such business may have been solicited or received. Notwithstanding the foregoing provisions of this Section 5(f), unless otherwise required by applicable law, if the stockholder (or a qualified representative of the stockholder) does not appear at the annual meeting of stockholders of the corporation to present a nomination or proposed business, such nomination shall be disregarded (and such nominee disqualified from standing for election or re-election) and such proposed business shall not be transacted, notwithstanding such nomination or proposed business is set forth in (as applicable) the corporation’s proxy statement, notice of meeting or other proxy materials and notwithstanding that proxies in respect of such vote may have been received by the corporation. For purposes of this Section 5(f),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561975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1300"/>
        <w:spacing w:after="0"/>
        <w:rPr>
          <w:sz w:val="20"/>
          <w:szCs w:val="20"/>
          <w:color w:val="auto"/>
        </w:rPr>
      </w:pPr>
      <w:r>
        <w:rPr>
          <w:rFonts w:ascii="Arial" w:cs="Arial" w:eastAsia="Arial" w:hAnsi="Arial"/>
          <w:sz w:val="18"/>
          <w:szCs w:val="18"/>
          <w:b w:val="1"/>
          <w:bCs w:val="1"/>
          <w:color w:val="auto"/>
        </w:rPr>
        <w:t xml:space="preserve">(g)           </w:t>
      </w:r>
      <w:r>
        <w:rPr>
          <w:rFonts w:ascii="Arial" w:cs="Arial" w:eastAsia="Arial" w:hAnsi="Arial"/>
          <w:sz w:val="18"/>
          <w:szCs w:val="18"/>
          <w:color w:val="auto"/>
        </w:rPr>
        <w:t>For purposes of Sections 5 and 6,</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 xml:space="preserve">(i)           </w:t>
      </w:r>
      <w:r>
        <w:rPr>
          <w:rFonts w:ascii="Arial" w:cs="Arial" w:eastAsia="Arial" w:hAnsi="Arial"/>
          <w:sz w:val="16"/>
          <w:szCs w:val="16"/>
          <w:color w:val="auto"/>
        </w:rPr>
        <w:t>“</w:t>
      </w:r>
      <w:r>
        <w:rPr>
          <w:rFonts w:ascii="Arial" w:cs="Arial" w:eastAsia="Arial" w:hAnsi="Arial"/>
          <w:sz w:val="16"/>
          <w:szCs w:val="16"/>
          <w:b w:val="1"/>
          <w:bCs w:val="1"/>
          <w:i w:val="1"/>
          <w:iCs w:val="1"/>
          <w:color w:val="auto"/>
        </w:rPr>
        <w:t>affiliates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associates</w:t>
      </w:r>
      <w:r>
        <w:rPr>
          <w:rFonts w:ascii="Arial" w:cs="Arial" w:eastAsia="Arial" w:hAnsi="Arial"/>
          <w:sz w:val="16"/>
          <w:szCs w:val="16"/>
          <w:color w:val="auto"/>
        </w:rPr>
        <w:t>” shall have the meanings set forth in Rule 405 under the Securities Act of 1933, as amended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1933 Act</w:t>
      </w:r>
      <w:r>
        <w:rPr>
          <w:rFonts w:ascii="Arial" w:cs="Arial" w:eastAsia="Arial" w:hAnsi="Arial"/>
          <w:sz w:val="18"/>
          <w:szCs w:val="18"/>
          <w:color w:val="auto"/>
        </w:rPr>
        <w:t>”);</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(ii)          </w:t>
      </w: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Saturday, Sunday or a day on which banks are closed in New York City, New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07" w:lineRule="exact"/>
        <w:rPr>
          <w:sz w:val="20"/>
          <w:szCs w:val="20"/>
          <w:color w:val="auto"/>
        </w:rPr>
      </w:pPr>
    </w:p>
    <w:p>
      <w:pPr>
        <w:ind w:firstLine="1944"/>
        <w:spacing w:after="0" w:line="282" w:lineRule="auto"/>
        <w:rPr>
          <w:sz w:val="20"/>
          <w:szCs w:val="20"/>
          <w:color w:val="auto"/>
        </w:rPr>
      </w:pPr>
      <w:r>
        <w:rPr>
          <w:rFonts w:ascii="Arial" w:cs="Arial" w:eastAsia="Arial" w:hAnsi="Arial"/>
          <w:sz w:val="18"/>
          <w:szCs w:val="18"/>
          <w:b w:val="1"/>
          <w:bCs w:val="1"/>
          <w:color w:val="auto"/>
        </w:rPr>
        <w:t xml:space="preserve">(iii)         </w:t>
      </w: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means 6:00 p.m. local time at the principal executive offices of the corporation on any calendar day,</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or not the day is a Business Day;</w:t>
      </w:r>
    </w:p>
    <w:p>
      <w:pPr>
        <w:spacing w:after="0" w:line="162" w:lineRule="exact"/>
        <w:rPr>
          <w:sz w:val="20"/>
          <w:szCs w:val="20"/>
          <w:color w:val="auto"/>
        </w:rPr>
      </w:pPr>
    </w:p>
    <w:p>
      <w:pPr>
        <w:ind w:firstLine="1944"/>
        <w:spacing w:after="0" w:line="282" w:lineRule="auto"/>
        <w:rPr>
          <w:sz w:val="20"/>
          <w:szCs w:val="20"/>
          <w:color w:val="auto"/>
        </w:rPr>
      </w:pPr>
      <w:r>
        <w:rPr>
          <w:rFonts w:ascii="Arial" w:cs="Arial" w:eastAsia="Arial" w:hAnsi="Arial"/>
          <w:sz w:val="18"/>
          <w:szCs w:val="18"/>
          <w:b w:val="1"/>
          <w:bCs w:val="1"/>
          <w:color w:val="auto"/>
        </w:rPr>
        <w:t xml:space="preserve">(iv)          </w:t>
      </w:r>
      <w:r>
        <w:rPr>
          <w:rFonts w:ascii="Arial" w:cs="Arial" w:eastAsia="Arial" w:hAnsi="Arial"/>
          <w:sz w:val="18"/>
          <w:szCs w:val="18"/>
          <w:color w:val="auto"/>
        </w:rPr>
        <w:t>“</w:t>
      </w:r>
      <w:r>
        <w:rPr>
          <w:rFonts w:ascii="Arial" w:cs="Arial" w:eastAsia="Arial" w:hAnsi="Arial"/>
          <w:sz w:val="18"/>
          <w:szCs w:val="18"/>
          <w:b w:val="1"/>
          <w:bCs w:val="1"/>
          <w:i w:val="1"/>
          <w:iCs w:val="1"/>
          <w:color w:val="auto"/>
        </w:rPr>
        <w:t>Derivative Transaction</w:t>
      </w:r>
      <w:r>
        <w:rPr>
          <w:rFonts w:ascii="Arial" w:cs="Arial" w:eastAsia="Arial" w:hAnsi="Arial"/>
          <w:sz w:val="18"/>
          <w:szCs w:val="18"/>
          <w:color w:val="auto"/>
        </w:rPr>
        <w:t>” means any agreement, arrangement, interest or understanding entered into by, or on behalf or</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benefit of, any Proposing Person or any of its affiliates or associates, whether record or beneficial:</w:t>
      </w:r>
    </w:p>
    <w:p>
      <w:pPr>
        <w:spacing w:after="0" w:line="166" w:lineRule="exact"/>
        <w:rPr>
          <w:sz w:val="20"/>
          <w:szCs w:val="20"/>
          <w:color w:val="auto"/>
        </w:rPr>
      </w:pPr>
    </w:p>
    <w:p>
      <w:pPr>
        <w:ind w:left="1960" w:hanging="8"/>
        <w:spacing w:after="0" w:line="277" w:lineRule="auto"/>
        <w:tabs>
          <w:tab w:leader="none" w:pos="2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value of which is derived in whole or in part from the value of any class or series of shares or other securities of the corporation;</w:t>
      </w:r>
    </w:p>
    <w:p>
      <w:pPr>
        <w:spacing w:after="0" w:line="170" w:lineRule="exact"/>
        <w:rPr>
          <w:rFonts w:ascii="Arial" w:cs="Arial" w:eastAsia="Arial" w:hAnsi="Arial"/>
          <w:sz w:val="18"/>
          <w:szCs w:val="18"/>
          <w:color w:val="auto"/>
        </w:rPr>
      </w:pPr>
    </w:p>
    <w:p>
      <w:pPr>
        <w:ind w:left="1960" w:hanging="8"/>
        <w:spacing w:after="0" w:line="277" w:lineRule="auto"/>
        <w:tabs>
          <w:tab w:leader="none" w:pos="22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otherwise provides any direct or indirect opportunity to gain or share in any gain derived from a change in the value of securities of the corporation;</w:t>
      </w:r>
    </w:p>
    <w:p>
      <w:pPr>
        <w:spacing w:after="0" w:line="170" w:lineRule="exact"/>
        <w:rPr>
          <w:rFonts w:ascii="Arial" w:cs="Arial" w:eastAsia="Arial" w:hAnsi="Arial"/>
          <w:sz w:val="18"/>
          <w:szCs w:val="18"/>
          <w:color w:val="auto"/>
        </w:rPr>
      </w:pPr>
    </w:p>
    <w:p>
      <w:pPr>
        <w:ind w:left="1960" w:hanging="8"/>
        <w:spacing w:after="0" w:line="277" w:lineRule="auto"/>
        <w:tabs>
          <w:tab w:leader="none" w:pos="22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or intent of which is to mitigate loss, manage risk or benefit from changes in value or price with respect to any securities of the corporation; or</w:t>
      </w:r>
    </w:p>
    <w:p>
      <w:pPr>
        <w:spacing w:after="0" w:line="170" w:lineRule="exact"/>
        <w:rPr>
          <w:rFonts w:ascii="Arial" w:cs="Arial" w:eastAsia="Arial" w:hAnsi="Arial"/>
          <w:sz w:val="18"/>
          <w:szCs w:val="18"/>
          <w:color w:val="auto"/>
        </w:rPr>
      </w:pPr>
    </w:p>
    <w:p>
      <w:pPr>
        <w:ind w:left="1960" w:right="20" w:hanging="8"/>
        <w:spacing w:after="0" w:line="277" w:lineRule="auto"/>
        <w:tabs>
          <w:tab w:leader="none" w:pos="22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provides the right to vote or increase or decrease the voting power of, such Proposing Person, or any of its affiliates or associates, directly or indirectly, with respect to any securities of the corporation,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which agreement, arrangement, interest or understanding may include, without limitation, any option, warrant, debt position, note, bond, convertible security, swap, stock appreciation or similar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Proposing Person in the securities of the corporation held by any general or limited partnership, or any limited liability company, of which such Proposing Person is, directly or indirectly, a general partner or managing member; and</w:t>
      </w:r>
    </w:p>
    <w:p>
      <w:pPr>
        <w:spacing w:after="0" w:line="172" w:lineRule="exact"/>
        <w:rPr>
          <w:sz w:val="20"/>
          <w:szCs w:val="20"/>
          <w:color w:val="auto"/>
        </w:rPr>
      </w:pPr>
    </w:p>
    <w:p>
      <w:pPr>
        <w:jc w:val="both"/>
        <w:ind w:firstLine="1944"/>
        <w:spacing w:after="0" w:line="261" w:lineRule="auto"/>
        <w:rPr>
          <w:sz w:val="20"/>
          <w:szCs w:val="20"/>
          <w:color w:val="auto"/>
        </w:rPr>
      </w:pPr>
      <w:r>
        <w:rPr>
          <w:rFonts w:ascii="Arial" w:cs="Arial" w:eastAsia="Arial" w:hAnsi="Arial"/>
          <w:sz w:val="18"/>
          <w:szCs w:val="18"/>
          <w:b w:val="1"/>
          <w:bCs w:val="1"/>
          <w:color w:val="auto"/>
        </w:rPr>
        <w:t xml:space="preserve">(v)           </w:t>
      </w:r>
      <w:r>
        <w:rPr>
          <w:rFonts w:ascii="Arial" w:cs="Arial" w:eastAsia="Arial" w:hAnsi="Arial"/>
          <w:sz w:val="18"/>
          <w:szCs w:val="18"/>
          <w:color w:val="auto"/>
        </w:rPr>
        <w:t>“</w:t>
      </w:r>
      <w:r>
        <w:rPr>
          <w:rFonts w:ascii="Arial" w:cs="Arial" w:eastAsia="Arial" w:hAnsi="Arial"/>
          <w:sz w:val="18"/>
          <w:szCs w:val="18"/>
          <w:b w:val="1"/>
          <w:bCs w:val="1"/>
          <w:i w:val="1"/>
          <w:iCs w:val="1"/>
          <w:color w:val="auto"/>
        </w:rPr>
        <w:t>Proposing Person</w:t>
      </w:r>
      <w:r>
        <w:rPr>
          <w:rFonts w:ascii="Arial" w:cs="Arial" w:eastAsia="Arial" w:hAnsi="Arial"/>
          <w:sz w:val="18"/>
          <w:szCs w:val="18"/>
          <w:color w:val="auto"/>
        </w:rPr>
        <w:t>” includes each of the stockholders giving the notice, the beneficial owner or beneficial owners, if</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on whose behalf the nomination or proposal for other business subject to Section 5 of Article III is made, any of their respective affiliates or associates (including, if such stockholder or beneficial owner is an entity, each director, executive, managing member or control person of such entity), and any others acting in concert.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944"/>
        <w:spacing w:after="0" w:line="261" w:lineRule="auto"/>
        <w:rPr>
          <w:sz w:val="20"/>
          <w:szCs w:val="20"/>
          <w:color w:val="auto"/>
        </w:rPr>
      </w:pPr>
      <w:r>
        <w:rPr>
          <w:rFonts w:ascii="Arial" w:cs="Arial" w:eastAsia="Arial" w:hAnsi="Arial"/>
          <w:sz w:val="18"/>
          <w:szCs w:val="18"/>
          <w:b w:val="1"/>
          <w:bCs w:val="1"/>
          <w:color w:val="auto"/>
        </w:rPr>
        <w:t xml:space="preserve">(vi)           </w:t>
      </w:r>
      <w:r>
        <w:rPr>
          <w:rFonts w:ascii="Arial" w:cs="Arial" w:eastAsia="Arial" w:hAnsi="Arial"/>
          <w:sz w:val="18"/>
          <w:szCs w:val="18"/>
          <w:color w:val="auto"/>
        </w:rPr>
        <w:t>“</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shall mean disclosure in a press release reported by the Dow Jones News Service,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Press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Special Meetings.</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Special meetings of the stockholders of the corporation may be called, for any purpose as is a proper matter for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action under Delaware law, by (i) the Chairperson of the Board of Directors, (ii) the Chief Executive Officer, or (iii) the Board of Directors pursuant to a resolution adopted by the Board of Directors.</w:t>
      </w:r>
    </w:p>
    <w:p>
      <w:pPr>
        <w:spacing w:after="0" w:line="176"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The Board of Directors shall determine the date, time and place, if any, of such special meeting. Upon determination of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time and place, if any, of the meeting, the Secretary shall cause a notice of meeting to be given to the stockholders entitled to vote, in accordance with the provisions of Section 7. No business may be transacted at such special meeting otherwise than specified in the notice of meeting.</w:t>
      </w:r>
    </w:p>
    <w:p>
      <w:pPr>
        <w:spacing w:after="0" w:line="142"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Only such business (including the election of specific individuals to fill vacancies or newly created directorships on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(i) by or at the direction of the Board of Directors or a duly authorized committee thereof or (ii) by any stockholder of the corporation who is a stockholder of record (and, with respect to any beneficial owner, if different, on whose behalf such nomination or nominations are made, only if such beneficial owner was the beneficial owner of shares of the corporation) at the time of giving notice provided for in this paragraph and who is a stockholder of record at the time of the special meeting, who is entitled to vote at the meeting and who delivers written notice to the Secretary of the corporation setting forth the information required by Sections 5(b)(i), 5(b)(iv) and 5(e). The number of nominees a stockholder may nominate for election at a special meeting on its own behalf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Sections 5(b)(i), 5(b)(iv) and 5(e) shall be received by the Secretary at the principal</w:t>
      </w:r>
    </w:p>
    <w:p>
      <w:pPr>
        <w:spacing w:after="0" w:line="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executive offices of the corporation not earlier than 120 days prior to such special meeting and not later than the close of business on the later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meeting or the tenth day following the day on which the corporation first makes a public announcement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(or extend any time period) for the giving of a stockholder’s notice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296"/>
        <w:spacing w:after="0" w:line="287" w:lineRule="auto"/>
        <w:rPr>
          <w:sz w:val="20"/>
          <w:szCs w:val="20"/>
          <w:color w:val="auto"/>
        </w:rPr>
      </w:pPr>
      <w:r>
        <w:rPr>
          <w:rFonts w:ascii="Arial" w:cs="Arial" w:eastAsia="Arial" w:hAnsi="Arial"/>
          <w:sz w:val="16"/>
          <w:szCs w:val="16"/>
          <w:b w:val="1"/>
          <w:bCs w:val="1"/>
          <w:color w:val="auto"/>
        </w:rPr>
        <w:t xml:space="preserve">(d)           </w:t>
      </w:r>
      <w:r>
        <w:rPr>
          <w:rFonts w:ascii="Arial" w:cs="Arial" w:eastAsia="Arial" w:hAnsi="Arial"/>
          <w:sz w:val="16"/>
          <w:szCs w:val="16"/>
          <w:color w:val="auto"/>
        </w:rPr>
        <w:t>A person shall not be eligible for election or re-election as a director at the special meeting unless the person is nominated either</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clause (i) or clause (ii) of Section 6(c). Except as otherwise required by applicable law, the chairperson of the meeting shall have the power and duty to determine whether a nomination was made in accordance with the procedures and requirements set forth in the Bylaws and, if any proposed nomination or business is not in compliance with the Bylaws (including, without limitation, compliance with Rule 14a-19 under the 1934 Act), or if the Proposing Person does not act in accordance with the representations in Sections 5(b)(iv)(D), 5(b)(iv)(E) and 5(e), to declare that such nomination shall not be presented for stockholder action at the meeting and shall be disregarded (and such nominee disqualified from standing for election or re-election), notwithstanding that such nomination is set forth in (as applicable) the corporation’s proxy statement, notice of meeting or other proxy materials and notwithstanding that proxies in respect of such nomination may have been solicited or received. Notwithstanding the foregoing provisions of this Section 6(d), unless otherwise required by applicable law, if the stockholder or a qualified representative of the stockholder does not appear at the special meeting of stockholders of the corporation to present a nomination, such nomination shall be disregarded (and such nominee disqualified from standing for election or re-election), notwithstanding that the nomination is set forth (as applicable) in the corporation’s proxy statement, notice of meeting or other proxy materials and notwithstanding that proxies or votes in respect of such nomination may have been solicited or received by the corporation.</w:t>
      </w:r>
    </w:p>
    <w:p>
      <w:pPr>
        <w:spacing w:after="0" w:line="16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b w:val="1"/>
          <w:bCs w:val="1"/>
          <w:color w:val="auto"/>
        </w:rPr>
        <w:t xml:space="preserve">(e)           </w:t>
      </w:r>
      <w:r>
        <w:rPr>
          <w:rFonts w:ascii="Arial" w:cs="Arial" w:eastAsia="Arial" w:hAnsi="Arial"/>
          <w:sz w:val="17"/>
          <w:szCs w:val="17"/>
          <w:color w:val="auto"/>
        </w:rPr>
        <w:t>Notwithstanding the foregoing provisions of Sections 5 and 6, a stockholder must also comply with all applicable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1934 Act and the rules and regulations promulgated thereunder with respect to matters set forth in Sections 5 and 6, and any failure to comply with such requirements shall be deemed a failure to comply with Section 5 or 6, as applicable</w:t>
      </w:r>
      <w:r>
        <w:rPr>
          <w:rFonts w:ascii="Arial" w:cs="Arial" w:eastAsia="Arial" w:hAnsi="Arial"/>
          <w:sz w:val="17"/>
          <w:szCs w:val="17"/>
          <w:i w:val="1"/>
          <w:iCs w:val="1"/>
          <w:color w:val="auto"/>
        </w:rPr>
        <w:t>, provided, however,</w:t>
      </w:r>
      <w:r>
        <w:rPr>
          <w:rFonts w:ascii="Arial" w:cs="Arial" w:eastAsia="Arial" w:hAnsi="Arial"/>
          <w:sz w:val="17"/>
          <w:szCs w:val="17"/>
          <w:color w:val="auto"/>
        </w:rPr>
        <w:t xml:space="preserve"> that to the fullest extent not prohibited by applicable law, any references in these Bylaws to the 1934 Act or the rules and regulations promulgated thereunder are not intended to and shall not limit the requirements applicable to proposals and/or nominations for the election to the Board of Directors to be considered pursuant to Sections 5 or 6. Nothing in the Bylaws shall be deemed to affect any rights of holders of any class or series of preferred stock to nominate and elect directors pursuant to and to the extent provided in any applicable provision of the Certificate of Incorporation.</w:t>
      </w:r>
    </w:p>
    <w:p>
      <w:pPr>
        <w:spacing w:after="0" w:line="17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7.           Notice of Meetings. </w:t>
      </w:r>
      <w:r>
        <w:rPr>
          <w:rFonts w:ascii="Arial" w:cs="Arial" w:eastAsia="Arial" w:hAnsi="Arial"/>
          <w:sz w:val="17"/>
          <w:szCs w:val="17"/>
          <w:color w:val="auto"/>
        </w:rPr>
        <w:t>Except as otherwise provided by applicable law or the Certificate of Incorporation or the Bylaws, notice,</w:t>
      </w:r>
      <w:r>
        <w:rPr>
          <w:rFonts w:ascii="Arial" w:cs="Arial" w:eastAsia="Arial" w:hAnsi="Arial"/>
          <w:sz w:val="17"/>
          <w:szCs w:val="17"/>
          <w:b w:val="1"/>
          <w:bCs w:val="1"/>
          <w:color w:val="auto"/>
        </w:rPr>
        <w:t xml:space="preserve"> </w:t>
      </w:r>
      <w:r>
        <w:rPr>
          <w:rFonts w:ascii="Arial" w:cs="Arial" w:eastAsia="Arial" w:hAnsi="Arial"/>
          <w:sz w:val="17"/>
          <w:szCs w:val="17"/>
          <w:color w:val="auto"/>
        </w:rPr>
        <w:t>given in writing or by electronic transmission, of each meeting of stockholders shall be given not less than ten nor more than 60 days before the date of the meeting to each stockholder entitled to vote at such meeting. Such notice shall be given in the manner provided in Section 232 of the DGCL and shall specify the date, time, place, if any, in the case of special meetings, the purpose or purposes of the meeting, the record date for determining stockholders entitled to vote at the meeting, if such record date is different from the record date for determining stockholders entitled to notice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If sent via electronic transmission, notice is given when directed to such stockholder’s electronic mail address unless (a) the stockholder has notified the corporation in writing or by electronic transmission of an objection to receiving notice by electronic mail or (b) electronic transmission of such notice is prohibited by applicable law.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8.           Quorum and Vote Required. </w:t>
      </w:r>
      <w:r>
        <w:rPr>
          <w:rFonts w:ascii="Arial" w:cs="Arial" w:eastAsia="Arial" w:hAnsi="Arial"/>
          <w:sz w:val="18"/>
          <w:szCs w:val="18"/>
          <w:color w:val="auto"/>
        </w:rPr>
        <w:t>At all meetings of stockholders, except where otherwise provided by statute or by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or by the Bylaws, the presence, in person, by remote communication, if applicable, or by proxy duly authorized, of the holders of a majority of the voting power of the outstanding shares of stock entitled to vote at the meeting shall constitute a quorum for the transaction of business. In the absence of a quorum, any meeting of stockholders may be adjourned, with or without notice, other than announcement at the meeting or in a manner otherwise permitted by DGCL, from time to time, either by the chairperson of the meeting or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Unless a different or minimum vote is required by statute or by applicable stock exchange rules, or by the Certificate of Incorporation or the Bylaws, in which case such different or minimum vote shall be the applicable vote on the matter, in all matters other than the election of directors, the affirmative vote of the holders of a majority of the voting power of the shares present in person, by remote communication, if applicable, or represented by proxy duly authorized at the meeting and voting affirmatively or negatively (excluding abstentions and broker non-votes) on such matter shall be the act of the stockholders. Except as otherwise provided by statute or by applicable stock exchange rules, the Certificate of Incorporation or the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statute or by the Certificate of Incorporation or the Bylaws or any applicable stock exchange rules, the holders of a majority of the voting power of the outstanding shares of such class or classes or series, present in person, by remote communication, if applicable, or represented by proxy duly authorized, shall constitute a quorum entitled to take action with respect to that vote on that matter. Unless a different or minimum vote is required by statute or by the Certificate of Incorporation or the Bylaws or any applicable stock exchange rules, in which case such different or minimum vote shall be the applicable vote on the matter, the affirmative vote of the holders of a majority (plurality, in the case of the election of directors) of the voting power of the shares of such class or classes or series present in person, by remote communication, if applicable, or represented by proxy duly authorized at the meeting and voting affirmatively or negatively (excluding abstention and broker non-votes) on such matter shall be the act of such class or classes or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9.            Adjournment and Notice of Adjourned Meetings. </w:t>
      </w:r>
      <w:r>
        <w:rPr>
          <w:rFonts w:ascii="Arial" w:cs="Arial" w:eastAsia="Arial" w:hAnsi="Arial"/>
          <w:sz w:val="16"/>
          <w:szCs w:val="16"/>
          <w:color w:val="auto"/>
        </w:rPr>
        <w:t>Any meeting of stockholders, whether annual or special, may be adjourned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either by the chairperson of the meeting or by the vote of the holders of a majority of the voting power of the shares present in person, by remote communication, if applicable, or represented by proxy duly authorized at the meeting and entitled to vote thereon. When a meeting is adjourned to another time or place, if any, (including an adjournment taken to address a technical failure to convene or continue a meeting using remote communication)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or are (i) displayed, during the time scheduled for the meeting, on the same electronic network used to enable stockholders and proxy holders to participate in the meeting by means of remote communication or (ii) set forth in the notice of meeting given in accordance with Section 7. At the adjourned meeting, the corporation may transact any business that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10.          Voting Rights. </w:t>
      </w:r>
      <w:r>
        <w:rPr>
          <w:rFonts w:ascii="Arial" w:cs="Arial" w:eastAsia="Arial" w:hAnsi="Arial"/>
          <w:sz w:val="16"/>
          <w:szCs w:val="16"/>
          <w:color w:val="auto"/>
        </w:rPr>
        <w:t>For the purpose of determining those stockholders entitled to vote at any meeting of the stockholders or</w:t>
      </w:r>
      <w:r>
        <w:rPr>
          <w:rFonts w:ascii="Arial" w:cs="Arial" w:eastAsia="Arial" w:hAnsi="Arial"/>
          <w:sz w:val="16"/>
          <w:szCs w:val="16"/>
          <w:b w:val="1"/>
          <w:bCs w:val="1"/>
          <w:color w:val="auto"/>
        </w:rPr>
        <w:t xml:space="preserve"> </w:t>
      </w:r>
      <w:r>
        <w:rPr>
          <w:rFonts w:ascii="Arial" w:cs="Arial" w:eastAsia="Arial" w:hAnsi="Arial"/>
          <w:sz w:val="16"/>
          <w:szCs w:val="16"/>
          <w:color w:val="auto"/>
        </w:rPr>
        <w:t>adjournment thereof, except as otherwise provided by applicable law, only persons in whose names shares stand on the stock records of the corporation on the record date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Every proxy must be authorized by an instrument in writing or by a transmission permitted by law, including Rule 14a-19 promulgated under the 1934 Act, filed in accordance with the procedure established for the meeting and signed by the stockholder or by such stockholder’s attorney-in-fact. No proxy shall be voted after three years from its date of creation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Any stockholder directly or indirectly soliciting proxies from other stockholders must use a proxy card color other than white, which shall be reserved for the exclusive use of the Board of Directors.</w:t>
      </w:r>
    </w:p>
    <w:p>
      <w:pPr>
        <w:spacing w:after="0" w:line="16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Section 11.          Joint Owners of Stock. </w:t>
      </w:r>
      <w:r>
        <w:rPr>
          <w:rFonts w:ascii="Arial" w:cs="Arial" w:eastAsia="Arial" w:hAnsi="Arial"/>
          <w:sz w:val="16"/>
          <w:szCs w:val="16"/>
          <w:color w:val="auto"/>
        </w:rPr>
        <w:t>If shares or other securities having voting power stand of record in the names of two or more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w:t>
      </w:r>
    </w:p>
    <w:p>
      <w:pPr>
        <w:spacing w:after="0" w:line="2" w:lineRule="exact"/>
        <w:rPr>
          <w:sz w:val="20"/>
          <w:szCs w:val="20"/>
          <w:color w:val="auto"/>
        </w:rPr>
      </w:pPr>
    </w:p>
    <w:p>
      <w:pPr>
        <w:jc w:val="both"/>
        <w:ind w:firstLine="8"/>
        <w:spacing w:after="0" w:line="253"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only one votes, his or her act binds all; (b) if more than one votes, the act of the majority so voting binds all; (c) if more than one votes, but the vote is evenly split on any particular matter, each faction may vote the securities in question proportionally, or may apply to the Delaware Court of Chancery for relief as provided in Section 217(b) of the DGCL. If the instrument filed with the Secretary shows that any such tenancy is held in unequal interests, a majority or even-split for the purpose of subsection (c) shall be a majority or even-split in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12.          List of Stockholders. </w:t>
      </w:r>
      <w:r>
        <w:rPr>
          <w:rFonts w:ascii="Arial" w:cs="Arial" w:eastAsia="Arial" w:hAnsi="Arial"/>
          <w:sz w:val="17"/>
          <w:szCs w:val="17"/>
          <w:color w:val="auto"/>
        </w:rPr>
        <w:t>The corporation shall prepare, no later than the tenth day before each meeting of stockholders, a complete</w:t>
      </w:r>
      <w:r>
        <w:rPr>
          <w:rFonts w:ascii="Arial" w:cs="Arial" w:eastAsia="Arial" w:hAnsi="Arial"/>
          <w:sz w:val="17"/>
          <w:szCs w:val="17"/>
          <w:b w:val="1"/>
          <w:bCs w:val="1"/>
          <w:color w:val="auto"/>
        </w:rPr>
        <w:t xml:space="preserve"> </w:t>
      </w:r>
      <w:r>
        <w:rPr>
          <w:rFonts w:ascii="Arial" w:cs="Arial" w:eastAsia="Arial" w:hAnsi="Arial"/>
          <w:sz w:val="17"/>
          <w:szCs w:val="17"/>
          <w:color w:val="auto"/>
        </w:rPr>
        <w:t>list of the stockholders entitled to vote at said meeting, arranged in alphabetical order, showing the address of each stockholder and the number and class of shares registered in the name of each stockholder; provided, however, if the record date for determining the stockholders entitled to vote is less than ten days before the meeting date, the list shall reflect all of the stockholders entitled to vote as of the tenth day before the meeting date.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          Action without Meeting.</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 action shall be taken by the stockholders of the corporation except at an annual or special meeting of stockholders duly called in accordance with the Bylaws, and no action shall be taken by the stockholders by written consent.</w:t>
      </w:r>
    </w:p>
    <w:p>
      <w:pPr>
        <w:spacing w:after="0" w:line="16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14.          Remote Communication. </w:t>
      </w:r>
      <w:r>
        <w:rPr>
          <w:rFonts w:ascii="Arial" w:cs="Arial" w:eastAsia="Arial" w:hAnsi="Arial"/>
          <w:sz w:val="16"/>
          <w:szCs w:val="16"/>
          <w:color w:val="auto"/>
        </w:rPr>
        <w:t>For the purposes of the Bylaws, if authorized by the Board of Directors in its sole discretion,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such guidelines and procedures as the Board of Directors may adopt, stockholders and proxyholders may, by means of remote communication:</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participate in a meeting of stockholders; and</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be deemed present in person and vote at a meeting of stockholders whether such meeting is to be held at a designated place or</w:t>
      </w:r>
      <w:r>
        <w:rPr>
          <w:rFonts w:ascii="Arial" w:cs="Arial" w:eastAsia="Arial" w:hAnsi="Arial"/>
          <w:sz w:val="18"/>
          <w:szCs w:val="18"/>
          <w:b w:val="1"/>
          <w:bCs w:val="1"/>
          <w:color w:val="auto"/>
        </w:rPr>
        <w:t xml:space="preserve"> </w:t>
      </w:r>
      <w:r>
        <w:rPr>
          <w:rFonts w:ascii="Arial" w:cs="Arial" w:eastAsia="Arial" w:hAnsi="Arial"/>
          <w:sz w:val="18"/>
          <w:szCs w:val="18"/>
          <w:color w:val="auto"/>
        </w:rPr>
        <w:t>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15.          Organization.</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At every meeting of stockholders, the Chairperson of the Board of Directors, or, if a Chairperson has not been appointed, is</w:t>
      </w:r>
      <w:r>
        <w:rPr>
          <w:rFonts w:ascii="Arial" w:cs="Arial" w:eastAsia="Arial" w:hAnsi="Arial"/>
          <w:sz w:val="17"/>
          <w:szCs w:val="17"/>
          <w:b w:val="1"/>
          <w:bCs w:val="1"/>
          <w:color w:val="auto"/>
        </w:rPr>
        <w:t xml:space="preserve"> </w:t>
      </w:r>
      <w:r>
        <w:rPr>
          <w:rFonts w:ascii="Arial" w:cs="Arial" w:eastAsia="Arial" w:hAnsi="Arial"/>
          <w:sz w:val="17"/>
          <w:szCs w:val="17"/>
          <w:color w:val="auto"/>
        </w:rPr>
        <w:t>absent or refuses to act, the Chief Executive Officer, or if no Chief Executive Officer is then serving or the Chief Executive Officer is absent or refuses to act, the President, or, if the President is absent or refuses to act, a chairperson of the meeting designated by the Board of Directors, or, if the Board of Directors does not designate such chairperson, a chairperson of the meeting chosen by a majority of the voting power of the stockholders entitled to vote, present in person or by proxy duly authorized, shall act as chairperson of the meeting of stockholders. The Chairperson of the Board of Directors may appoint the Chief Executive Officer as chairperson of the meeting. The Secretary, or, in his or her absence, an Assistant Secretary or other officer or other person directed to do so by the chairperson of the meeting, shall act as secretary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296"/>
        <w:spacing w:after="0" w:line="288"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The Board of Directors shall be entitled to make such rules or regulations for the conduct of meetings of stockholders as it shall</w:t>
      </w:r>
      <w:r>
        <w:rPr>
          <w:rFonts w:ascii="Arial" w:cs="Arial" w:eastAsia="Arial" w:hAnsi="Arial"/>
          <w:sz w:val="16"/>
          <w:szCs w:val="16"/>
          <w:b w:val="1"/>
          <w:bCs w:val="1"/>
          <w:color w:val="auto"/>
        </w:rPr>
        <w:t xml:space="preserve"> </w:t>
      </w:r>
      <w:r>
        <w:rPr>
          <w:rFonts w:ascii="Arial" w:cs="Arial" w:eastAsia="Arial" w:hAnsi="Arial"/>
          <w:sz w:val="16"/>
          <w:szCs w:val="16"/>
          <w:color w:val="auto"/>
        </w:rPr>
        <w:t>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163"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The corporation may and shall, if required by applicable law, in advance of any meeting of stockholders, appoint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inspectors to act at the meeting and make a written report thereof. The corporation may designate one or more persons as alternate inspectors to replace any inspector who fails to act. If no inspector or alternate is able to act at a meeting of stockholders, the chairperson of the meeting shall appoint one or more inspectors to act at the meeting. Each inspector, before entering upon the discharge of the duties of inspector, shall take and sign an oath faithfully to execute the duties of inspector with strict impartiality and according to the best of such inspector’s ability. The inspectors shall: (1) ascertain the number of shares outstanding and the voting power of each; (2) determine the shares represented at a meeting and the validity of proxies and ballots; (3) count all votes and ballots; (4) determine and retain for a reasonable period a record of the disposition of any challenges made to any determination by the inspectors; and (5) certify their determination of the number of shares represented at the meeting, and their count of all votes and ballots. The inspectors may appoint or retain other persons or entities to assist the inspectors in the performance of the duties of the inspectors. In determining the validity and counting of proxies and ballots, the inspectors shall be limited to an examination of the proxies, any envelopes submitted with those proxies, any information provided in accordance with Sections 211(e) or 212(c)(2) of the DGCL or any information provided pursuant to Sections 211(a)(2)b.(i) or (iii)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pursuant to Section 231(b)(5) of the DGCL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16.          Number and Term of Office. </w:t>
      </w:r>
      <w:r>
        <w:rPr>
          <w:rFonts w:ascii="Arial" w:cs="Arial" w:eastAsia="Arial" w:hAnsi="Arial"/>
          <w:sz w:val="18"/>
          <w:szCs w:val="18"/>
          <w:color w:val="auto"/>
        </w:rPr>
        <w:t>The authorized number of directors of the corporation shall be fixed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Directors need not be stockholders unless so required by the Certificate of Incorporation.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17.          Powers. </w:t>
      </w:r>
      <w:r>
        <w:rPr>
          <w:rFonts w:ascii="Arial" w:cs="Arial" w:eastAsia="Arial" w:hAnsi="Arial"/>
          <w:sz w:val="18"/>
          <w:szCs w:val="18"/>
          <w:color w:val="auto"/>
        </w:rPr>
        <w:t>The business and affairs of the corporation shall be managed by or under the direction of the Board of Directors, except</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otherwise provided by the Certificate of Incorporation or the DGCL.</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18.          Classes of Directors. </w:t>
      </w:r>
      <w:r>
        <w:rPr>
          <w:rFonts w:ascii="Arial" w:cs="Arial" w:eastAsia="Arial" w:hAnsi="Arial"/>
          <w:sz w:val="18"/>
          <w:szCs w:val="18"/>
          <w:color w:val="auto"/>
        </w:rPr>
        <w:t>The directors shall be divided into classes as and to the extent provided in the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required by applicable law.</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19.          Vacancies. </w:t>
      </w:r>
      <w:r>
        <w:rPr>
          <w:rFonts w:ascii="Arial" w:cs="Arial" w:eastAsia="Arial" w:hAnsi="Arial"/>
          <w:sz w:val="18"/>
          <w:szCs w:val="18"/>
          <w:color w:val="auto"/>
        </w:rPr>
        <w:t>Vacancies or newly created directorships on the Board of Directors shall be filled as provided in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except as otherwise required by applicable law.</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20.          Resignation. </w:t>
      </w:r>
      <w:r>
        <w:rPr>
          <w:rFonts w:ascii="Arial" w:cs="Arial" w:eastAsia="Arial" w:hAnsi="Arial"/>
          <w:sz w:val="18"/>
          <w:szCs w:val="18"/>
          <w:color w:val="auto"/>
        </w:rPr>
        <w:t>Any director may resign at any time by delivering his or her notice in writing or by electronic transmission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or the Secretary. Such resignation shall take effect at the time of delivery of the notice or at any later time specified therein. Acceptance of such resignation shall not be necessary to make it effective.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 or until his or her earlier death, resignation or removal.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21.          Removal.</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(a)         </w:t>
      </w:r>
      <w:r>
        <w:rPr>
          <w:rFonts w:ascii="Arial" w:cs="Arial" w:eastAsia="Arial" w:hAnsi="Arial"/>
          <w:sz w:val="18"/>
          <w:szCs w:val="18"/>
          <w:color w:val="auto"/>
        </w:rPr>
        <w:t>Subject to any rights of any series of preferred stock to remove directors elected by such series of preferred stock, neither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nor any individual director may be removed from office without cause.</w:t>
      </w:r>
    </w:p>
    <w:p>
      <w:pPr>
        <w:spacing w:after="0" w:line="162"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b w:val="1"/>
          <w:bCs w:val="1"/>
          <w:color w:val="auto"/>
        </w:rPr>
        <w:t>(b)</w:t>
      </w:r>
      <w:r>
        <w:rPr>
          <w:rFonts w:ascii="Arial" w:cs="Arial" w:eastAsia="Arial" w:hAnsi="Arial"/>
          <w:sz w:val="16"/>
          <w:szCs w:val="16"/>
          <w:color w:val="auto"/>
        </w:rPr>
        <w:t>         Subject to any limitation imposed by applicable law and any rights of any series of preferred stock to remove directors elected by</w:t>
      </w:r>
      <w:r>
        <w:rPr>
          <w:rFonts w:ascii="Arial" w:cs="Arial" w:eastAsia="Arial" w:hAnsi="Arial"/>
          <w:sz w:val="16"/>
          <w:szCs w:val="16"/>
          <w:b w:val="1"/>
          <w:bCs w:val="1"/>
          <w:color w:val="auto"/>
        </w:rPr>
        <w:t xml:space="preserve"> </w:t>
      </w:r>
      <w:r>
        <w:rPr>
          <w:rFonts w:ascii="Arial" w:cs="Arial" w:eastAsia="Arial" w:hAnsi="Arial"/>
          <w:sz w:val="16"/>
          <w:szCs w:val="16"/>
          <w:color w:val="auto"/>
        </w:rPr>
        <w:t>such series of preferred stock, any individual director or the entire Board of Directors may be removed from office with cause by the affirmative vote of the</w:t>
      </w:r>
    </w:p>
    <w:p>
      <w:pPr>
        <w:spacing w:after="0" w:line="1" w:lineRule="exact"/>
        <w:rPr>
          <w:sz w:val="20"/>
          <w:szCs w:val="20"/>
          <w:color w:val="auto"/>
        </w:rPr>
      </w:pPr>
    </w:p>
    <w:p>
      <w:pPr>
        <w:jc w:val="both"/>
        <w:ind w:right="20"/>
        <w:spacing w:after="0" w:line="215" w:lineRule="auto"/>
        <w:rPr>
          <w:sz w:val="20"/>
          <w:szCs w:val="20"/>
          <w:color w:val="auto"/>
        </w:rPr>
      </w:pPr>
      <w:r>
        <w:rPr>
          <w:rFonts w:ascii="Arial" w:cs="Arial" w:eastAsia="Arial" w:hAnsi="Arial"/>
          <w:sz w:val="18"/>
          <w:szCs w:val="18"/>
          <w:color w:val="auto"/>
        </w:rPr>
        <w:t>holders of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voting power of all the then-outstanding shares of capital stock of the corporation entitled to vote generally at an election of directors.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22.          Meetings.</w:t>
      </w:r>
    </w:p>
    <w:p>
      <w:pPr>
        <w:spacing w:after="0" w:line="225"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b w:val="1"/>
          <w:bCs w:val="1"/>
          <w:color w:val="auto"/>
        </w:rPr>
        <w:t xml:space="preserve">(a)           Regular Meetings. </w:t>
      </w:r>
      <w:r>
        <w:rPr>
          <w:rFonts w:ascii="Arial" w:cs="Arial" w:eastAsia="Arial" w:hAnsi="Arial"/>
          <w:sz w:val="16"/>
          <w:szCs w:val="16"/>
          <w:color w:val="auto"/>
        </w:rPr>
        <w:t>Unless otherwise restricted by the Certificate of Incorporation, regular meetings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held at any time or date and at any place within or without the State of Delaware that has been designated by the Board of Directors and publicized among all directors, either orally or in writing, by telephone, including a voice-messaging system or other system designed to record and communicate messages, or by electronic mail or other electronic means. No further notice shall be required for regular meetings of the Board of Directors.</w:t>
      </w:r>
    </w:p>
    <w:p>
      <w:pPr>
        <w:spacing w:after="0" w:line="151"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(b)           Special Meetings. </w:t>
      </w:r>
      <w:r>
        <w:rPr>
          <w:rFonts w:ascii="Arial" w:cs="Arial" w:eastAsia="Arial" w:hAnsi="Arial"/>
          <w:sz w:val="18"/>
          <w:szCs w:val="18"/>
          <w:color w:val="auto"/>
        </w:rPr>
        <w:t>Unless otherwise restricted by the Certificate of Incorporation, special meetings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held at any time and place within or without the State of Delaware as designated and called by the Chairperson of the Board of Directors, the Chief Executive Officer 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296"/>
        <w:spacing w:after="0" w:line="289" w:lineRule="auto"/>
        <w:rPr>
          <w:sz w:val="20"/>
          <w:szCs w:val="20"/>
          <w:color w:val="auto"/>
        </w:rPr>
      </w:pPr>
      <w:r>
        <w:rPr>
          <w:rFonts w:ascii="Arial" w:cs="Arial" w:eastAsia="Arial" w:hAnsi="Arial"/>
          <w:sz w:val="17"/>
          <w:szCs w:val="17"/>
          <w:b w:val="1"/>
          <w:bCs w:val="1"/>
          <w:color w:val="auto"/>
        </w:rPr>
        <w:t xml:space="preserve">(c)           Meetings by Electronic Communications Equipment. </w:t>
      </w:r>
      <w:r>
        <w:rPr>
          <w:rFonts w:ascii="Arial" w:cs="Arial" w:eastAsia="Arial" w:hAnsi="Arial"/>
          <w:sz w:val="17"/>
          <w:szCs w:val="17"/>
          <w:color w:val="auto"/>
        </w:rPr>
        <w:t>Any member of the Board of Directors, or of any committee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may 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58"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(d)           Notice of Special Meetings. </w:t>
      </w:r>
      <w:r>
        <w:rPr>
          <w:rFonts w:ascii="Arial" w:cs="Arial" w:eastAsia="Arial" w:hAnsi="Arial"/>
          <w:sz w:val="17"/>
          <w:szCs w:val="17"/>
          <w:color w:val="auto"/>
        </w:rPr>
        <w:t>Notice of the time and place, if any, of all special meetings of the Board of Directors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transmitted orally or in writing, by telephone, including a voice messaging system or other system or technology designed to record and communicate messages, or by electronic mail or other electronic means, during normal business hours, at least 24 hours before the date and time of the meeting. If notice is sent by U.S. mail, it shall be sent by first class mail, postage prepaid, at least three days before the date of the meeting.</w:t>
      </w:r>
    </w:p>
    <w:p>
      <w:pPr>
        <w:spacing w:after="0" w:line="16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b w:val="1"/>
          <w:bCs w:val="1"/>
          <w:color w:val="auto"/>
        </w:rPr>
        <w:t xml:space="preserve">(e)           Waiver of Notice. </w:t>
      </w:r>
      <w:r>
        <w:rPr>
          <w:rFonts w:ascii="Arial" w:cs="Arial" w:eastAsia="Arial" w:hAnsi="Arial"/>
          <w:sz w:val="17"/>
          <w:szCs w:val="17"/>
          <w:color w:val="auto"/>
        </w:rPr>
        <w:t>Notice of any meeting of the Board of Directors may be waived in writing, or by electronic transmission, at</w:t>
      </w:r>
      <w:r>
        <w:rPr>
          <w:rFonts w:ascii="Arial" w:cs="Arial" w:eastAsia="Arial" w:hAnsi="Arial"/>
          <w:sz w:val="17"/>
          <w:szCs w:val="17"/>
          <w:b w:val="1"/>
          <w:bCs w:val="1"/>
          <w:color w:val="auto"/>
        </w:rPr>
        <w:t xml:space="preserve"> </w:t>
      </w:r>
      <w:r>
        <w:rPr>
          <w:rFonts w:ascii="Arial" w:cs="Arial" w:eastAsia="Arial" w:hAnsi="Arial"/>
          <w:sz w:val="17"/>
          <w:szCs w:val="17"/>
          <w:color w:val="auto"/>
        </w:rPr>
        <w:t>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The transaction of all business at any meeting of the Board of Directors, or any committee 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23.          Quorum and Voting.</w:t>
      </w:r>
    </w:p>
    <w:p>
      <w:pPr>
        <w:spacing w:after="0" w:line="225"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Unless the Certificate of Incorporation requires a greater number, and except with respect to questions related to 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arising under Section 47 for which a quorum shall be one-third of the exact number of directors fixed from time to time by the Board of Directors in accordance with the Certificate of Incorporation, a quorum of the Board of Directors shall consist of a majority of the total number of directors then serving on the Board of Directors or, if greater, one-third of the exact number of directors fixed from time to time by the Board of Directors in accordance with the Certificate of Incorporation.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60" w:lineRule="exact"/>
        <w:rPr>
          <w:sz w:val="20"/>
          <w:szCs w:val="20"/>
          <w:color w:val="auto"/>
        </w:rPr>
      </w:pPr>
    </w:p>
    <w:p>
      <w:pPr>
        <w:jc w:val="both"/>
        <w:ind w:firstLine="1296"/>
        <w:spacing w:after="0" w:line="347"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At each meeting of the Board of Directors at which a quorum is present, all questions and business shall be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affirmative vote of a majority of the directors present, unless a different vote be required by applicable law, the Certificate of Incorporation or the Bylaws.</w:t>
      </w:r>
    </w:p>
    <w:p>
      <w:pPr>
        <w:spacing w:after="0" w:line="1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24.          Action without Meeting. </w:t>
      </w:r>
      <w:r>
        <w:rPr>
          <w:rFonts w:ascii="Arial" w:cs="Arial" w:eastAsia="Arial" w:hAnsi="Arial"/>
          <w:sz w:val="18"/>
          <w:szCs w:val="18"/>
          <w:color w:val="auto"/>
        </w:rPr>
        <w:t>Unless otherwise restricted by the Certificate of Incorporation or the Bylaws, any action required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to be taken at any meeting of the Board of Directors or of any committee thereof may be taken without a meeting, if all members of the Board of Directors or committee, as the case may be, consent thereto in writing or by electronic transmission. Such consent or consents shall be filed with the minutes of proceedings of the Board of Directors or committee. After an action is taken, such filing shall be in paper form if the minutes are maintained in paper form and shall be in electronic form if the minutes are maintained in electronic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25.          Fees and Compensation. </w:t>
      </w:r>
      <w:r>
        <w:rPr>
          <w:rFonts w:ascii="Arial" w:cs="Arial" w:eastAsia="Arial" w:hAnsi="Arial"/>
          <w:sz w:val="17"/>
          <w:szCs w:val="17"/>
          <w:color w:val="auto"/>
        </w:rPr>
        <w:t>Directors shall be entitled to such compensation for their services as may be approved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or a committee thereof to which the Board of Directors has delegated such responsibility and authority, including, if so approved, by resolution of the Board of Directors or a committee thereof to which the Board of Directors has delegated such responsibility and authority, a fixed sum and reimbursement of expenses incurred, if any, for attendance at each regular or special meeting of the Board of Directors and at any meeting of a committee of the Board of Directors, as well as reimbursement for other reasonable expenses incurred with respect to duties as a member of the Board of Directors or any committee thereof. Nothing herein contained shall be construed to preclude any director from serving the corporation in any other capacity as an officer, agent, employee, or otherwise and receiving compensation therefor.</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26.          Committees.</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b w:val="1"/>
          <w:bCs w:val="1"/>
          <w:color w:val="auto"/>
        </w:rPr>
        <w:t xml:space="preserve">(a)           Executive Committee. </w:t>
      </w:r>
      <w:r>
        <w:rPr>
          <w:rFonts w:ascii="Arial" w:cs="Arial" w:eastAsia="Arial" w:hAnsi="Arial"/>
          <w:sz w:val="16"/>
          <w:szCs w:val="16"/>
          <w:color w:val="auto"/>
        </w:rPr>
        <w:t>The Board of Directors may appoint an Executive Committee to consist of one or more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The Executive Committee, to the extent permitted by applicable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w:t>
      </w:r>
    </w:p>
    <w:p>
      <w:pPr>
        <w:spacing w:after="0" w:line="2" w:lineRule="exact"/>
        <w:rPr>
          <w:sz w:val="20"/>
          <w:szCs w:val="20"/>
          <w:color w:val="auto"/>
        </w:rPr>
      </w:pPr>
    </w:p>
    <w:p>
      <w:pPr>
        <w:ind w:firstLine="8"/>
        <w:spacing w:after="0" w:line="290" w:lineRule="auto"/>
        <w:tabs>
          <w:tab w:leader="none" w:pos="217" w:val="left"/>
        </w:tabs>
        <w:numPr>
          <w:ilvl w:val="0"/>
          <w:numId w:val="24"/>
        </w:numPr>
        <w:rPr>
          <w:rFonts w:ascii="Arial" w:cs="Arial" w:eastAsia="Arial" w:hAnsi="Arial"/>
          <w:sz w:val="17"/>
          <w:szCs w:val="17"/>
          <w:color w:val="auto"/>
        </w:rPr>
      </w:pPr>
      <w:r>
        <w:rPr>
          <w:rFonts w:ascii="Arial" w:cs="Arial" w:eastAsia="Arial" w:hAnsi="Arial"/>
          <w:sz w:val="17"/>
          <w:szCs w:val="17"/>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57"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(b)           Other Committees. </w:t>
      </w:r>
      <w:r>
        <w:rPr>
          <w:rFonts w:ascii="Arial" w:cs="Arial" w:eastAsia="Arial" w:hAnsi="Arial"/>
          <w:sz w:val="18"/>
          <w:szCs w:val="18"/>
          <w:color w:val="auto"/>
        </w:rPr>
        <w:t>The Board of Directors may, from time to time, appoint such other committees as may be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Such 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 Bylaws.</w:t>
      </w:r>
    </w:p>
    <w:p>
      <w:pPr>
        <w:spacing w:after="0" w:line="180"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b w:val="1"/>
          <w:bCs w:val="1"/>
          <w:color w:val="auto"/>
        </w:rPr>
        <w:t xml:space="preserve">(c)           Term. </w:t>
      </w:r>
      <w:r>
        <w:rPr>
          <w:rFonts w:ascii="Arial" w:cs="Arial" w:eastAsia="Arial" w:hAnsi="Arial"/>
          <w:sz w:val="17"/>
          <w:szCs w:val="17"/>
          <w:color w:val="auto"/>
        </w:rPr>
        <w:t>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subsections (a) or (b) of this Section 26, may at any time increase or decrease the number of members of a committee or terminate the existence of a committee. The membership of a committee member shall terminate on the date of such committee member’s death, such person’s resignation from the committee or on such date that the committee member, for any reason, is no longer a member of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296"/>
        <w:spacing w:after="0" w:line="269" w:lineRule="auto"/>
        <w:rPr>
          <w:sz w:val="20"/>
          <w:szCs w:val="20"/>
          <w:color w:val="auto"/>
        </w:rPr>
      </w:pPr>
      <w:r>
        <w:rPr>
          <w:rFonts w:ascii="Arial" w:cs="Arial" w:eastAsia="Arial" w:hAnsi="Arial"/>
          <w:sz w:val="17"/>
          <w:szCs w:val="17"/>
          <w:b w:val="1"/>
          <w:bCs w:val="1"/>
          <w:color w:val="auto"/>
        </w:rPr>
        <w:t xml:space="preserve">(d)           Meetings. </w:t>
      </w:r>
      <w:r>
        <w:rPr>
          <w:rFonts w:ascii="Arial" w:cs="Arial" w:eastAsia="Arial" w:hAnsi="Arial"/>
          <w:sz w:val="17"/>
          <w:szCs w:val="17"/>
          <w:color w:val="auto"/>
        </w:rPr>
        <w:t>Unless the Board of Directors shall otherwise provide, regular meetings of the Executive Committee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appointed pursuant to this Section 26 shall be held at such times and places, if any, as are determined by the Board of Directors, or by any such committee, and when notice thereof has been given to each member of such committee, no further notice of such regular meetings need be given thereafter. Special meetings of any such committee may be held at such place, if any, that has been determined from time to time by such committee, and may be called by any director who is a member of such committee, upon notice to the members of such committee of the time and place, if any, of such special meeting given in the manner provided for the giving of notice to members of the Board of Directors of the time and place, if any, of special meetings of the Board of Directors. Notice of any meeting of any committee may be waived in writing or by electronic transmission at any time before or after the meeting and will be waived by any director by attendance thereat, except when the director attends such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27.          Duties of Chairperson of the Board of Directors and Lead Independent Director.</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Chairperson of the Board of Directors, when present, shall preside at all meetings of the stockholders and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Chairperson of the Board of Directors shall perform such other duties customarily associated with the office and shall also perform such other duties and have such other powers, as the Board of Directors shall designate from time to time.</w:t>
      </w:r>
    </w:p>
    <w:p>
      <w:pPr>
        <w:spacing w:after="0" w:line="17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Chairperson of the Board of Directors, or if the Chairperson is not an independent director, one of the independent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designated by the Board of Directors as lead independent director to serve until replaced by the Board of Directors (“Lead Independent Director”). The Lead Independent Director will preside over meetings of the independent directors and perform such other duties as may be established or delegated by the Board of Directors.</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28.          Interested Directors. </w:t>
      </w:r>
      <w:r>
        <w:rPr>
          <w:rFonts w:ascii="Arial" w:cs="Arial" w:eastAsia="Arial" w:hAnsi="Arial"/>
          <w:sz w:val="17"/>
          <w:szCs w:val="17"/>
          <w:color w:val="auto"/>
        </w:rPr>
        <w:t>No contract or transaction between the corporation and one or more of its directors or officers, or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of Directors or committee thereof that authorizes the contract or transaction, or solely because any such director’s or officer’s vote is counted for such purpose if: (a)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 of a majority of the disinterested directors, even though the disinterested directors be less than a quorum; (b)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that authorizes the contract or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29.          Organization. </w:t>
      </w:r>
      <w:r>
        <w:rPr>
          <w:rFonts w:ascii="Arial" w:cs="Arial" w:eastAsia="Arial" w:hAnsi="Arial"/>
          <w:sz w:val="18"/>
          <w:szCs w:val="18"/>
          <w:color w:val="auto"/>
        </w:rPr>
        <w:t>At every meeting of the directors, the Chairperson of the Board of Directors, or, if a Chairperson has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or is absent, the Lead Independent Director, or if a Lead Independent Director has not been appointed or is absent</w:t>
      </w:r>
      <w:r>
        <w:rPr>
          <w:rFonts w:ascii="Arial" w:cs="Arial" w:eastAsia="Arial" w:hAnsi="Arial"/>
          <w:sz w:val="18"/>
          <w:szCs w:val="18"/>
          <w:b w:val="1"/>
          <w:bCs w:val="1"/>
          <w:color w:val="auto"/>
        </w:rPr>
        <w:t>,</w:t>
      </w:r>
      <w:r>
        <w:rPr>
          <w:rFonts w:ascii="Arial" w:cs="Arial" w:eastAsia="Arial" w:hAnsi="Arial"/>
          <w:sz w:val="18"/>
          <w:szCs w:val="18"/>
          <w:color w:val="auto"/>
        </w:rPr>
        <w:t xml:space="preserve">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30.          Officers Designated. </w:t>
      </w:r>
      <w:r>
        <w:rPr>
          <w:rFonts w:ascii="Arial" w:cs="Arial" w:eastAsia="Arial" w:hAnsi="Arial"/>
          <w:sz w:val="17"/>
          <w:szCs w:val="17"/>
          <w:color w:val="auto"/>
        </w:rPr>
        <w:t>The officers of the corporation shall include, if and when designated by the Board of Directors,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appropriate or necessary. The Board of Directors may assign such additional titles to one or more of the officers as it shall deem appropriate. Any one person may hold any number of offices of the corporation at any one time unless specifically prohibited therefrom by applicable law, the Certificate of Incorporation or the Bylaws. The salaries and other compensation of the officers of the corporation shall be fixed by or in the manner designated by the Board of Directors or by a committee thereof to which the Board of Directors has delegated such responsibility.</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31.          Tenure and Duties of Officers.</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(a)           General. </w:t>
      </w:r>
      <w:r>
        <w:rPr>
          <w:rFonts w:ascii="Arial" w:cs="Arial" w:eastAsia="Arial" w:hAnsi="Arial"/>
          <w:sz w:val="18"/>
          <w:szCs w:val="18"/>
          <w:color w:val="auto"/>
        </w:rPr>
        <w:t>All officers shall hold office at the pleasure of the Board of Directors and until their successors shall have been duly</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and qualified, subject to the officer’s earlier death, resignation or removal. If the office of any officer becomes vacant for any reason, the vacancy may be filled by the Board of Directors or by a committee thereof to which the Board of Directors has delegated such responsibility or, if so authorized by the Board of Directors, by the Chief Executive Officer or another officer of the corporation.</w:t>
      </w:r>
    </w:p>
    <w:p>
      <w:pPr>
        <w:spacing w:after="0" w:line="18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b w:val="1"/>
          <w:bCs w:val="1"/>
          <w:color w:val="auto"/>
        </w:rPr>
        <w:t xml:space="preserve">(b)           Duties of Chief Executive Officer. </w:t>
      </w:r>
      <w:r>
        <w:rPr>
          <w:rFonts w:ascii="Arial" w:cs="Arial" w:eastAsia="Arial" w:hAnsi="Arial"/>
          <w:sz w:val="18"/>
          <w:szCs w:val="18"/>
          <w:color w:val="auto"/>
        </w:rPr>
        <w:t>The Chief Executive Officer shall preside at all meetings of the stockholders and, if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at all meetings of the Board of Directors, unless a Chairperson of the Board of Directors or Lead Independent Director has been appointed and is present. The Chief Executive Officer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Chief Executive Officer. To the extent that a Chief Executive Officer has been appointed and no President has been appointed, all references in the Bylaws to the President shall be deemed references to the Chief Executive Officer. The Chief Executive Officer shall perform other duties customarily associated with the office and shall also perform such other duties and have such other powers, as the Board of Directors shall designate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1296"/>
        <w:spacing w:after="0" w:line="272" w:lineRule="auto"/>
        <w:rPr>
          <w:sz w:val="20"/>
          <w:szCs w:val="20"/>
          <w:color w:val="auto"/>
        </w:rPr>
      </w:pPr>
      <w:r>
        <w:rPr>
          <w:rFonts w:ascii="Arial" w:cs="Arial" w:eastAsia="Arial" w:hAnsi="Arial"/>
          <w:sz w:val="17"/>
          <w:szCs w:val="17"/>
          <w:b w:val="1"/>
          <w:bCs w:val="1"/>
          <w:color w:val="auto"/>
        </w:rPr>
        <w:t xml:space="preserve">(c)           Duties of President. </w:t>
      </w:r>
      <w:r>
        <w:rPr>
          <w:rFonts w:ascii="Arial" w:cs="Arial" w:eastAsia="Arial" w:hAnsi="Arial"/>
          <w:sz w:val="17"/>
          <w:szCs w:val="17"/>
          <w:color w:val="auto"/>
        </w:rPr>
        <w:t>The President shall preside at all meetings of the stockholders and, if a director, at all meetings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unless a Chairperson of the Board of Directors, Lead Independent Director, or Chief Executive Officer has been appointed and is present. Unless another officer has been appointed Chief Executive Officer of the corporation, the President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President. The President shall perform other duties customarily associated with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pacing w:after="0" w:line="17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(d)           Duties of Vice Presidents. </w:t>
      </w:r>
      <w:r>
        <w:rPr>
          <w:rFonts w:ascii="Arial" w:cs="Arial" w:eastAsia="Arial" w:hAnsi="Arial"/>
          <w:sz w:val="18"/>
          <w:szCs w:val="18"/>
          <w:color w:val="auto"/>
        </w:rPr>
        <w:t>A Vice President may assume and perform the duties of the President in the absence or disability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President or whenever the office of President is vacant (unless the duties of the President are being filled by the Chief Executive Officer). A Vice President shall perform other duties customarily associated with the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83"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b w:val="1"/>
          <w:bCs w:val="1"/>
          <w:color w:val="auto"/>
        </w:rPr>
        <w:t xml:space="preserve">(e)           Duties of Secretary and Assistant Secretary. </w:t>
      </w:r>
      <w:r>
        <w:rPr>
          <w:rFonts w:ascii="Arial" w:cs="Arial" w:eastAsia="Arial" w:hAnsi="Arial"/>
          <w:sz w:val="16"/>
          <w:szCs w:val="16"/>
          <w:color w:val="auto"/>
        </w:rPr>
        <w:t>The Secretary shall attend all meetings of the stockholders and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and shall record all acts, votes and proceedings thereof in the minute books of the corporation. The Secretary shall give notice in conformity with the Bylaws of all meetings of the stockholders and of all meetings of the Board of Directors and any committee thereof requiring notice. The Secretary shall perform all other duties provided for in the Bylaws and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w:t>
      </w:r>
    </w:p>
    <w:p>
      <w:pPr>
        <w:spacing w:after="0" w:line="16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b w:val="1"/>
          <w:bCs w:val="1"/>
          <w:color w:val="auto"/>
        </w:rPr>
        <w:t xml:space="preserve">(f)           Duties of Chief Financial Officer. </w:t>
      </w:r>
      <w:r>
        <w:rPr>
          <w:rFonts w:ascii="Arial" w:cs="Arial" w:eastAsia="Arial" w:hAnsi="Arial"/>
          <w:sz w:val="16"/>
          <w:szCs w:val="16"/>
          <w:color w:val="auto"/>
        </w:rPr>
        <w:t>The Chief Financial Officer shall keep or cause to be kept the books of account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in a thorough and proper manner and shall render statements of the financial affairs of the corporation in such form and as often as required by the Board of Directors, the Chief Executive Officer, or the President. The Chief Financial Officer, subject to the order of the Board of Directors, shall have the custody of all funds and securities of the corporation. The Chief Financial Officer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 Bylaws to the Treasurer shall be deemed references to the Chief Financial Officer. The President may direct the Treasurer, if any, or any Assistant Treasurer to assume and perform the duties of the Chief Financial Officer in the absence or disability of the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296"/>
        <w:spacing w:after="0" w:line="269" w:lineRule="auto"/>
        <w:rPr>
          <w:sz w:val="20"/>
          <w:szCs w:val="20"/>
          <w:color w:val="auto"/>
        </w:rPr>
      </w:pPr>
      <w:r>
        <w:rPr>
          <w:rFonts w:ascii="Arial" w:cs="Arial" w:eastAsia="Arial" w:hAnsi="Arial"/>
          <w:sz w:val="17"/>
          <w:szCs w:val="17"/>
          <w:b w:val="1"/>
          <w:bCs w:val="1"/>
          <w:color w:val="auto"/>
        </w:rPr>
        <w:t xml:space="preserve">(g)           Duties of Treasurer and Assistant Treasurer. </w:t>
      </w:r>
      <w:r>
        <w:rPr>
          <w:rFonts w:ascii="Arial" w:cs="Arial" w:eastAsia="Arial" w:hAnsi="Arial"/>
          <w:sz w:val="17"/>
          <w:szCs w:val="17"/>
          <w:color w:val="auto"/>
        </w:rPr>
        <w:t>Unless another officer has been appointed Chief Financial Officer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the Treasurer shall be the chief financial officer of the corporation, shall keep or cause to be kept the books of account of the corporation in a thorough and proper manner and shall render statements of the financial affairs of the corporation in such form and as often as required by the Board of Directors, the Chief Executive Officer or the President. Unless another officer has been appointed Chief Financial Officer of the corporation, the Treasurer, subject to the order of the Board of Directors, shall have the custody of all funds and securities of the corporation. The Treasurer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Treasurer or other officer to assume and perform the duties of the Treasurer in the absence or disability of the Treasurer, and each Assistant Treasurer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8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32.          Delegation of Authority. </w:t>
      </w:r>
      <w:r>
        <w:rPr>
          <w:rFonts w:ascii="Arial" w:cs="Arial" w:eastAsia="Arial" w:hAnsi="Arial"/>
          <w:sz w:val="18"/>
          <w:szCs w:val="18"/>
          <w:color w:val="auto"/>
        </w:rPr>
        <w:t>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33.          Resignations. </w:t>
      </w:r>
      <w:r>
        <w:rPr>
          <w:rFonts w:ascii="Arial" w:cs="Arial" w:eastAsia="Arial" w:hAnsi="Arial"/>
          <w:sz w:val="17"/>
          <w:szCs w:val="17"/>
          <w:color w:val="auto"/>
        </w:rPr>
        <w:t>Any officer may resign at any time by giving notice in writing or by electronic transmission to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the Chairperson of the Board of Directors, the Chief Executive Officer, the President or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6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Section 34.          Removal. </w:t>
      </w:r>
      <w:r>
        <w:rPr>
          <w:rFonts w:ascii="Arial" w:cs="Arial" w:eastAsia="Arial" w:hAnsi="Arial"/>
          <w:sz w:val="17"/>
          <w:szCs w:val="17"/>
          <w:color w:val="auto"/>
        </w:rPr>
        <w:t>Any officer may be removed from office at any time, either with or without cause, by the Board of Directors, or by any</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thereof or any superior officer upon whom such power of removal may have been conferred by the Board of Directors.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OF CORPORATE INSTRUMENTS AND VOTING OF SECURITIES OWNED BY THE CORPORATION</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35.          Execution of Corporate Instruments. </w:t>
      </w:r>
      <w:r>
        <w:rPr>
          <w:rFonts w:ascii="Arial" w:cs="Arial" w:eastAsia="Arial" w:hAnsi="Arial"/>
          <w:sz w:val="17"/>
          <w:szCs w:val="17"/>
          <w:color w:val="auto"/>
        </w:rPr>
        <w:t>The Board of Directors may, in its discretion, determine the method and designate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signatory officer or officers, or other person or persons, to execute, sign or endorse on behalf of the corporation any corporate instrument or document, or to sign on behalf of the corporation the corporate name without limitation, or to enter into contracts on behalf of the corporation, except where otherwise provided by applicable law or the Bylaws, and such execution or signature shall be binding upon the corporation.</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from time to time authorize so to do.</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specifically determined by the Board of Directors or otherwise required by applicable law, the execution, signing or endorsement of any corporate instrument or document may be effected manually, by facsimile or (to the extent permitted by applicable law and subject to such policies and procedures as the corporation may have in effect from time to time) by electronic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342"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36.          Voting of Securities Owned by the Corporation. </w:t>
      </w:r>
      <w:r>
        <w:rPr>
          <w:rFonts w:ascii="Arial" w:cs="Arial" w:eastAsia="Arial" w:hAnsi="Arial"/>
          <w:sz w:val="18"/>
          <w:szCs w:val="18"/>
          <w:color w:val="auto"/>
        </w:rPr>
        <w:t>All stock and other securities of or interests in other corporations or entities</w:t>
      </w:r>
      <w:r>
        <w:rPr>
          <w:rFonts w:ascii="Arial" w:cs="Arial" w:eastAsia="Arial" w:hAnsi="Arial"/>
          <w:sz w:val="18"/>
          <w:szCs w:val="18"/>
          <w:b w:val="1"/>
          <w:bCs w:val="1"/>
          <w:color w:val="auto"/>
        </w:rPr>
        <w:t xml:space="preserve"> </w:t>
      </w:r>
      <w:r>
        <w:rPr>
          <w:rFonts w:ascii="Arial" w:cs="Arial" w:eastAsia="Arial" w:hAnsi="Arial"/>
          <w:sz w:val="18"/>
          <w:szCs w:val="18"/>
          <w:color w:val="auto"/>
        </w:rPr>
        <w:t>owned 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37.          Form and Execution of Certificates. </w:t>
      </w:r>
      <w:r>
        <w:rPr>
          <w:rFonts w:ascii="Arial" w:cs="Arial" w:eastAsia="Arial" w:hAnsi="Arial"/>
          <w:sz w:val="16"/>
          <w:szCs w:val="16"/>
          <w:color w:val="auto"/>
        </w:rPr>
        <w:t>The shares of the corporation shall be represented by certificates, or shall be uncertificated</w:t>
      </w:r>
      <w:r>
        <w:rPr>
          <w:rFonts w:ascii="Arial" w:cs="Arial" w:eastAsia="Arial" w:hAnsi="Arial"/>
          <w:sz w:val="16"/>
          <w:szCs w:val="16"/>
          <w:b w:val="1"/>
          <w:bCs w:val="1"/>
          <w:color w:val="auto"/>
        </w:rPr>
        <w:t xml:space="preserve"> </w:t>
      </w:r>
      <w:r>
        <w:rPr>
          <w:rFonts w:ascii="Arial" w:cs="Arial" w:eastAsia="Arial" w:hAnsi="Arial"/>
          <w:sz w:val="16"/>
          <w:szCs w:val="16"/>
          <w:color w:val="auto"/>
        </w:rPr>
        <w:t>if so provided by resolution or resolutions of the Board of Directors. Certificates for the shares of stock, if any, shall be in such form as is consistent with the Certificate of Incorporation and applicable law. Every holder of stock in the corporation represented by certificates shall be entitled to have a certificate signed by or in the name of the corporation by any two authorized officers of the corporation, certifying the number, and the class or series, of shares owned by such 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6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38.          Lost Certificates. </w:t>
      </w:r>
      <w:r>
        <w:rPr>
          <w:rFonts w:ascii="Arial" w:cs="Arial" w:eastAsia="Arial" w:hAnsi="Arial"/>
          <w:sz w:val="17"/>
          <w:szCs w:val="17"/>
          <w:color w:val="auto"/>
        </w:rPr>
        <w:t>A new certificate or certificates shall be issued in place of any certificate or certificates theretofore issued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39.          Transfers.</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Transfers of record of shares of stock of the corporation shall be made only upon its books by the holders thereof, in person or by</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 duly authorized, and, in the case of stock represented by certificate, upon the surrender of a properly endorsed certificate or certificates for a like number of shares.</w:t>
      </w:r>
    </w:p>
    <w:p>
      <w:pPr>
        <w:spacing w:after="0" w:line="17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corporation shall have power to enter into and perform any agreement with any number of stockholders of any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classes or series of stock of the corporation to restrict the transfer of shares of stock of the corporation of any one or more classes or series owned by such stockholders in any manner not prohibited by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b w:val="1"/>
          <w:bCs w:val="1"/>
          <w:color w:val="auto"/>
        </w:rPr>
        <w:t>Section 40.          Fixing Record Dates.</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In order that the corporation may determine the stockholders entitled to notice of or to vote at any meeting of stockholders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adjournment thereof, the Board of Directors may fix a record date, which record date shall not precede the date upon which the resolution fixing the record date is adopted by the Board of Directors, and which record date shall, subject to applicable law, not be more than 60 nor less than ten days before the date of such meeting. If the Board of Directors so fixes a record date for determining the stockholders entitled to notice of any meeting of stockholders, such date shall also be the record date for determining the stockholders entitled to vote at such meeting, unless the Board of Directors determines, at the time it fixes the record date for determining the stockholders entitled to notice of such meeting, that a later date on or before the date of the meeting shall be the record date for determining the stockholders entitled to vote at such meeting. If no record date is fixed by the Board of Directors, the record date for determining stockholders entitled to notice of or to vote at a meeting of stockholders shall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Board of Directors may fix a new record date for the adjourned meeting in accordance with the provisions of this Section 40(a).</w:t>
      </w:r>
    </w:p>
    <w:p>
      <w:pPr>
        <w:spacing w:after="0" w:line="16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In order that the corporation may determine the stockholders entitled to receive payment of any dividend or other distribution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41.          Registered Stockholders. </w:t>
      </w:r>
      <w:r>
        <w:rPr>
          <w:rFonts w:ascii="Arial" w:cs="Arial" w:eastAsia="Arial" w:hAnsi="Arial"/>
          <w:sz w:val="18"/>
          <w:szCs w:val="18"/>
          <w:color w:val="auto"/>
        </w:rPr>
        <w:t>The corporation shall be entitled to recognize the exclusive right of a person registered on its books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42.          Additional Powers of the Board. </w:t>
      </w:r>
      <w:r>
        <w:rPr>
          <w:rFonts w:ascii="Arial" w:cs="Arial" w:eastAsia="Arial" w:hAnsi="Arial"/>
          <w:sz w:val="17"/>
          <w:szCs w:val="17"/>
          <w:color w:val="auto"/>
        </w:rPr>
        <w:t>In addition to, and without limiting, the powers set forth in the Bylaws, the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power and authority to make all such rules and regulations as it shall deem expedient concerning the issue, transfer, and registration of certificates for shares of stock of the corporation, including the use of uncertificated shares of stock, subject to the provisions of the DGCL, other applicable law, the Certificate of Incorporation and the Bylaws. The Board of Directors may appoint and remove transfer agents and registrars of transfers, and may require all stock certificates to bear the signature of any such transfer agent and/or any such registrar of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Section 43.          Execution of Other Securities. </w:t>
      </w:r>
      <w:r>
        <w:rPr>
          <w:rFonts w:ascii="Arial" w:cs="Arial" w:eastAsia="Arial" w:hAnsi="Arial"/>
          <w:sz w:val="16"/>
          <w:szCs w:val="16"/>
          <w:color w:val="auto"/>
        </w:rPr>
        <w:t>All bonds, debentures and other corporate securities of the corporation, other than stock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certificates (covered in Section 37), may be signed by the Chairperson of the Board of Directors, the Chief Executive Officer, the President or any Vice President, or such other person as may be authorized by the Board of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b w:val="1"/>
          <w:bCs w:val="1"/>
          <w:color w:val="auto"/>
        </w:rPr>
        <w:t xml:space="preserve">Section 44.          Declaration of Dividends. </w:t>
      </w:r>
      <w:r>
        <w:rPr>
          <w:rFonts w:ascii="Arial" w:cs="Arial" w:eastAsia="Arial" w:hAnsi="Arial"/>
          <w:sz w:val="17"/>
          <w:szCs w:val="17"/>
          <w:color w:val="auto"/>
        </w:rPr>
        <w:t>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Dividends may be paid in cash, in property, or in shares of the capital stock, or other securities of the corporation, subject to the provisions of the Certificate of Incorporation and applicable law.</w:t>
      </w:r>
    </w:p>
    <w:p>
      <w:pPr>
        <w:spacing w:after="0" w:line="15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45.          Dividend Reserve. </w:t>
      </w:r>
      <w:r>
        <w:rPr>
          <w:rFonts w:ascii="Arial" w:cs="Arial" w:eastAsia="Arial" w:hAnsi="Arial"/>
          <w:sz w:val="18"/>
          <w:szCs w:val="18"/>
          <w:color w:val="auto"/>
        </w:rPr>
        <w:t>Before payment of any dividend, there may be set aside out of any funds of the corporation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such sum or sums as the Board of Directors from time to time, in its absolute discretion, determines proper as a reserve or reserves to meet contingencies, or for equalizing dividends, or for repairing or maintaining any property of the corporation, or for such other purpose or purposes as the Board of Directors shall determine to be conducive to the interests of the corporation, and the Board of Directors may modify or abolish any such reserve in the manner in which it was created.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46.          Fiscal Year. </w:t>
      </w:r>
      <w:r>
        <w:rPr>
          <w:rFonts w:ascii="Arial" w:cs="Arial" w:eastAsia="Arial" w:hAnsi="Arial"/>
          <w:sz w:val="18"/>
          <w:szCs w:val="18"/>
          <w:color w:val="auto"/>
        </w:rPr>
        <w:t>The fiscal year of the corporation shall be fixed by resolution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47.          Indemnification of Directors, Executive Officers, Employees and Other Agents.</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b w:val="1"/>
          <w:bCs w:val="1"/>
          <w:color w:val="auto"/>
        </w:rPr>
        <w:t xml:space="preserve">(a)           Directors and Executive Officers. </w:t>
      </w:r>
      <w:r>
        <w:rPr>
          <w:rFonts w:ascii="Arial" w:cs="Arial" w:eastAsia="Arial" w:hAnsi="Arial"/>
          <w:sz w:val="17"/>
          <w:szCs w:val="17"/>
          <w:color w:val="auto"/>
        </w:rPr>
        <w:t>The corporation shall indemnify to the full extent permitted under and in any manner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under the DGCL or any other applicable law, any person who was or is made or threatened to be made a party to or is otherwise involved (as a witness or otherwise) in any threatened, pending, or completed action, suit, or proceeding, whether civil, criminal, administrative, or investigative (hereinafter, a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by reason of the fact that such person is or was a director or executive officer (for the purposes of this Article XI,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w:t>
      </w:r>
      <w:r>
        <w:rPr>
          <w:rFonts w:ascii="Arial" w:cs="Arial" w:eastAsia="Arial" w:hAnsi="Arial"/>
          <w:sz w:val="17"/>
          <w:szCs w:val="17"/>
          <w:color w:val="auto"/>
        </w:rPr>
        <w:t>” shall be those persons designated by the corporation as (a) executive officers for purposes of the disclosures required in the corporation’s proxy</w:t>
      </w:r>
      <w:r>
        <w:rPr>
          <w:rFonts w:ascii="Arial" w:cs="Arial" w:eastAsia="Arial" w:hAnsi="Arial"/>
          <w:sz w:val="17"/>
          <w:szCs w:val="17"/>
          <w:i w:val="1"/>
          <w:iCs w:val="1"/>
          <w:color w:val="auto"/>
        </w:rPr>
        <w:t xml:space="preserve"> </w:t>
      </w:r>
      <w:r>
        <w:rPr>
          <w:rFonts w:ascii="Arial" w:cs="Arial" w:eastAsia="Arial" w:hAnsi="Arial"/>
          <w:sz w:val="17"/>
          <w:szCs w:val="17"/>
          <w:color w:val="auto"/>
        </w:rPr>
        <w:t>and periodic reports or (b) officers for purposes of Section 16 of the 1934 Act) of the corporation, or while serving as a director or executive officer of the corporation, is or was serving at the request of the corporation as a director, officer, employee, or agent of another corporation, partnership, joint venture, trust, or other enterprise, including service with respect to an employee benefit plan (collectively, “</w:t>
      </w:r>
      <w:r>
        <w:rPr>
          <w:rFonts w:ascii="Arial" w:cs="Arial" w:eastAsia="Arial" w:hAnsi="Arial"/>
          <w:sz w:val="17"/>
          <w:szCs w:val="17"/>
          <w:b w:val="1"/>
          <w:bCs w:val="1"/>
          <w:i w:val="1"/>
          <w:iCs w:val="1"/>
          <w:color w:val="auto"/>
        </w:rPr>
        <w:t>Another Enterprise</w:t>
      </w:r>
      <w:r>
        <w:rPr>
          <w:rFonts w:ascii="Arial" w:cs="Arial" w:eastAsia="Arial" w:hAnsi="Arial"/>
          <w:sz w:val="17"/>
          <w:szCs w:val="17"/>
          <w:color w:val="auto"/>
        </w:rPr>
        <w:t xml:space="preserve">”), against expenses (including attorneys’ fees), judgments, fines (including ERISA excise taxes or penalties) and amounts paid in settlement actually and reasonably incurred by him or her in connection with such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the corporation may modify the extent of such indemnification by individual contracts with its directors and executive officers; and,</w:t>
      </w:r>
      <w:r>
        <w:rPr>
          <w:rFonts w:ascii="Arial" w:cs="Arial" w:eastAsia="Arial" w:hAnsi="Arial"/>
          <w:sz w:val="17"/>
          <w:szCs w:val="17"/>
          <w:i w:val="1"/>
          <w:iCs w:val="1"/>
          <w:color w:val="auto"/>
        </w:rPr>
        <w:t xml:space="preserve"> provided, further, </w:t>
      </w:r>
      <w:r>
        <w:rPr>
          <w:rFonts w:ascii="Arial" w:cs="Arial" w:eastAsia="Arial" w:hAnsi="Arial"/>
          <w:sz w:val="17"/>
          <w:szCs w:val="17"/>
          <w:color w:val="auto"/>
        </w:rPr>
        <w:t>that the corporation shall not be required to indemnify or advance expenses to any director or executive officer in connection with any</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(or part thereof) initiated by such person unless (i) such indemnification is expressly required to be made by applicable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 of this Section 47.</w:t>
      </w:r>
    </w:p>
    <w:p>
      <w:pPr>
        <w:spacing w:after="0" w:line="177"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(b)           Other Officers, Employees and Other Agents. </w:t>
      </w:r>
      <w:r>
        <w:rPr>
          <w:rFonts w:ascii="Arial" w:cs="Arial" w:eastAsia="Arial" w:hAnsi="Arial"/>
          <w:sz w:val="17"/>
          <w:szCs w:val="17"/>
          <w:color w:val="auto"/>
        </w:rPr>
        <w:t>The corporation shall have power to indemnify (including the power to advance</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in a manner consistent with subsection (c) of this Section 47) its other officers, employees and other 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16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b w:val="1"/>
          <w:bCs w:val="1"/>
          <w:color w:val="auto"/>
        </w:rPr>
        <w:t xml:space="preserve">(c)           Expenses. </w:t>
      </w:r>
      <w:r>
        <w:rPr>
          <w:rFonts w:ascii="Arial" w:cs="Arial" w:eastAsia="Arial" w:hAnsi="Arial"/>
          <w:sz w:val="18"/>
          <w:szCs w:val="18"/>
          <w:color w:val="auto"/>
        </w:rPr>
        <w:t>The corporation shall advance to any person who was or is a party or is threatened to be made a party to any</w:t>
      </w:r>
      <w:r>
        <w:rPr>
          <w:rFonts w:ascii="Arial" w:cs="Arial" w:eastAsia="Arial" w:hAnsi="Arial"/>
          <w:sz w:val="18"/>
          <w:szCs w:val="18"/>
          <w:b w:val="1"/>
          <w:bCs w:val="1"/>
          <w:color w:val="auto"/>
        </w:rPr>
        <w:t xml:space="preserve"> </w:t>
      </w:r>
      <w:r>
        <w:rPr>
          <w:rFonts w:ascii="Arial" w:cs="Arial" w:eastAsia="Arial" w:hAnsi="Arial"/>
          <w:sz w:val="18"/>
          <w:szCs w:val="18"/>
          <w:color w:val="auto"/>
        </w:rPr>
        <w:t>threatened, pending or completed Proceeding, by reason of the fact that such person is or was a director or executive officer, of the corporation, or is or was serving at the request of the corporation as a director or executive officer of Another Enterprise, prior to the final disposition of the Proceeding, promptly following request therefor, all expenses (including attorneys’ fees)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Arial" w:cs="Arial" w:eastAsia="Arial" w:hAnsi="Arial"/>
          <w:sz w:val="18"/>
          <w:szCs w:val="18"/>
          <w:b w:val="1"/>
          <w:bCs w:val="1"/>
          <w:i w:val="1"/>
          <w:iCs w:val="1"/>
          <w:color w:val="auto"/>
        </w:rPr>
        <w:t>undertaking</w:t>
      </w:r>
      <w:r>
        <w:rPr>
          <w:rFonts w:ascii="Arial" w:cs="Arial" w:eastAsia="Arial" w:hAnsi="Arial"/>
          <w:sz w:val="18"/>
          <w:szCs w:val="18"/>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8"/>
          <w:szCs w:val="18"/>
          <w:b w:val="1"/>
          <w:bCs w:val="1"/>
          <w:i w:val="1"/>
          <w:iCs w:val="1"/>
          <w:color w:val="auto"/>
        </w:rPr>
        <w:t>final adjudication</w:t>
      </w:r>
      <w:r>
        <w:rPr>
          <w:rFonts w:ascii="Arial" w:cs="Arial" w:eastAsia="Arial" w:hAnsi="Arial"/>
          <w:sz w:val="18"/>
          <w:szCs w:val="18"/>
          <w:color w:val="auto"/>
        </w:rPr>
        <w:t>”) that such indemnitee is not entitled to be indemnified or entitled to advancement for such expenses under this Section 47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72" w:lineRule="auto"/>
        <w:rPr>
          <w:sz w:val="20"/>
          <w:szCs w:val="20"/>
          <w:color w:val="auto"/>
        </w:rPr>
      </w:pPr>
      <w:r>
        <w:rPr>
          <w:rFonts w:ascii="Arial" w:cs="Arial" w:eastAsia="Arial" w:hAnsi="Arial"/>
          <w:sz w:val="17"/>
          <w:szCs w:val="17"/>
          <w:color w:val="auto"/>
        </w:rPr>
        <w:t>Notwithstanding the foregoing, unless otherwise determined pursuant to paragraph (d) of this Section 47, no advance shall be made by the corporation to an executive officer of the corporation (except by reason of the fact that such executive officer is or was a director of the corporation in which event this paragraph shall not apply) in any Proceeding,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73"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b w:val="1"/>
          <w:bCs w:val="1"/>
          <w:color w:val="auto"/>
        </w:rPr>
        <w:t>(d)           Enforcement</w:t>
      </w:r>
      <w:r>
        <w:rPr>
          <w:rFonts w:ascii="Arial" w:cs="Arial" w:eastAsia="Arial" w:hAnsi="Arial"/>
          <w:sz w:val="17"/>
          <w:szCs w:val="17"/>
          <w:color w:val="auto"/>
        </w:rPr>
        <w:t>. Without the necessity of entering into an express contract, all rights to indemnification and advances to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and executive officers under this Section 47 shall be deemed to be contractual rights, shall vest when the person becomes a director or executive officer of the corporation, shall continue as vested contract rights even if such person ceases to be a director or executive officer of the corporation, and shall be effective to the same extent and as if provided for in a contract between the corporation and the director or executive officer. Any right to indemnification or advancement of expenses granted by this Section 47 to a director or executive officer shall be enforceable by or on behalf of the person holding such right in any court of competent jurisdiction if (i) the claim for indemnification or advancement of expenses is denied, in whole or in part, or (ii) no disposition of a claim for indemnification is made within 90 days of request therefor. To the fullest extent permitted by applicable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Proceeding,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or brought by the corporation to recover an advancement of expenses pursuant to the terms of an undertaking, the burden of proving that the director or executive officer is not entitled to be indemnified, or to such advancement of expenses, under this Section 47 or otherwise shall be on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1296"/>
        <w:spacing w:after="0" w:line="277" w:lineRule="auto"/>
        <w:rPr>
          <w:sz w:val="20"/>
          <w:szCs w:val="20"/>
          <w:color w:val="auto"/>
        </w:rPr>
      </w:pPr>
      <w:r>
        <w:rPr>
          <w:rFonts w:ascii="Arial" w:cs="Arial" w:eastAsia="Arial" w:hAnsi="Arial"/>
          <w:sz w:val="17"/>
          <w:szCs w:val="17"/>
          <w:b w:val="1"/>
          <w:bCs w:val="1"/>
          <w:color w:val="auto"/>
        </w:rPr>
        <w:t xml:space="preserve">(e)           Non-Exclusivity of Rights. </w:t>
      </w:r>
      <w:r>
        <w:rPr>
          <w:rFonts w:ascii="Arial" w:cs="Arial" w:eastAsia="Arial" w:hAnsi="Arial"/>
          <w:sz w:val="17"/>
          <w:szCs w:val="17"/>
          <w:color w:val="auto"/>
        </w:rPr>
        <w:t>The rights conferred on any person by this Section 47 shall not be exclusive of any other right that</w:t>
      </w:r>
      <w:r>
        <w:rPr>
          <w:rFonts w:ascii="Arial" w:cs="Arial" w:eastAsia="Arial" w:hAnsi="Arial"/>
          <w:sz w:val="17"/>
          <w:szCs w:val="17"/>
          <w:b w:val="1"/>
          <w:bCs w:val="1"/>
          <w:color w:val="auto"/>
        </w:rPr>
        <w:t xml:space="preserve"> </w:t>
      </w:r>
      <w:r>
        <w:rPr>
          <w:rFonts w:ascii="Arial" w:cs="Arial" w:eastAsia="Arial" w:hAnsi="Arial"/>
          <w:sz w:val="17"/>
          <w:szCs w:val="17"/>
          <w:color w:val="auto"/>
        </w:rPr>
        <w:t>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68" w:lineRule="exact"/>
        <w:rPr>
          <w:sz w:val="20"/>
          <w:szCs w:val="20"/>
          <w:color w:val="auto"/>
        </w:rPr>
      </w:pPr>
    </w:p>
    <w:p>
      <w:pPr>
        <w:jc w:val="both"/>
        <w:ind w:right="20" w:firstLine="1296"/>
        <w:spacing w:after="0" w:line="347" w:lineRule="auto"/>
        <w:rPr>
          <w:sz w:val="20"/>
          <w:szCs w:val="20"/>
          <w:color w:val="auto"/>
        </w:rPr>
      </w:pPr>
      <w:r>
        <w:rPr>
          <w:rFonts w:ascii="Arial" w:cs="Arial" w:eastAsia="Arial" w:hAnsi="Arial"/>
          <w:sz w:val="16"/>
          <w:szCs w:val="16"/>
          <w:b w:val="1"/>
          <w:bCs w:val="1"/>
          <w:color w:val="auto"/>
        </w:rPr>
        <w:t xml:space="preserve">(f)           Survival of Rights. </w:t>
      </w:r>
      <w:r>
        <w:rPr>
          <w:rFonts w:ascii="Arial" w:cs="Arial" w:eastAsia="Arial" w:hAnsi="Arial"/>
          <w:sz w:val="16"/>
          <w:szCs w:val="16"/>
          <w:color w:val="auto"/>
        </w:rPr>
        <w:t>The rights conferred on any person by this Section 47 shall continue as to a person who has ceased to be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executive officer, other officer, employee or other agent and shall inure to the benefit of the heirs, executors and administrators of such a person.</w:t>
      </w:r>
    </w:p>
    <w:p>
      <w:pPr>
        <w:spacing w:after="0" w:line="116"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7"/>
          <w:szCs w:val="17"/>
          <w:b w:val="1"/>
          <w:bCs w:val="1"/>
          <w:color w:val="auto"/>
        </w:rPr>
        <w:t xml:space="preserve">(g)           Insurance. </w:t>
      </w:r>
      <w:r>
        <w:rPr>
          <w:rFonts w:ascii="Arial" w:cs="Arial" w:eastAsia="Arial" w:hAnsi="Arial"/>
          <w:sz w:val="17"/>
          <w:szCs w:val="17"/>
          <w:color w:val="auto"/>
        </w:rPr>
        <w:t>To the fullest extent permitted by the DGCL or any other applicable law, the corporation, upon approval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may purchase and maintain insurance on behalf of any person required or permitted to be indemnified pursuant to this Section 47.</w:t>
      </w:r>
    </w:p>
    <w:p>
      <w:pPr>
        <w:spacing w:after="0" w:line="140"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(h)           Amendments. </w:t>
      </w:r>
      <w:r>
        <w:rPr>
          <w:rFonts w:ascii="Arial" w:cs="Arial" w:eastAsia="Arial" w:hAnsi="Arial"/>
          <w:sz w:val="18"/>
          <w:szCs w:val="18"/>
          <w:color w:val="auto"/>
        </w:rPr>
        <w:t>Any repeal or modification of this Section 47 shall only be prospective and shall not affect the rights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47 as in effect at the time of the alleged occurrence of any action or omission to act that is the cause of any Proceeding against any current or former director or executive officer of the corporation.</w:t>
      </w:r>
    </w:p>
    <w:p>
      <w:pPr>
        <w:spacing w:after="0" w:line="176"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(i)           Saving Clause. </w:t>
      </w:r>
      <w:r>
        <w:rPr>
          <w:rFonts w:ascii="Arial" w:cs="Arial" w:eastAsia="Arial" w:hAnsi="Arial"/>
          <w:sz w:val="18"/>
          <w:szCs w:val="18"/>
          <w:color w:val="auto"/>
        </w:rPr>
        <w:t>If this Article XI or any portion hereof shall be invalidated on any ground by any court of competent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then the corporation shall nevertheless indemnify and advance expenses to each director and executive officer to the full extent not prohibited by any applicable portion of this Article XI that shall not have been invalidated, or by any other applicable law. If this Article XI shall be invalid due to the application of the indemnification and advancement provisions of another jurisdiction, then the corporation shall indemnify and advance expenses to each director and executive officer to the full extent under any other applicable law.</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 xml:space="preserve">(j)           Certain Definitions and Construction of Terms. </w:t>
      </w:r>
      <w:r>
        <w:rPr>
          <w:rFonts w:ascii="Arial" w:cs="Arial" w:eastAsia="Arial" w:hAnsi="Arial"/>
          <w:sz w:val="18"/>
          <w:szCs w:val="18"/>
          <w:color w:val="auto"/>
        </w:rPr>
        <w:t>For the purposes of Article XI of the Bylaws, the following definitions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rules of construction shall apply:</w:t>
      </w:r>
    </w:p>
    <w:p>
      <w:pPr>
        <w:spacing w:after="0" w:line="162" w:lineRule="exact"/>
        <w:rPr>
          <w:sz w:val="20"/>
          <w:szCs w:val="20"/>
          <w:color w:val="auto"/>
        </w:rPr>
      </w:pPr>
    </w:p>
    <w:p>
      <w:pPr>
        <w:jc w:val="both"/>
        <w:ind w:firstLine="1944"/>
        <w:spacing w:after="0" w:line="266" w:lineRule="auto"/>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The term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shall be broadly construed and shall include, without limitation, the investigation, preparation,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prosecution, defense, settlement, arbitration and appeal of, and the giving of testimony in, any threatened, pending or completed action, suit or proceeding, whether civil, criminal, administrative or investigative.</w:t>
      </w:r>
    </w:p>
    <w:p>
      <w:pPr>
        <w:spacing w:after="0" w:line="176" w:lineRule="exact"/>
        <w:rPr>
          <w:sz w:val="20"/>
          <w:szCs w:val="20"/>
          <w:color w:val="auto"/>
        </w:rPr>
      </w:pPr>
    </w:p>
    <w:p>
      <w:pPr>
        <w:jc w:val="both"/>
        <w:ind w:firstLine="1944"/>
        <w:spacing w:after="0" w:line="266" w:lineRule="auto"/>
        <w:rPr>
          <w:sz w:val="20"/>
          <w:szCs w:val="20"/>
          <w:color w:val="auto"/>
        </w:rPr>
      </w:pPr>
      <w:r>
        <w:rPr>
          <w:rFonts w:ascii="Arial" w:cs="Arial" w:eastAsia="Arial" w:hAnsi="Arial"/>
          <w:sz w:val="18"/>
          <w:szCs w:val="18"/>
          <w:b w:val="1"/>
          <w:bCs w:val="1"/>
          <w:color w:val="auto"/>
        </w:rPr>
        <w:t xml:space="preserve">(ii)           </w:t>
      </w:r>
      <w:r>
        <w:rPr>
          <w:rFonts w:ascii="Arial" w:cs="Arial" w:eastAsia="Arial" w:hAnsi="Arial"/>
          <w:sz w:val="18"/>
          <w:szCs w:val="18"/>
          <w:color w:val="auto"/>
        </w:rPr>
        <w:t>The term “</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shall be broadly construed and shall include, without limitation, court costs, attorneys’ fees,</w:t>
      </w:r>
      <w:r>
        <w:rPr>
          <w:rFonts w:ascii="Arial" w:cs="Arial" w:eastAsia="Arial" w:hAnsi="Arial"/>
          <w:sz w:val="18"/>
          <w:szCs w:val="18"/>
          <w:b w:val="1"/>
          <w:bCs w:val="1"/>
          <w:color w:val="auto"/>
        </w:rPr>
        <w:t xml:space="preserve"> </w:t>
      </w:r>
      <w:r>
        <w:rPr>
          <w:rFonts w:ascii="Arial" w:cs="Arial" w:eastAsia="Arial" w:hAnsi="Arial"/>
          <w:sz w:val="18"/>
          <w:szCs w:val="18"/>
          <w:color w:val="auto"/>
        </w:rPr>
        <w:t>witness fees, fines, amounts paid in settlement or judgment and any other costs and expenses of any nature or kind incurred in connection with any Proceeding.</w:t>
      </w:r>
    </w:p>
    <w:p>
      <w:pPr>
        <w:spacing w:after="0" w:line="176" w:lineRule="exact"/>
        <w:rPr>
          <w:sz w:val="20"/>
          <w:szCs w:val="20"/>
          <w:color w:val="auto"/>
        </w:rPr>
      </w:pPr>
    </w:p>
    <w:p>
      <w:pPr>
        <w:jc w:val="both"/>
        <w:ind w:firstLine="1944"/>
        <w:spacing w:after="0" w:line="294" w:lineRule="auto"/>
        <w:rPr>
          <w:sz w:val="20"/>
          <w:szCs w:val="20"/>
          <w:color w:val="auto"/>
        </w:rPr>
      </w:pPr>
      <w:r>
        <w:rPr>
          <w:rFonts w:ascii="Arial" w:cs="Arial" w:eastAsia="Arial" w:hAnsi="Arial"/>
          <w:sz w:val="16"/>
          <w:szCs w:val="16"/>
          <w:b w:val="1"/>
          <w:bCs w:val="1"/>
          <w:color w:val="auto"/>
        </w:rPr>
        <w:t xml:space="preserve">(iii)          </w:t>
      </w:r>
      <w:r>
        <w:rPr>
          <w:rFonts w:ascii="Arial" w:cs="Arial" w:eastAsia="Arial" w:hAnsi="Arial"/>
          <w:sz w:val="16"/>
          <w:szCs w:val="16"/>
          <w:color w:val="auto"/>
        </w:rPr>
        <w:t>The term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shall include, in addition to the resulting corporation, any constituent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employee benefit plan or other enterprise, shall stand in the same position under the provisions of this Section 47 with respect to the resulting or surviving corporation as he would have with respect to such constituent corporation if its separate existence had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1944"/>
        <w:spacing w:after="0" w:line="266" w:lineRule="auto"/>
        <w:rPr>
          <w:sz w:val="20"/>
          <w:szCs w:val="20"/>
          <w:color w:val="auto"/>
        </w:rPr>
      </w:pPr>
      <w:r>
        <w:rPr>
          <w:rFonts w:ascii="Arial" w:cs="Arial" w:eastAsia="Arial" w:hAnsi="Arial"/>
          <w:sz w:val="18"/>
          <w:szCs w:val="18"/>
          <w:b w:val="1"/>
          <w:bCs w:val="1"/>
          <w:color w:val="auto"/>
        </w:rPr>
        <w:t xml:space="preserve">(iv)           </w:t>
      </w:r>
      <w:r>
        <w:rPr>
          <w:rFonts w:ascii="Arial" w:cs="Arial" w:eastAsia="Arial" w:hAnsi="Arial"/>
          <w:sz w:val="18"/>
          <w:szCs w:val="18"/>
          <w:color w:val="auto"/>
        </w:rPr>
        <w:t>References to a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w:t>
      </w:r>
      <w:r>
        <w:rPr>
          <w:rFonts w:ascii="Arial" w:cs="Arial" w:eastAsia="Arial" w:hAnsi="Arial"/>
          <w:sz w:val="18"/>
          <w:szCs w:val="18"/>
          <w:b w:val="1"/>
          <w:bCs w:val="1"/>
          <w:i w:val="1"/>
          <w:iCs w:val="1"/>
          <w:color w:val="auto"/>
        </w:rPr>
        <w:t>executive officer</w:t>
      </w:r>
      <w:r>
        <w:rPr>
          <w:rFonts w:ascii="Arial" w:cs="Arial" w:eastAsia="Arial" w:hAnsi="Arial"/>
          <w:sz w:val="18"/>
          <w:szCs w:val="18"/>
          <w:color w:val="auto"/>
        </w:rPr>
        <w:t>,” “</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or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of the corporation shall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76" w:lineRule="exact"/>
        <w:rPr>
          <w:sz w:val="20"/>
          <w:szCs w:val="20"/>
          <w:color w:val="auto"/>
        </w:rPr>
      </w:pPr>
    </w:p>
    <w:p>
      <w:pPr>
        <w:jc w:val="both"/>
        <w:ind w:firstLine="1944"/>
        <w:spacing w:after="0" w:line="274" w:lineRule="auto"/>
        <w:rPr>
          <w:sz w:val="20"/>
          <w:szCs w:val="20"/>
          <w:color w:val="auto"/>
        </w:rPr>
      </w:pPr>
      <w:r>
        <w:rPr>
          <w:rFonts w:ascii="Arial" w:cs="Arial" w:eastAsia="Arial" w:hAnsi="Arial"/>
          <w:sz w:val="17"/>
          <w:szCs w:val="17"/>
          <w:b w:val="1"/>
          <w:bCs w:val="1"/>
          <w:color w:val="auto"/>
        </w:rPr>
        <w:t xml:space="preserve">(v)           </w:t>
      </w:r>
      <w:r>
        <w:rPr>
          <w:rFonts w:ascii="Arial" w:cs="Arial" w:eastAsia="Arial" w:hAnsi="Arial"/>
          <w:sz w:val="17"/>
          <w:szCs w:val="17"/>
          <w:color w:val="auto"/>
        </w:rPr>
        <w:t>References to “</w:t>
      </w:r>
      <w:r>
        <w:rPr>
          <w:rFonts w:ascii="Arial" w:cs="Arial" w:eastAsia="Arial" w:hAnsi="Arial"/>
          <w:sz w:val="17"/>
          <w:szCs w:val="17"/>
          <w:b w:val="1"/>
          <w:bCs w:val="1"/>
          <w:i w:val="1"/>
          <w:iCs w:val="1"/>
          <w:color w:val="auto"/>
        </w:rPr>
        <w:t>Another Enterprise</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i w:val="1"/>
          <w:iCs w:val="1"/>
          <w:color w:val="auto"/>
        </w:rPr>
        <w:t>fines</w:t>
      </w:r>
      <w:r>
        <w:rPr>
          <w:rFonts w:ascii="Arial" w:cs="Arial" w:eastAsia="Arial" w:hAnsi="Arial"/>
          <w:sz w:val="17"/>
          <w:szCs w:val="17"/>
          <w:color w:val="auto"/>
        </w:rPr>
        <w:t>” shall include any excise</w:t>
      </w:r>
      <w:r>
        <w:rPr>
          <w:rFonts w:ascii="Arial" w:cs="Arial" w:eastAsia="Arial" w:hAnsi="Arial"/>
          <w:sz w:val="17"/>
          <w:szCs w:val="17"/>
          <w:b w:val="1"/>
          <w:bCs w:val="1"/>
          <w:color w:val="auto"/>
        </w:rPr>
        <w:t xml:space="preserve"> </w:t>
      </w:r>
      <w:r>
        <w:rPr>
          <w:rFonts w:ascii="Arial" w:cs="Arial" w:eastAsia="Arial" w:hAnsi="Arial"/>
          <w:sz w:val="17"/>
          <w:szCs w:val="17"/>
          <w:color w:val="auto"/>
        </w:rPr>
        <w:t>taxes assessed on a person with respect to an employee benefit plan; and references to “</w:t>
      </w:r>
      <w:r>
        <w:rPr>
          <w:rFonts w:ascii="Arial" w:cs="Arial" w:eastAsia="Arial" w:hAnsi="Arial"/>
          <w:sz w:val="17"/>
          <w:szCs w:val="17"/>
          <w:b w:val="1"/>
          <w:bCs w:val="1"/>
          <w:i w:val="1"/>
          <w:iCs w:val="1"/>
          <w:color w:val="auto"/>
        </w:rPr>
        <w:t>serving at the request of the corporation</w:t>
      </w:r>
      <w:r>
        <w:rPr>
          <w:rFonts w:ascii="Arial" w:cs="Arial" w:eastAsia="Arial" w:hAnsi="Arial"/>
          <w:sz w:val="17"/>
          <w:szCs w:val="17"/>
          <w:color w:val="auto"/>
        </w:rPr>
        <w:t>” shall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7"/>
          <w:szCs w:val="17"/>
          <w:b w:val="1"/>
          <w:bCs w:val="1"/>
          <w:i w:val="1"/>
          <w:iCs w:val="1"/>
          <w:color w:val="auto"/>
        </w:rPr>
        <w:t>not opposed to the best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interests of the corporation</w:t>
      </w:r>
      <w:r>
        <w:rPr>
          <w:rFonts w:ascii="Arial" w:cs="Arial" w:eastAsia="Arial" w:hAnsi="Arial"/>
          <w:sz w:val="17"/>
          <w:szCs w:val="17"/>
          <w:color w:val="auto"/>
        </w:rPr>
        <w:t>” as referred to in this Section 47.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48.          Notices.</w:t>
      </w:r>
    </w:p>
    <w:p>
      <w:pPr>
        <w:spacing w:after="0" w:line="225"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(a)           Notice to Stockholders. </w:t>
      </w:r>
      <w:r>
        <w:rPr>
          <w:rFonts w:ascii="Arial" w:cs="Arial" w:eastAsia="Arial" w:hAnsi="Arial"/>
          <w:sz w:val="17"/>
          <w:szCs w:val="17"/>
          <w:color w:val="auto"/>
        </w:rPr>
        <w:t>Notice to stockholders of stockholder meetings shall be given as provided in Section 7.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limiting the manner by which notice may otherwise be given effectively to stockholders under any agreement or contract with such stockholder, and except as otherwise required by applicable law, written notice to stockholders for purposes other than stockholder meetings may be sent by U.S. mail or nationally recognized overnight courier, or by electronic mail or other electronic means in accordance with Section 232 of the DGCL.</w:t>
      </w:r>
    </w:p>
    <w:p>
      <w:pPr>
        <w:spacing w:after="0" w:line="16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(b)           Notice to Directors. </w:t>
      </w:r>
      <w:r>
        <w:rPr>
          <w:rFonts w:ascii="Arial" w:cs="Arial" w:eastAsia="Arial" w:hAnsi="Arial"/>
          <w:sz w:val="18"/>
          <w:szCs w:val="18"/>
          <w:color w:val="auto"/>
        </w:rPr>
        <w:t>Any notice required to be given to any director may be given by the method stated in subsection (a),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in the Bylaws (including by any of the means specified in Section 22(d)), or by overnight delivery service. Any notice sent by overnight delivery service or U.S. mail shall be sent to such address as such director shall have filed in writing with the Secretary, or, in the absence of such filing, to the last known post office address of such director.</w:t>
      </w:r>
    </w:p>
    <w:p>
      <w:pPr>
        <w:spacing w:after="0" w:line="18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(c)           Affidavit of Mailing. </w:t>
      </w:r>
      <w:r>
        <w:rPr>
          <w:rFonts w:ascii="Arial" w:cs="Arial" w:eastAsia="Arial" w:hAnsi="Arial"/>
          <w:sz w:val="18"/>
          <w:szCs w:val="18"/>
          <w:color w:val="auto"/>
        </w:rPr>
        <w:t>An affidavit of mailing, executed by a duly authorized and competent employee of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80"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(d)           Methods of Notice. </w:t>
      </w:r>
      <w:r>
        <w:rPr>
          <w:rFonts w:ascii="Arial" w:cs="Arial" w:eastAsia="Arial" w:hAnsi="Arial"/>
          <w:sz w:val="18"/>
          <w:szCs w:val="18"/>
          <w:color w:val="auto"/>
        </w:rPr>
        <w:t>It shall not be necessary that the same method of giving notice be employed in respect of all recipients of</w:t>
      </w:r>
      <w:r>
        <w:rPr>
          <w:rFonts w:ascii="Arial" w:cs="Arial" w:eastAsia="Arial" w:hAnsi="Arial"/>
          <w:sz w:val="18"/>
          <w:szCs w:val="18"/>
          <w:b w:val="1"/>
          <w:bCs w:val="1"/>
          <w:color w:val="auto"/>
        </w:rPr>
        <w:t xml:space="preserve"> </w:t>
      </w:r>
      <w:r>
        <w:rPr>
          <w:rFonts w:ascii="Arial" w:cs="Arial" w:eastAsia="Arial" w:hAnsi="Arial"/>
          <w:sz w:val="18"/>
          <w:szCs w:val="18"/>
          <w:color w:val="auto"/>
        </w:rPr>
        <w:t>notice, but one permissible method may be employed in respect of any one or more, and any other permissible method or methods may be employed in respect of any other or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296"/>
        <w:spacing w:after="0" w:line="273" w:lineRule="auto"/>
        <w:rPr>
          <w:sz w:val="20"/>
          <w:szCs w:val="20"/>
          <w:color w:val="auto"/>
        </w:rPr>
      </w:pPr>
      <w:r>
        <w:rPr>
          <w:rFonts w:ascii="Arial" w:cs="Arial" w:eastAsia="Arial" w:hAnsi="Arial"/>
          <w:sz w:val="17"/>
          <w:szCs w:val="17"/>
          <w:b w:val="1"/>
          <w:bCs w:val="1"/>
          <w:color w:val="auto"/>
        </w:rPr>
        <w:t xml:space="preserve">(e)           Notice to Person with Whom Communication is Unlawful. </w:t>
      </w:r>
      <w:r>
        <w:rPr>
          <w:rFonts w:ascii="Arial" w:cs="Arial" w:eastAsia="Arial" w:hAnsi="Arial"/>
          <w:sz w:val="17"/>
          <w:szCs w:val="17"/>
          <w:color w:val="auto"/>
        </w:rPr>
        <w:t>Whenever notice is required to be given, under applicable law or</w:t>
      </w:r>
      <w:r>
        <w:rPr>
          <w:rFonts w:ascii="Arial" w:cs="Arial" w:eastAsia="Arial" w:hAnsi="Arial"/>
          <w:sz w:val="17"/>
          <w:szCs w:val="17"/>
          <w:b w:val="1"/>
          <w:bCs w:val="1"/>
          <w:color w:val="auto"/>
        </w:rPr>
        <w:t xml:space="preserve"> </w:t>
      </w:r>
      <w:r>
        <w:rPr>
          <w:rFonts w:ascii="Arial" w:cs="Arial" w:eastAsia="Arial" w:hAnsi="Arial"/>
          <w:sz w:val="17"/>
          <w:szCs w:val="17"/>
          <w:color w:val="auto"/>
        </w:rPr>
        <w:t>any provision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7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b w:val="1"/>
          <w:bCs w:val="1"/>
          <w:color w:val="auto"/>
        </w:rPr>
        <w:t xml:space="preserve">(f)           Notice to Stockholders Sharing an Address. </w:t>
      </w:r>
      <w:r>
        <w:rPr>
          <w:rFonts w:ascii="Arial" w:cs="Arial" w:eastAsia="Arial" w:hAnsi="Arial"/>
          <w:sz w:val="17"/>
          <w:szCs w:val="17"/>
          <w:color w:val="auto"/>
        </w:rPr>
        <w:t>Except as otherwise prohibited under the DGCL, any notice given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the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49.          Amendments. </w:t>
      </w:r>
      <w:r>
        <w:rPr>
          <w:rFonts w:ascii="Arial" w:cs="Arial" w:eastAsia="Arial" w:hAnsi="Arial"/>
          <w:sz w:val="16"/>
          <w:szCs w:val="16"/>
          <w:color w:val="auto"/>
        </w:rPr>
        <w:t>Subject to the limitations set forth in Section 47(h) or the provisions of the Certificate of Incorporation,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addition to any vote of the holders of any class or series of stock of the corporation required by applicable law or by the Certificate of Incorporation, such action by stockholders shall require the affirmative vote of the holders of</w:t>
      </w:r>
    </w:p>
    <w:p>
      <w:pPr>
        <w:spacing w:after="0" w:line="2"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voting power of all of the then-outstanding shares of the capital stock of the corporation entitled to vote generally in the election of directors,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3.3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DESIGNATIONS, PREFERENCES AND RIGHTS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CONVERTIBLE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TRISALUS LIFE SCIENCES,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Pursuant to Section 151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General Corporation Law of the State of Delaware</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undersigned, pursuant to the provisions of Section 151 of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does hereby certify that, pursuant to the authority expressly vested in the Board of Directors of TriSalus Life Sciences, Inc.,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by the Second Amended and Restated Certificate of Incorporation of the Corporation, the Board of Directors has by resolution duly provided for the issuance of and created a series of preferred stock of the Corporation, par value $0.0001 per share, and in order to fix the designation and amount and the voting powers, preferences and relative, participating, optional and other special rights, and the qualifications, limitations and restrictions, of such series of preferred stock, has duly adopted resolutions setting forth such rights, powers and preferences, and the qualifications, limitations and restrictions thereof, of such series of preferred stock as set forth in this Certificate of Designations, Preferences and Rights of Series A Convertible Preferred Stock (this “</w:t>
      </w:r>
      <w:r>
        <w:rPr>
          <w:rFonts w:ascii="Arial" w:cs="Arial" w:eastAsia="Arial" w:hAnsi="Arial"/>
          <w:sz w:val="16"/>
          <w:szCs w:val="16"/>
          <w:u w:val="single" w:color="auto"/>
          <w:color w:val="auto"/>
        </w:rPr>
        <w:t>Certificate of Designations</w:t>
      </w:r>
      <w:r>
        <w:rPr>
          <w:rFonts w:ascii="Arial" w:cs="Arial" w:eastAsia="Arial" w:hAnsi="Arial"/>
          <w:sz w:val="16"/>
          <w:szCs w:val="16"/>
          <w:color w:val="auto"/>
        </w:rPr>
        <w:t>”). This Certificate of Designations will be effective as of August 10, 2023.</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Section 1. Number of Shares and Designation</w:t>
      </w:r>
      <w:r>
        <w:rPr>
          <w:rFonts w:ascii="Arial" w:cs="Arial" w:eastAsia="Arial" w:hAnsi="Arial"/>
          <w:sz w:val="18"/>
          <w:szCs w:val="18"/>
          <w:color w:val="auto"/>
        </w:rPr>
        <w:t>. 5,000,000 shares of preferred stock of the Corporation shall constitute a series of preferred stock designated</w:t>
      </w:r>
      <w:r>
        <w:rPr>
          <w:rFonts w:ascii="Arial" w:cs="Arial" w:eastAsia="Arial" w:hAnsi="Arial"/>
          <w:sz w:val="18"/>
          <w:szCs w:val="18"/>
          <w:i w:val="1"/>
          <w:iCs w:val="1"/>
          <w:color w:val="auto"/>
        </w:rPr>
        <w:t xml:space="preserve"> </w:t>
      </w:r>
      <w:r>
        <w:rPr>
          <w:rFonts w:ascii="Arial" w:cs="Arial" w:eastAsia="Arial" w:hAnsi="Arial"/>
          <w:sz w:val="18"/>
          <w:szCs w:val="18"/>
          <w:color w:val="auto"/>
        </w:rPr>
        <w:t>as Series A Convertible Preferred Stock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The number of shares of Preferred Stock may be increased (to the extent of the Corporation’s authorized and unissued preferred stock) by further resolution duly adopted by the Board of Directors and the filing of a certificate of increase with the Secretary of State of the State of Delaware.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Section 2. Rank</w:t>
      </w:r>
      <w:r>
        <w:rPr>
          <w:rFonts w:ascii="Arial" w:cs="Arial" w:eastAsia="Arial" w:hAnsi="Arial"/>
          <w:sz w:val="16"/>
          <w:szCs w:val="16"/>
          <w:color w:val="auto"/>
        </w:rPr>
        <w:t>. Each share of Preferred Stock shall rank equally in all respects and shall be subject to the provisions herein. The Preferred Stock shall,</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payment of dividends, rights (including as to the distribution of assets) upon liquidation, dissolution or winding up of the affairs of the Corporation, or otherwise (</w:t>
      </w:r>
      <w:r>
        <w:rPr>
          <w:rFonts w:ascii="Arial" w:cs="Arial" w:eastAsia="Arial" w:hAnsi="Arial"/>
          <w:sz w:val="16"/>
          <w:szCs w:val="16"/>
          <w:u w:val="single" w:color="auto"/>
          <w:color w:val="auto"/>
        </w:rPr>
        <w:t>i</w:t>
      </w:r>
      <w:r>
        <w:rPr>
          <w:rFonts w:ascii="Arial" w:cs="Arial" w:eastAsia="Arial" w:hAnsi="Arial"/>
          <w:sz w:val="16"/>
          <w:szCs w:val="16"/>
          <w:color w:val="auto"/>
        </w:rPr>
        <w:t>) rank senior to the Corporation’s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any other class or series of equity securities of the Corporation, hereafter created, that by its terms does not expressly rank senior to, or on parity with, the Preferred Stock as to payment of dividends or rights (including as to the distribution of assets) upon liquidation, dissolution or winding up of the affairs of the Corporation, or otherwise (all of such equity securities, including the Common Stock, are collectively referred to herein as “</w:t>
      </w:r>
      <w:r>
        <w:rPr>
          <w:rFonts w:ascii="Arial" w:cs="Arial" w:eastAsia="Arial" w:hAnsi="Arial"/>
          <w:sz w:val="16"/>
          <w:szCs w:val="16"/>
          <w:u w:val="single" w:color="auto"/>
          <w:color w:val="auto"/>
        </w:rPr>
        <w:t>Junior Securities</w:t>
      </w:r>
      <w:r>
        <w:rPr>
          <w:rFonts w:ascii="Arial" w:cs="Arial" w:eastAsia="Arial" w:hAnsi="Arial"/>
          <w:sz w:val="16"/>
          <w:szCs w:val="16"/>
          <w:color w:val="auto"/>
        </w:rPr>
        <w:t>”), (</w:t>
      </w:r>
      <w:r>
        <w:rPr>
          <w:rFonts w:ascii="Arial" w:cs="Arial" w:eastAsia="Arial" w:hAnsi="Arial"/>
          <w:sz w:val="16"/>
          <w:szCs w:val="16"/>
          <w:u w:val="single" w:color="auto"/>
          <w:color w:val="auto"/>
        </w:rPr>
        <w:t>ii</w:t>
      </w:r>
      <w:r>
        <w:rPr>
          <w:rFonts w:ascii="Arial" w:cs="Arial" w:eastAsia="Arial" w:hAnsi="Arial"/>
          <w:sz w:val="16"/>
          <w:szCs w:val="16"/>
          <w:color w:val="auto"/>
        </w:rPr>
        <w:t>) rank junior to any class or series of equity securities of the Corporation, hereafter created without violation of this Certificate of Designations, that by its terms expressly ranks senior to the Preferred Stock as to payment of dividends or rights (including as to the distribution of assets) upon liquidation, dissolution or winding up of the affairs of the Corporation, or otherwise (all of such equity securities are collectively referred to herein as “</w:t>
      </w:r>
      <w:r>
        <w:rPr>
          <w:rFonts w:ascii="Arial" w:cs="Arial" w:eastAsia="Arial" w:hAnsi="Arial"/>
          <w:sz w:val="16"/>
          <w:szCs w:val="16"/>
          <w:u w:val="single" w:color="auto"/>
          <w:color w:val="auto"/>
        </w:rPr>
        <w:t>Senior Securities</w:t>
      </w:r>
      <w:r>
        <w:rPr>
          <w:rFonts w:ascii="Arial" w:cs="Arial" w:eastAsia="Arial" w:hAnsi="Arial"/>
          <w:sz w:val="16"/>
          <w:szCs w:val="16"/>
          <w:color w:val="auto"/>
        </w:rPr>
        <w:t>”),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rank on parity with any class or series of equity securities of the Corporation, hereafter created without violation of this Certificate of Designations, that expressly provides that it ranks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Preferred Stock as to payment of dividends or rights (including as to the distribution of assets) upon liquidation, dissolution or winding up of the affairs of the Corporation (all of such equity securities are collectively referred to herein as “</w:t>
      </w:r>
      <w:r>
        <w:rPr>
          <w:rFonts w:ascii="Arial" w:cs="Arial" w:eastAsia="Arial" w:hAnsi="Arial"/>
          <w:sz w:val="16"/>
          <w:szCs w:val="16"/>
          <w:u w:val="single" w:color="auto"/>
          <w:color w:val="auto"/>
        </w:rPr>
        <w:t>Parity Securities</w:t>
      </w:r>
      <w:r>
        <w:rPr>
          <w:rFonts w:ascii="Arial" w:cs="Arial" w:eastAsia="Arial" w:hAnsi="Arial"/>
          <w:sz w:val="16"/>
          <w:szCs w:val="16"/>
          <w:color w:val="auto"/>
        </w:rPr>
        <w:t>”). The respective definitions of Junior Securities, Senior Securities and Parity Securities shall also include any securities, rights or options exercisable or exchangeable for or convertible into any of the Junior Securities, Senior Securities or Parity Securities, as the case may be.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3. Definitions</w:t>
      </w:r>
      <w:r>
        <w:rPr>
          <w:rFonts w:ascii="Arial" w:cs="Arial" w:eastAsia="Arial" w:hAnsi="Arial"/>
          <w:sz w:val="18"/>
          <w:szCs w:val="18"/>
          <w:color w:val="auto"/>
        </w:rPr>
        <w:t>.</w:t>
      </w:r>
    </w:p>
    <w:p>
      <w:pPr>
        <w:spacing w:after="0" w:line="225" w:lineRule="exact"/>
        <w:rPr>
          <w:sz w:val="20"/>
          <w:szCs w:val="20"/>
          <w:color w:val="auto"/>
        </w:rPr>
      </w:pPr>
    </w:p>
    <w:p>
      <w:pPr>
        <w:ind w:firstLine="8"/>
        <w:spacing w:after="0" w:line="277" w:lineRule="auto"/>
        <w:tabs>
          <w:tab w:leader="none" w:pos="2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used herein, the following terms shall have the meanings set forth below or in the section cross-referenced below, as applicable, whether used in the singular or the plural:</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10-Day VWAP</w:t>
      </w:r>
      <w:r>
        <w:rPr>
          <w:rFonts w:ascii="Arial" w:cs="Arial" w:eastAsia="Arial" w:hAnsi="Arial"/>
          <w:sz w:val="18"/>
          <w:szCs w:val="18"/>
          <w:color w:val="auto"/>
        </w:rPr>
        <w:t>” means the average of the daily VWAP of the Common Stock for each Trading Day in the ten (10)-Trading Day period immediately prior to, but excluding, the applicable determination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Accrued Dividend Fundamental Transaction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7(g)(i)</w:t>
      </w: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Accrued Dividends</w:t>
      </w:r>
      <w:r>
        <w:rPr>
          <w:rFonts w:ascii="Arial" w:cs="Arial" w:eastAsia="Arial" w:hAnsi="Arial"/>
          <w:sz w:val="18"/>
          <w:szCs w:val="18"/>
          <w:color w:val="auto"/>
        </w:rPr>
        <w:t xml:space="preserve">” means, as of any date, with respect to any share of Preferred Stock, all dividends that have accrued pursuant to </w:t>
      </w:r>
      <w:r>
        <w:rPr>
          <w:rFonts w:ascii="Arial" w:cs="Arial" w:eastAsia="Arial" w:hAnsi="Arial"/>
          <w:sz w:val="18"/>
          <w:szCs w:val="18"/>
          <w:u w:val="single" w:color="auto"/>
          <w:color w:val="auto"/>
        </w:rPr>
        <w:t>Section 4(a)(ii)</w:t>
      </w:r>
      <w:r>
        <w:rPr>
          <w:rFonts w:ascii="Arial" w:cs="Arial" w:eastAsia="Arial" w:hAnsi="Arial"/>
          <w:sz w:val="18"/>
          <w:szCs w:val="18"/>
          <w:color w:val="auto"/>
        </w:rPr>
        <w:t xml:space="preserve"> but that have not been paid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Dividend PIK Payment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4(a)(iii)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directly or indirectly controlling, controlled by or under common control with, such Person.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7(g)</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Dividend Payment Date</w:t>
      </w:r>
      <w:r>
        <w:rPr>
          <w:rFonts w:ascii="Arial" w:cs="Arial" w:eastAsia="Arial" w:hAnsi="Arial"/>
          <w:sz w:val="18"/>
          <w:szCs w:val="18"/>
          <w:color w:val="auto"/>
        </w:rPr>
        <w:t>” means August 10 of each year (each, an “</w:t>
      </w:r>
      <w:r>
        <w:rPr>
          <w:rFonts w:ascii="Arial" w:cs="Arial" w:eastAsia="Arial" w:hAnsi="Arial"/>
          <w:sz w:val="18"/>
          <w:szCs w:val="18"/>
          <w:u w:val="single" w:color="auto"/>
          <w:color w:val="auto"/>
        </w:rPr>
        <w:t>Anniversary Date</w:t>
      </w:r>
      <w:r>
        <w:rPr>
          <w:rFonts w:ascii="Arial" w:cs="Arial" w:eastAsia="Arial" w:hAnsi="Arial"/>
          <w:sz w:val="18"/>
          <w:szCs w:val="18"/>
          <w:color w:val="auto"/>
        </w:rPr>
        <w:t xml:space="preserve">”), commencing on the first Anniversary Date immediately following the Original Issuance Date;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such Anniversary Date is not a Business Day then the “Annual Dividend Payment Date” shall be the next Business Day immediately following such Anniversary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Dividend Payment Record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4(a)(iv)</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Dividends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4(a)(ii)</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xml:space="preserve">” has the meaning given such term in Rule 13d-3 under the Exchange Act, and a Person’s beneficial ownership of Capital Stock shall be calculated in accordance with the provisions of such rule, but without taking into account any contractual restrictions or limitations on voting or other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determining beneficial ownership, a Person shall be deemed to be the beneficial owner of any security which may be acquired by such Person, whether within sixty (60) days or thereafter, upon the conversion, exchange or exercise of any warrants, options, rights or other securities.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Corporation or any committee thereof duly authorized to act on behalf of such board of directors for the purposes in question.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a Sunday or any other day on which commercial banks are generally required or authorized by law to be closed in New York City, New York.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Buy-In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6(b)(vi)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Amended and Restated By-Laws of the Corporation, as amended from time to time.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of any Person means any and all shares, interests (including partnership interests), rights to purchase, warrants, options, participations or other equivalents of or interests in (however designated) equity of such Person, including any preferred stock, but excluding any debt securities convertible into such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means the Second Amended and Restated Certificate of Incorporation of the Corporation, as amended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Dividend Record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4(a)(iv)</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with respect to the relationship between or among two or more Persons, means the possession, directly or indirectly, of the power to direct or cause the direction of the affairs or management of a Person, whether through the ownership of voting securities, as trustee or executor, by contract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6(b)(iii)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6(b)(i)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xml:space="preserve">” means, as of any date, the Initial Conversion Price, as adjusted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Right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6(a)(i)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Securities</w:t>
      </w:r>
      <w:r>
        <w:rPr>
          <w:rFonts w:ascii="Arial" w:cs="Arial" w:eastAsia="Arial" w:hAnsi="Arial"/>
          <w:sz w:val="18"/>
          <w:szCs w:val="18"/>
          <w:color w:val="auto"/>
        </w:rPr>
        <w:t>” means indebtedness or shares of Capital Stock convertible into or exchangeable for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PIK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4(a)(iii)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4(a)(ii)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from time to time, and the rules and regulations promulgated thereunder.</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Ex-Date</w:t>
      </w:r>
      <w:r>
        <w:rPr>
          <w:rFonts w:ascii="Arial" w:cs="Arial" w:eastAsia="Arial" w:hAnsi="Arial"/>
          <w:sz w:val="18"/>
          <w:szCs w:val="18"/>
          <w:color w:val="auto"/>
        </w:rPr>
        <w:t>” means, when used with respect to any distribution, the first date on which the Common Stock or other securities in question do not have the right to receive the distribution giving rise to an adjustment to the Conversion Price.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 Price</w:t>
      </w:r>
      <w:r>
        <w:rPr>
          <w:rFonts w:ascii="Arial" w:cs="Arial" w:eastAsia="Arial" w:hAnsi="Arial"/>
          <w:sz w:val="18"/>
          <w:szCs w:val="18"/>
          <w:color w:val="auto"/>
        </w:rPr>
        <w:t>” means an amount equal to $2.10, as adjusted for any stock dividend, stock split, reverse stock split, combination or similar event affecting the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Transaction</w:t>
      </w:r>
      <w:r>
        <w:rPr>
          <w:rFonts w:ascii="Arial" w:cs="Arial" w:eastAsia="Arial" w:hAnsi="Arial"/>
          <w:sz w:val="18"/>
          <w:szCs w:val="18"/>
          <w:color w:val="auto"/>
        </w:rPr>
        <w:t>” means, at any time while the Preferred Stock is outstanding, any transaction whereby: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w:t>
      </w:r>
      <w:r>
        <w:rPr>
          <w:rFonts w:ascii="Arial" w:cs="Arial" w:eastAsia="Arial" w:hAnsi="Arial"/>
          <w:sz w:val="18"/>
          <w:szCs w:val="18"/>
          <w:color w:val="auto"/>
        </w:rPr>
        <w:t>) the Corporation, directly or indirectly, in one or more related transactions effects any merger or consolidation or other similar business combination of the Corporation with or into another Person, in each case, pursuant to which the Common Stock will be converted into, or exchanged for, cash, securities or other property of the Corporation or another Person;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ii</w:t>
      </w:r>
      <w:r>
        <w:rPr>
          <w:rFonts w:ascii="Arial" w:cs="Arial" w:eastAsia="Arial" w:hAnsi="Arial"/>
          <w:sz w:val="18"/>
          <w:szCs w:val="18"/>
          <w:color w:val="auto"/>
        </w:rPr>
        <w:t>) the Corporation, directly or indirectly, effects any sale, lease, license, assignment, transfer, conveyance or other disposition (including in connection with any Liquidation) of all or substantially all of its assets in one or a series of related transactions;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iii</w:t>
      </w:r>
      <w:r>
        <w:rPr>
          <w:rFonts w:ascii="Arial" w:cs="Arial" w:eastAsia="Arial" w:hAnsi="Arial"/>
          <w:sz w:val="18"/>
          <w:szCs w:val="18"/>
          <w:color w:val="auto"/>
        </w:rPr>
        <w:t>)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iv</w:t>
      </w:r>
      <w:r>
        <w:rPr>
          <w:rFonts w:ascii="Arial" w:cs="Arial" w:eastAsia="Arial" w:hAnsi="Arial"/>
          <w:sz w:val="18"/>
          <w:szCs w:val="18"/>
          <w:color w:val="auto"/>
        </w:rPr>
        <w:t>)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t>
      </w:r>
      <w:r>
        <w:rPr>
          <w:rFonts w:ascii="Arial" w:cs="Arial" w:eastAsia="Arial" w:hAnsi="Arial"/>
          <w:sz w:val="18"/>
          <w:szCs w:val="18"/>
          <w:color w:val="auto"/>
        </w:rPr>
        <w:t>)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Transaction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means, at any time, any Person in whose name shares of Preferred Stock are registered, which may be treated by the Corporation as the absolute owner of such shares of Preferred Stock for the purpose of making payment and settling the related conversions and for all other purposes.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Conversion Price</w:t>
      </w:r>
      <w:r>
        <w:rPr>
          <w:rFonts w:ascii="Arial" w:cs="Arial" w:eastAsia="Arial" w:hAnsi="Arial"/>
          <w:sz w:val="18"/>
          <w:szCs w:val="18"/>
          <w:color w:val="auto"/>
        </w:rPr>
        <w:t>” means with respect to each share of Preferred Stock, $10.00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 Date</w:t>
      </w:r>
      <w:r>
        <w:rPr>
          <w:rFonts w:ascii="Arial" w:cs="Arial" w:eastAsia="Arial" w:hAnsi="Arial"/>
          <w:sz w:val="18"/>
          <w:szCs w:val="18"/>
          <w:color w:val="auto"/>
        </w:rPr>
        <w:t>” means, with respect to a share of Preferred Stock, the date of issuance of such share of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w:t>
      </w:r>
      <w:r>
        <w:rPr>
          <w:rFonts w:ascii="Arial" w:cs="Arial" w:eastAsia="Arial" w:hAnsi="Arial"/>
          <w:sz w:val="18"/>
          <w:szCs w:val="18"/>
          <w:color w:val="auto"/>
        </w:rPr>
        <w:t>” means the voluntary or involuntary liquidation, dissolution or winding up of the Corporation.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means, with respect to each share of Preferred Stock, $10.00 per share, as adjusted for any stock dividend, stock split, reverse stock split, combination or similar event affecting the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Stock Market LLC (or its successor).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Options</w:t>
      </w:r>
      <w:r>
        <w:rPr>
          <w:rFonts w:ascii="Arial" w:cs="Arial" w:eastAsia="Arial" w:hAnsi="Arial"/>
          <w:sz w:val="18"/>
          <w:szCs w:val="18"/>
          <w:color w:val="auto"/>
        </w:rPr>
        <w:t>” means rights, options or warrants to subscribe for, purchase or otherwise acquire Common Stock or Convertible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Issuance Date</w:t>
      </w:r>
      <w:r>
        <w:rPr>
          <w:rFonts w:ascii="Arial" w:cs="Arial" w:eastAsia="Arial" w:hAnsi="Arial"/>
          <w:sz w:val="18"/>
          <w:szCs w:val="18"/>
          <w:color w:val="auto"/>
        </w:rPr>
        <w:t>” means August 10,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Dividends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4(a)(i)</w:t>
      </w:r>
      <w:r>
        <w:rPr>
          <w:rFonts w:ascii="Arial" w:cs="Arial" w:eastAsia="Arial" w:hAnsi="Arial"/>
          <w:sz w:val="18"/>
          <w:szCs w:val="18"/>
          <w:color w:val="auto"/>
        </w:rPr>
        <w: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Payment Period</w:t>
      </w:r>
      <w:r>
        <w:rPr>
          <w:rFonts w:ascii="Arial" w:cs="Arial" w:eastAsia="Arial" w:hAnsi="Arial"/>
          <w:sz w:val="16"/>
          <w:szCs w:val="16"/>
          <w:color w:val="auto"/>
        </w:rPr>
        <w:t xml:space="preserve">” means, with respect to a share of Preferred Stock, the period beginning on the day after the preceding Annual Dividend Payment Date (or if no Annual Dividend Payment Date has occurred since the Issuance Date of such share of Preferred Stock, the Issuance Date) to and including the next Annual Dividend 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 of determining the amount of Accrued Dividends for any Payment Period, the Payment Period shall be calculated based on the actual number of days elapsed during such Payment Period on either an actual 365-or 366-day year, as applicable.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group (within the meaning of Section 13(d)(3) or 14(d)(2) of the Exchange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means the securities register maintained in respect of the Preferred Stock by the Transfer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Delivery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6(b)(ii)</w:t>
      </w:r>
      <w:r>
        <w:rPr>
          <w:rFonts w:ascii="Arial" w:cs="Arial" w:eastAsia="Arial" w:hAnsi="Arial"/>
          <w:sz w:val="18"/>
          <w:szCs w:val="18"/>
          <w:color w:val="auto"/>
        </w:rPr>
        <w: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or “</w:t>
      </w:r>
      <w:r>
        <w:rPr>
          <w:rFonts w:ascii="Arial" w:cs="Arial" w:eastAsia="Arial" w:hAnsi="Arial"/>
          <w:sz w:val="16"/>
          <w:szCs w:val="16"/>
          <w:u w:val="single" w:color="auto"/>
          <w:color w:val="auto"/>
        </w:rPr>
        <w:t>Subsidiaries</w:t>
      </w:r>
      <w:r>
        <w:rPr>
          <w:rFonts w:ascii="Arial" w:cs="Arial" w:eastAsia="Arial" w:hAnsi="Arial"/>
          <w:sz w:val="16"/>
          <w:szCs w:val="16"/>
          <w:color w:val="auto"/>
        </w:rPr>
        <w:t>” means, with respect to any Person, any other Person of which (</w:t>
      </w:r>
      <w:r>
        <w:rPr>
          <w:rFonts w:ascii="Arial" w:cs="Arial" w:eastAsia="Arial" w:hAnsi="Arial"/>
          <w:sz w:val="16"/>
          <w:szCs w:val="16"/>
          <w:u w:val="single" w:color="auto"/>
          <w:color w:val="auto"/>
        </w:rPr>
        <w:t>i</w:t>
      </w:r>
      <w:r>
        <w:rPr>
          <w:rFonts w:ascii="Arial" w:cs="Arial" w:eastAsia="Arial" w:hAnsi="Arial"/>
          <w:sz w:val="16"/>
          <w:szCs w:val="16"/>
          <w:color w:val="auto"/>
        </w:rPr>
        <w:t>) if a corporation, a majority of the total voting power of shares of capital stock entitled (without regard to the occurrence of any contingency) to vote in the election of directors thereof is at the time owned or controlled, directly or indirectly, by that Person or one or more of the other Subsidiaries of that Person or a combination thereof, or (</w:t>
      </w:r>
      <w:r>
        <w:rPr>
          <w:rFonts w:ascii="Arial" w:cs="Arial" w:eastAsia="Arial" w:hAnsi="Arial"/>
          <w:sz w:val="16"/>
          <w:szCs w:val="16"/>
          <w:u w:val="single" w:color="auto"/>
          <w:color w:val="auto"/>
        </w:rPr>
        <w:t>ii</w:t>
      </w:r>
      <w:r>
        <w:rPr>
          <w:rFonts w:ascii="Arial" w:cs="Arial" w:eastAsia="Arial" w:hAnsi="Arial"/>
          <w:sz w:val="16"/>
          <w:szCs w:val="16"/>
          <w:color w:val="auto"/>
        </w:rPr>
        <w:t>) if a limited liability company, partnership, association or other business entity (other than a corporation), a majority of partnership or other similar ownership interest thereof is at the time owned or controlled, directly or indirectly, by that Person or one or more other Subsidiaries of that Person or a combination thereof and for this purpose, a Person or Persons owns a majority ownership interest in such a business entity (other than a corporation) if such Person or Persons shall be allocated a majority of such business entity’s gains or losses or shall be or control any managing director or general partner of such business entity (other than a corporation). For the purposes hereof, the term “Subsidiary” shall include all Subsidiaries of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19.90% of the number of shares of Common Stock outstanding immediately after giving effect to the issuance of shares of Common Stock pursuant to an applicable Conversion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NASDAQ is open for the transaction of business.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 Agent</w:t>
      </w:r>
      <w:r>
        <w:rPr>
          <w:rFonts w:ascii="Arial" w:cs="Arial" w:eastAsia="Arial" w:hAnsi="Arial"/>
          <w:sz w:val="17"/>
          <w:szCs w:val="17"/>
          <w:color w:val="auto"/>
        </w:rPr>
        <w:t>” means, Continental Stock Transfer &amp; Trust Company, the current transfer agent of the Corporation, with a mailing address of 1 State Street 30th Floor, New York, NY 10004 and an email address of cstmail@continentalstock.com and any successor transfer agent of the Corporation.</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for any date, if the Common Stock is then listed or quoted on the NASDAQ (or its successor) or another U.S. national securities exchange, the per share daily volume weighted average price of the Common Stock for such date (or the nearest preceding date) on the NASDAQ (or its successor) or another U.S. national securities exchange on which the Common Stock is then listed or quoted as reported by Bloomberg L.P. (or, if Bloomberg ceases to publish such price, any successor service reasonably chosen by the Corporation) (based on a Trading Day from 9:30 a.m. (New York City time) to 4:02 p.m. (New York City time)) (or if such volume weighted average price is unavailable, the market price of one share of the Common Stock on such Trading Day determined, using a volume-weighted average method, by a nationally recognized investment banking firm retained for this purpose by the Corporation).</w:t>
      </w:r>
    </w:p>
    <w:p>
      <w:pPr>
        <w:spacing w:after="0" w:line="195"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addition to the above definitions, unless the context requires otherwise:</w:t>
      </w:r>
    </w:p>
    <w:p>
      <w:pPr>
        <w:spacing w:after="0" w:line="225" w:lineRule="exact"/>
        <w:rPr>
          <w:rFonts w:ascii="Arial" w:cs="Arial" w:eastAsia="Arial" w:hAnsi="Arial"/>
          <w:sz w:val="18"/>
          <w:szCs w:val="18"/>
          <w:color w:val="auto"/>
        </w:rPr>
      </w:pPr>
    </w:p>
    <w:p>
      <w:pPr>
        <w:ind w:left="660" w:hanging="4"/>
        <w:spacing w:after="0" w:line="277" w:lineRule="auto"/>
        <w:tabs>
          <w:tab w:leader="none" w:pos="886"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reference to any statute, regulation, rule or form as of any time shall mean such statute, regulation, rule or form as amended or modified and shall also include any successor statute, regulation, rule or form from time to time;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word “including” shall be deemed to be followed by the words “without limitation”;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references to “$” or “dollars” means the lawful coin or currency the United States of America; and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references to “Section” are references to Sections of this Certificate of Designations.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4. Dividends</w:t>
      </w:r>
      <w:r>
        <w:rPr>
          <w:rFonts w:ascii="Arial" w:cs="Arial" w:eastAsia="Arial" w:hAnsi="Arial"/>
          <w:sz w:val="18"/>
          <w:szCs w:val="18"/>
          <w:color w:val="auto"/>
        </w:rPr>
        <w:t>.</w:t>
      </w:r>
    </w:p>
    <w:p>
      <w:pPr>
        <w:spacing w:after="0" w:line="225" w:lineRule="exact"/>
        <w:rPr>
          <w:sz w:val="20"/>
          <w:szCs w:val="20"/>
          <w:color w:val="auto"/>
        </w:rPr>
      </w:pPr>
    </w:p>
    <w:p>
      <w:pPr>
        <w:ind w:firstLine="8"/>
        <w:spacing w:after="0" w:line="277"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Holders of the issued and outstanding shares of Preferred Stock shall be entitled to receive, out of the assets of the Corporation legally available for the payment of dividends, dividends on the terms described below:</w:t>
      </w:r>
    </w:p>
    <w:p>
      <w:pPr>
        <w:spacing w:after="0" w:line="170" w:lineRule="exact"/>
        <w:rPr>
          <w:rFonts w:ascii="Arial" w:cs="Arial" w:eastAsia="Arial" w:hAnsi="Arial"/>
          <w:sz w:val="18"/>
          <w:szCs w:val="18"/>
          <w:color w:val="auto"/>
        </w:rPr>
      </w:pPr>
    </w:p>
    <w:p>
      <w:pPr>
        <w:jc w:val="both"/>
        <w:ind w:firstLine="656"/>
        <w:spacing w:after="0" w:line="273" w:lineRule="auto"/>
        <w:tabs>
          <w:tab w:leader="none" w:pos="882" w:val="left"/>
        </w:tabs>
        <w:numPr>
          <w:ilvl w:val="1"/>
          <w:numId w:val="27"/>
        </w:numPr>
        <w:rPr>
          <w:rFonts w:ascii="Arial" w:cs="Arial" w:eastAsia="Arial" w:hAnsi="Arial"/>
          <w:sz w:val="17"/>
          <w:szCs w:val="17"/>
          <w:color w:val="auto"/>
        </w:rPr>
      </w:pPr>
      <w:r>
        <w:rPr>
          <w:rFonts w:ascii="Arial" w:cs="Arial" w:eastAsia="Arial" w:hAnsi="Arial"/>
          <w:sz w:val="17"/>
          <w:szCs w:val="17"/>
          <w:color w:val="auto"/>
        </w:rPr>
        <w:t xml:space="preserve">Holders of shares of Preferred Stock shall be entitled to participate equally and ratably with the holders of shares of Common Stock in all dividends paid on the shares of Common Stock (other than dividends paid in the form of Common Stock, Convertible Securities or Options) as if immediately prior to each Common Stock Dividend Record Date, all shares of Preferred Stock then outstanding were converted into shares of Common Stock. Dividends payable pursuant to this </w:t>
      </w:r>
      <w:r>
        <w:rPr>
          <w:rFonts w:ascii="Arial" w:cs="Arial" w:eastAsia="Arial" w:hAnsi="Arial"/>
          <w:sz w:val="17"/>
          <w:szCs w:val="17"/>
          <w:u w:val="single" w:color="auto"/>
          <w:color w:val="auto"/>
        </w:rPr>
        <w:t>Section 4(a)(i)</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Participating Dividends</w:t>
      </w:r>
      <w:r>
        <w:rPr>
          <w:rFonts w:ascii="Arial" w:cs="Arial" w:eastAsia="Arial" w:hAnsi="Arial"/>
          <w:sz w:val="17"/>
          <w:szCs w:val="17"/>
          <w:color w:val="auto"/>
        </w:rPr>
        <w:t xml:space="preserve">”) shall be payable on the same date that such dividends are payable to holders of shares of Common Stock, and no dividends shall be payable to holders of shares of Common Stock unless the full dividends contemplated by this </w:t>
      </w:r>
      <w:r>
        <w:rPr>
          <w:rFonts w:ascii="Arial" w:cs="Arial" w:eastAsia="Arial" w:hAnsi="Arial"/>
          <w:sz w:val="17"/>
          <w:szCs w:val="17"/>
          <w:u w:val="single" w:color="auto"/>
          <w:color w:val="auto"/>
        </w:rPr>
        <w:t>Section 4(a)(i)</w:t>
      </w:r>
      <w:r>
        <w:rPr>
          <w:rFonts w:ascii="Arial" w:cs="Arial" w:eastAsia="Arial" w:hAnsi="Arial"/>
          <w:sz w:val="17"/>
          <w:szCs w:val="17"/>
          <w:color w:val="auto"/>
        </w:rPr>
        <w:t xml:space="preserve"> are paid at the same time to the Holders of the Preferred Stock.</w:t>
      </w:r>
    </w:p>
    <w:p>
      <w:pPr>
        <w:spacing w:after="0" w:line="177" w:lineRule="exact"/>
        <w:rPr>
          <w:rFonts w:ascii="Arial" w:cs="Arial" w:eastAsia="Arial" w:hAnsi="Arial"/>
          <w:sz w:val="17"/>
          <w:szCs w:val="17"/>
          <w:color w:val="auto"/>
        </w:rPr>
      </w:pPr>
    </w:p>
    <w:p>
      <w:pPr>
        <w:jc w:val="both"/>
        <w:ind w:firstLine="656"/>
        <w:spacing w:after="0" w:line="269" w:lineRule="auto"/>
        <w:tabs>
          <w:tab w:leader="none" w:pos="930" w:val="left"/>
        </w:tabs>
        <w:numPr>
          <w:ilvl w:val="1"/>
          <w:numId w:val="27"/>
        </w:numPr>
        <w:rPr>
          <w:rFonts w:ascii="Arial" w:cs="Arial" w:eastAsia="Arial" w:hAnsi="Arial"/>
          <w:sz w:val="17"/>
          <w:szCs w:val="17"/>
          <w:color w:val="auto"/>
        </w:rPr>
      </w:pPr>
      <w:r>
        <w:rPr>
          <w:rFonts w:ascii="Arial" w:cs="Arial" w:eastAsia="Arial" w:hAnsi="Arial"/>
          <w:sz w:val="17"/>
          <w:szCs w:val="17"/>
          <w:color w:val="auto"/>
        </w:rPr>
        <w:t xml:space="preserve">In addition to any dividends pursuant to </w:t>
      </w:r>
      <w:r>
        <w:rPr>
          <w:rFonts w:ascii="Arial" w:cs="Arial" w:eastAsia="Arial" w:hAnsi="Arial"/>
          <w:sz w:val="17"/>
          <w:szCs w:val="17"/>
          <w:u w:val="single" w:color="auto"/>
          <w:color w:val="auto"/>
        </w:rPr>
        <w:t>Section 4(a)(i)</w:t>
      </w:r>
      <w:r>
        <w:rPr>
          <w:rFonts w:ascii="Arial" w:cs="Arial" w:eastAsia="Arial" w:hAnsi="Arial"/>
          <w:sz w:val="17"/>
          <w:szCs w:val="17"/>
          <w:color w:val="auto"/>
        </w:rPr>
        <w:t xml:space="preserve">, the Corporation shall pay, subject to </w:t>
      </w:r>
      <w:r>
        <w:rPr>
          <w:rFonts w:ascii="Arial" w:cs="Arial" w:eastAsia="Arial" w:hAnsi="Arial"/>
          <w:sz w:val="17"/>
          <w:szCs w:val="17"/>
          <w:u w:val="single" w:color="auto"/>
          <w:color w:val="auto"/>
        </w:rPr>
        <w:t>Section 4(c),</w:t>
      </w:r>
      <w:r>
        <w:rPr>
          <w:rFonts w:ascii="Arial" w:cs="Arial" w:eastAsia="Arial" w:hAnsi="Arial"/>
          <w:sz w:val="17"/>
          <w:szCs w:val="17"/>
          <w:color w:val="auto"/>
        </w:rPr>
        <w:t xml:space="preserve"> if, as and when declared by the Board of Directors, out of funds of the Corporation legally available therefor, on each Annual Dividend Payment Date for the applicable Payment Period or Payment Periods dividends on each outstanding share of Preferred Stock (the “</w:t>
      </w:r>
      <w:r>
        <w:rPr>
          <w:rFonts w:ascii="Arial" w:cs="Arial" w:eastAsia="Arial" w:hAnsi="Arial"/>
          <w:sz w:val="17"/>
          <w:szCs w:val="17"/>
          <w:u w:val="single" w:color="auto"/>
          <w:color w:val="auto"/>
        </w:rPr>
        <w:t>Annual Dividends</w:t>
      </w:r>
      <w:r>
        <w:rPr>
          <w:rFonts w:ascii="Arial" w:cs="Arial" w:eastAsia="Arial" w:hAnsi="Arial"/>
          <w:sz w:val="17"/>
          <w:szCs w:val="17"/>
          <w:color w:val="auto"/>
        </w:rPr>
        <w:t xml:space="preserve">”) at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(calculated on the basis of an actual 365- or 366-day year, as applicable) equal to 8.00% of the Liquidation Preference per share of Preferred Stock (the “</w:t>
      </w:r>
      <w:r>
        <w:rPr>
          <w:rFonts w:ascii="Arial" w:cs="Arial" w:eastAsia="Arial" w:hAnsi="Arial"/>
          <w:sz w:val="17"/>
          <w:szCs w:val="17"/>
          <w:u w:val="single" w:color="auto"/>
          <w:color w:val="auto"/>
        </w:rPr>
        <w:t>Dividend Rate</w:t>
      </w:r>
      <w:r>
        <w:rPr>
          <w:rFonts w:ascii="Arial" w:cs="Arial" w:eastAsia="Arial" w:hAnsi="Arial"/>
          <w:sz w:val="17"/>
          <w:szCs w:val="17"/>
          <w:color w:val="auto"/>
        </w:rPr>
        <w:t xml:space="preserve">”), payable in accordance with </w:t>
      </w:r>
      <w:r>
        <w:rPr>
          <w:rFonts w:ascii="Arial" w:cs="Arial" w:eastAsia="Arial" w:hAnsi="Arial"/>
          <w:sz w:val="17"/>
          <w:szCs w:val="17"/>
          <w:u w:val="single" w:color="auto"/>
          <w:color w:val="auto"/>
        </w:rPr>
        <w:t>Section 4(a)(iii)</w:t>
      </w:r>
      <w:r>
        <w:rPr>
          <w:rFonts w:ascii="Arial" w:cs="Arial" w:eastAsia="Arial" w:hAnsi="Arial"/>
          <w:sz w:val="17"/>
          <w:szCs w:val="17"/>
          <w:color w:val="auto"/>
        </w:rPr>
        <w:t xml:space="preserve"> below. Subject to </w:t>
      </w:r>
      <w:r>
        <w:rPr>
          <w:rFonts w:ascii="Arial" w:cs="Arial" w:eastAsia="Arial" w:hAnsi="Arial"/>
          <w:sz w:val="17"/>
          <w:szCs w:val="17"/>
          <w:u w:val="single" w:color="auto"/>
          <w:color w:val="auto"/>
        </w:rPr>
        <w:t>Section 4(c)</w:t>
      </w:r>
      <w:r>
        <w:rPr>
          <w:rFonts w:ascii="Arial" w:cs="Arial" w:eastAsia="Arial" w:hAnsi="Arial"/>
          <w:sz w:val="17"/>
          <w:szCs w:val="17"/>
          <w:color w:val="auto"/>
        </w:rPr>
        <w:t xml:space="preserve">, Annual Dividends shall accrue and accumulate on a daily basis from the Issuance Date of such share, whether or not declared and whether or not the Corporation has funds legally available for the payment of such dividends and shall be payable annually in arrears, if, as and when so authorized and declared by the Board of Directors, on each Annual Dividend Payment Date, commencing on the first Annual Dividend Payment Date following the Issuance Date of such share. Accrued Dividends, to the extent unpaid, shall in all cases be payable upon a Liquidation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upon a conversion of the Preferred Stock following a Fundamental Transaction pursuant to </w:t>
      </w:r>
      <w:r>
        <w:rPr>
          <w:rFonts w:ascii="Arial" w:cs="Arial" w:eastAsia="Arial" w:hAnsi="Arial"/>
          <w:sz w:val="17"/>
          <w:szCs w:val="17"/>
          <w:u w:val="single" w:color="auto"/>
          <w:color w:val="auto"/>
        </w:rPr>
        <w:t>Section 7(g)(i)</w:t>
      </w:r>
      <w:r>
        <w:rPr>
          <w:rFonts w:ascii="Arial" w:cs="Arial" w:eastAsia="Arial" w:hAnsi="Arial"/>
          <w:sz w:val="17"/>
          <w:szCs w:val="17"/>
          <w:color w:val="auto"/>
        </w:rPr>
        <w:t xml:space="preserve">, or upon any conversion of the Preferred Stock pursuant to </w:t>
      </w:r>
      <w:r>
        <w:rPr>
          <w:rFonts w:ascii="Arial" w:cs="Arial" w:eastAsia="Arial" w:hAnsi="Arial"/>
          <w:sz w:val="17"/>
          <w:szCs w:val="17"/>
          <w:u w:val="single" w:color="auto"/>
          <w:color w:val="auto"/>
        </w:rPr>
        <w:t>Section 6(a)(i)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6(a)(ii)</w:t>
      </w:r>
      <w:r>
        <w:rPr>
          <w:rFonts w:ascii="Arial" w:cs="Arial" w:eastAsia="Arial" w:hAnsi="Arial"/>
          <w:sz w:val="17"/>
          <w:szCs w:val="17"/>
          <w:color w:val="auto"/>
        </w:rPr>
        <w:t>. Annual Dividend payments shall be aggregated per Holder and shall be made to the nearest cent (with $0.005 being rounded upward).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left="-8" w:firstLine="656"/>
        <w:spacing w:after="0" w:line="269" w:lineRule="auto"/>
        <w:tabs>
          <w:tab w:leader="none" w:pos="962"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The Annual Dividends may, at the option of the Corporation in its sole discretion, be paid (A) in cash, (B) by delivery of shares of Common Stock, or (C) by delivery of any combination of cash and shares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Corporation elects to pay all or any part of the total amount of an Annual Dividend in shares of Common Stock (such amount with respect to any Annual Dividend Payment Date, the “</w:t>
      </w:r>
      <w:r>
        <w:rPr>
          <w:rFonts w:ascii="Arial" w:cs="Arial" w:eastAsia="Arial" w:hAnsi="Arial"/>
          <w:sz w:val="17"/>
          <w:szCs w:val="17"/>
          <w:u w:val="single" w:color="auto"/>
          <w:color w:val="auto"/>
        </w:rPr>
        <w:t>Dividend PIK</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xml:space="preserve">”), the number of shares of Common Stock to be delivered shall be determined by dividing the Dividend PIK Amount by the 10-Day VWAP with respect to such Annual Dividend 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where the Corporation has determined in its sole discretion to pay a Dividend PIK Amount, if the 10-Day VWAP with respect to such Annual Dividend Payment Date is less than the Floor Price, (A) the number of shares of Common Stock that are permitted to be delivered in partial payment of the Dividend PIK Amount (the “</w:t>
      </w:r>
      <w:r>
        <w:rPr>
          <w:rFonts w:ascii="Arial" w:cs="Arial" w:eastAsia="Arial" w:hAnsi="Arial"/>
          <w:sz w:val="17"/>
          <w:szCs w:val="17"/>
          <w:u w:val="single" w:color="auto"/>
          <w:color w:val="auto"/>
        </w:rPr>
        <w:t>Actual Dividend PIK Payment Shares</w:t>
      </w:r>
      <w:r>
        <w:rPr>
          <w:rFonts w:ascii="Arial" w:cs="Arial" w:eastAsia="Arial" w:hAnsi="Arial"/>
          <w:sz w:val="17"/>
          <w:szCs w:val="17"/>
          <w:color w:val="auto"/>
        </w:rPr>
        <w:t xml:space="preserve">”) shall be calculated by dividing (v) the Dividend PIK Amount by (w) the Floor Price and (B) the portion of the Annual Dividend that is not paid by delivery of the Actual Dividend PIK Payment Shares shall be payable in cash, which amount shall be calculated as (x) the total Dividend PIK Amount less (y)(i) the product of the Actual Dividend PIK Payment Shares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(ii) the 10-Day VWAP.</w:t>
      </w:r>
    </w:p>
    <w:p>
      <w:pPr>
        <w:spacing w:after="0" w:line="185" w:lineRule="exact"/>
        <w:rPr>
          <w:rFonts w:ascii="Arial" w:cs="Arial" w:eastAsia="Arial" w:hAnsi="Arial"/>
          <w:sz w:val="17"/>
          <w:szCs w:val="17"/>
          <w:color w:val="auto"/>
        </w:rPr>
      </w:pPr>
    </w:p>
    <w:p>
      <w:pPr>
        <w:jc w:val="both"/>
        <w:ind w:left="-8" w:firstLine="656"/>
        <w:spacing w:after="0" w:line="255" w:lineRule="auto"/>
        <w:tabs>
          <w:tab w:leader="none" w:pos="967" w:val="left"/>
        </w:tabs>
        <w:numPr>
          <w:ilvl w:val="1"/>
          <w:numId w:val="28"/>
        </w:numPr>
        <w:rPr>
          <w:rFonts w:ascii="Arial" w:cs="Arial" w:eastAsia="Arial" w:hAnsi="Arial"/>
          <w:sz w:val="18"/>
          <w:szCs w:val="18"/>
          <w:color w:val="auto"/>
        </w:rPr>
      </w:pPr>
      <w:r>
        <w:rPr>
          <w:rFonts w:ascii="Arial" w:cs="Arial" w:eastAsia="Arial" w:hAnsi="Arial"/>
          <w:sz w:val="18"/>
          <w:szCs w:val="18"/>
          <w:color w:val="auto"/>
        </w:rPr>
        <w:t>Each Participating Dividend or Annual Dividend shall be paid pro rata to the Holders of shares of Preferred Stock entitled thereto. Each Participating Dividend or Annual Dividend shall be payable to the Holders of Preferred Stock as they appear on the Register at the Close of Business on the record date designated by the Board of Directors for such dividends, which (</w:t>
      </w:r>
      <w:r>
        <w:rPr>
          <w:rFonts w:ascii="Arial" w:cs="Arial" w:eastAsia="Arial" w:hAnsi="Arial"/>
          <w:sz w:val="18"/>
          <w:szCs w:val="18"/>
          <w:u w:val="single" w:color="auto"/>
          <w:color w:val="auto"/>
        </w:rPr>
        <w:t>i</w:t>
      </w:r>
      <w:r>
        <w:rPr>
          <w:rFonts w:ascii="Arial" w:cs="Arial" w:eastAsia="Arial" w:hAnsi="Arial"/>
          <w:sz w:val="18"/>
          <w:szCs w:val="18"/>
          <w:color w:val="auto"/>
        </w:rPr>
        <w:t>) with respect to Participating Dividends, shall be the same day as the record date for the payment of dividends to the holders of shares of Common Stock (the “</w:t>
      </w:r>
      <w:r>
        <w:rPr>
          <w:rFonts w:ascii="Arial" w:cs="Arial" w:eastAsia="Arial" w:hAnsi="Arial"/>
          <w:sz w:val="18"/>
          <w:szCs w:val="18"/>
          <w:u w:val="single" w:color="auto"/>
          <w:color w:val="auto"/>
        </w:rPr>
        <w:t>Common Stock Dividend Record Date</w:t>
      </w:r>
      <w:r>
        <w:rPr>
          <w:rFonts w:ascii="Arial" w:cs="Arial" w:eastAsia="Arial" w:hAnsi="Arial"/>
          <w:sz w:val="18"/>
          <w:szCs w:val="18"/>
          <w:color w:val="auto"/>
        </w:rPr>
        <w:t>”), and (</w:t>
      </w:r>
      <w:r>
        <w:rPr>
          <w:rFonts w:ascii="Arial" w:cs="Arial" w:eastAsia="Arial" w:hAnsi="Arial"/>
          <w:sz w:val="18"/>
          <w:szCs w:val="18"/>
          <w:u w:val="single" w:color="auto"/>
          <w:color w:val="auto"/>
        </w:rPr>
        <w:t>ii</w:t>
      </w:r>
      <w:r>
        <w:rPr>
          <w:rFonts w:ascii="Arial" w:cs="Arial" w:eastAsia="Arial" w:hAnsi="Arial"/>
          <w:sz w:val="18"/>
          <w:szCs w:val="18"/>
          <w:color w:val="auto"/>
        </w:rPr>
        <w:t>) with respect to Annual Dividends, shall be not more than thirty (30) days nor less than ten (10) days preceding the applicable Annual Dividend Payment Date (such date, an “</w:t>
      </w:r>
      <w:r>
        <w:rPr>
          <w:rFonts w:ascii="Arial" w:cs="Arial" w:eastAsia="Arial" w:hAnsi="Arial"/>
          <w:sz w:val="18"/>
          <w:szCs w:val="18"/>
          <w:u w:val="single" w:color="auto"/>
          <w:color w:val="auto"/>
        </w:rPr>
        <w:t>Annual Dividend Payment Record Date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8" w:firstLine="8"/>
        <w:spacing w:after="0" w:line="288" w:lineRule="auto"/>
        <w:tabs>
          <w:tab w:leader="none" w:pos="2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Without the consent of the Holders representing at least a majority of the then-issued and outstanding shares of Preferred Stock, the Corporation shall not (</w:t>
      </w:r>
      <w:r>
        <w:rPr>
          <w:rFonts w:ascii="Arial" w:cs="Arial" w:eastAsia="Arial" w:hAnsi="Arial"/>
          <w:sz w:val="16"/>
          <w:szCs w:val="16"/>
          <w:u w:val="single" w:color="auto"/>
          <w:color w:val="auto"/>
        </w:rPr>
        <w:t>i</w:t>
      </w:r>
      <w:r>
        <w:rPr>
          <w:rFonts w:ascii="Arial" w:cs="Arial" w:eastAsia="Arial" w:hAnsi="Arial"/>
          <w:sz w:val="16"/>
          <w:szCs w:val="16"/>
          <w:color w:val="auto"/>
        </w:rPr>
        <w:t>) declare, pay or set aside for payment any dividends or distributions upon any Junior Securities or (</w:t>
      </w:r>
      <w:r>
        <w:rPr>
          <w:rFonts w:ascii="Arial" w:cs="Arial" w:eastAsia="Arial" w:hAnsi="Arial"/>
          <w:sz w:val="16"/>
          <w:szCs w:val="16"/>
          <w:u w:val="single" w:color="auto"/>
          <w:color w:val="auto"/>
        </w:rPr>
        <w:t>ii</w:t>
      </w:r>
      <w:r>
        <w:rPr>
          <w:rFonts w:ascii="Arial" w:cs="Arial" w:eastAsia="Arial" w:hAnsi="Arial"/>
          <w:sz w:val="16"/>
          <w:szCs w:val="16"/>
          <w:color w:val="auto"/>
        </w:rPr>
        <w:t>) repurchase, redeem or otherwise acquire any Junior Securities (other than repurchases, redemptions or acquisitions of shares of Junior Securities with respect to equity awards (including in connection with “cashless” or “net” exercises of Options, payment of the exercise or purchase price of Options, or to satisfy tax withholding obligations due as a result of the exercise of Options or delivery of equity awards) under any equity incentive plan or similar arrangements of the Corporation or its Subsidiaries) for any consideration or pay any moneys or make available for a sinking fund for the redemption of any shares of such Junior Securities, unless, in each case, (</w:t>
      </w:r>
      <w:r>
        <w:rPr>
          <w:rFonts w:ascii="Arial" w:cs="Arial" w:eastAsia="Arial" w:hAnsi="Arial"/>
          <w:sz w:val="16"/>
          <w:szCs w:val="16"/>
          <w:u w:val="single" w:color="auto"/>
          <w:color w:val="auto"/>
        </w:rPr>
        <w:t>A</w:t>
      </w:r>
      <w:r>
        <w:rPr>
          <w:rFonts w:ascii="Arial" w:cs="Arial" w:eastAsia="Arial" w:hAnsi="Arial"/>
          <w:sz w:val="16"/>
          <w:szCs w:val="16"/>
          <w:color w:val="auto"/>
        </w:rPr>
        <w:t>) immediately before and after the taking of such action, the fair value of the Corporation’s assets would exceed the sum of its debts (including for this purpose the aggregate Liquidation Preference and the aggregate Accrued Dividends of the Preferred Stock), (</w:t>
      </w:r>
      <w:r>
        <w:rPr>
          <w:rFonts w:ascii="Arial" w:cs="Arial" w:eastAsia="Arial" w:hAnsi="Arial"/>
          <w:sz w:val="16"/>
          <w:szCs w:val="16"/>
          <w:u w:val="single" w:color="auto"/>
          <w:color w:val="auto"/>
        </w:rPr>
        <w:t>B</w:t>
      </w:r>
      <w:r>
        <w:rPr>
          <w:rFonts w:ascii="Arial" w:cs="Arial" w:eastAsia="Arial" w:hAnsi="Arial"/>
          <w:sz w:val="16"/>
          <w:szCs w:val="16"/>
          <w:color w:val="auto"/>
        </w:rPr>
        <w:t>) immediately after the taking of such action, the Corporation, in its good faith judgment, would be able to pay all of its debts (including the aggregate Liquidation Preference and the aggregate Accrued Dividends of the Preferred Stock) as they are reasonably expected to come due and (</w:t>
      </w:r>
      <w:r>
        <w:rPr>
          <w:rFonts w:ascii="Arial" w:cs="Arial" w:eastAsia="Arial" w:hAnsi="Arial"/>
          <w:sz w:val="16"/>
          <w:szCs w:val="16"/>
          <w:u w:val="single" w:color="auto"/>
          <w:color w:val="auto"/>
        </w:rPr>
        <w:t>C</w:t>
      </w:r>
      <w:r>
        <w:rPr>
          <w:rFonts w:ascii="Arial" w:cs="Arial" w:eastAsia="Arial" w:hAnsi="Arial"/>
          <w:sz w:val="16"/>
          <w:szCs w:val="16"/>
          <w:color w:val="auto"/>
        </w:rPr>
        <w:t>) such action is otherwise in compliance with applicable law.</w:t>
      </w:r>
    </w:p>
    <w:p>
      <w:pPr>
        <w:spacing w:after="0" w:line="168" w:lineRule="exact"/>
        <w:rPr>
          <w:rFonts w:ascii="Arial" w:cs="Arial" w:eastAsia="Arial" w:hAnsi="Arial"/>
          <w:sz w:val="16"/>
          <w:szCs w:val="16"/>
          <w:color w:val="auto"/>
        </w:rPr>
      </w:pPr>
    </w:p>
    <w:p>
      <w:pPr>
        <w:jc w:val="both"/>
        <w:ind w:left="-8" w:firstLine="8"/>
        <w:spacing w:after="0" w:line="255"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If the Fundamental Transaction Date or Conversion Date of any share of Preferred Stock is after an Annual Dividend Payment Record Date for a declared Annual Dividend on the Preferred Stock but occurs on or prior to the next Annual Dividend Payment Date, then the Holder of such share at the Close of Business on such Annual Dividend Payment Record Date will be entitled, notwithstanding the related Fundamental Transaction or conversion, as applicable, to receive, on or, at the Corporation’s election, before such Annual Dividend Payment Date, such declared Annual Dividend on such share. Except as provided in this </w:t>
      </w:r>
      <w:r>
        <w:rPr>
          <w:rFonts w:ascii="Arial" w:cs="Arial" w:eastAsia="Arial" w:hAnsi="Arial"/>
          <w:sz w:val="18"/>
          <w:szCs w:val="18"/>
          <w:u w:val="single" w:color="auto"/>
          <w:color w:val="auto"/>
        </w:rPr>
        <w:t>Section 4(c)</w:t>
      </w:r>
      <w:r>
        <w:rPr>
          <w:rFonts w:ascii="Arial" w:cs="Arial" w:eastAsia="Arial" w:hAnsi="Arial"/>
          <w:sz w:val="18"/>
          <w:szCs w:val="18"/>
          <w:color w:val="auto"/>
        </w:rPr>
        <w:t>, Annual Dividends on any share of Preferred Stock will cease to accumulate from and after the Fundamental Transaction Date or Conversion Date,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Section 5. Liquidation Rights</w:t>
      </w:r>
      <w:r>
        <w:rPr>
          <w:rFonts w:ascii="Arial" w:cs="Arial" w:eastAsia="Arial" w:hAnsi="Arial"/>
          <w:sz w:val="18"/>
          <w:szCs w:val="18"/>
          <w:color w:val="auto"/>
        </w:rPr>
        <w:t>.</w:t>
      </w:r>
    </w:p>
    <w:p>
      <w:pPr>
        <w:spacing w:after="0" w:line="225" w:lineRule="exact"/>
        <w:rPr>
          <w:sz w:val="20"/>
          <w:szCs w:val="20"/>
          <w:color w:val="auto"/>
        </w:rPr>
      </w:pPr>
    </w:p>
    <w:p>
      <w:pPr>
        <w:jc w:val="both"/>
        <w:ind w:firstLine="8"/>
        <w:spacing w:after="0" w:line="273" w:lineRule="auto"/>
        <w:tabs>
          <w:tab w:leader="none" w:pos="246"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event of any Liquidation, each Holder shall be entitled to receive liquidating distributions out of the assets of the Corporation legally available for distribution to stockholders of the Corporation, before any payment or distribution of any assets of the Corporation shall be made or set apart for holders of any Junior Securities, including the Common Stock, for such Holder’s shares of Preferred Stock in an amount equal to the greater of (</w:t>
      </w:r>
      <w:r>
        <w:rPr>
          <w:rFonts w:ascii="Arial" w:cs="Arial" w:eastAsia="Arial" w:hAnsi="Arial"/>
          <w:sz w:val="17"/>
          <w:szCs w:val="17"/>
          <w:u w:val="single" w:color="auto"/>
          <w:color w:val="auto"/>
        </w:rPr>
        <w:t>i</w:t>
      </w:r>
      <w:r>
        <w:rPr>
          <w:rFonts w:ascii="Arial" w:cs="Arial" w:eastAsia="Arial" w:hAnsi="Arial"/>
          <w:sz w:val="17"/>
          <w:szCs w:val="17"/>
          <w:color w:val="auto"/>
        </w:rPr>
        <w:t>) the sum of (</w:t>
      </w:r>
      <w:r>
        <w:rPr>
          <w:rFonts w:ascii="Arial" w:cs="Arial" w:eastAsia="Arial" w:hAnsi="Arial"/>
          <w:sz w:val="17"/>
          <w:szCs w:val="17"/>
          <w:u w:val="single" w:color="auto"/>
          <w:color w:val="auto"/>
        </w:rPr>
        <w:t>A</w:t>
      </w:r>
      <w:r>
        <w:rPr>
          <w:rFonts w:ascii="Arial" w:cs="Arial" w:eastAsia="Arial" w:hAnsi="Arial"/>
          <w:sz w:val="17"/>
          <w:szCs w:val="17"/>
          <w:color w:val="auto"/>
        </w:rPr>
        <w:t>) the aggregate Liquidation Preference and (</w:t>
      </w:r>
      <w:r>
        <w:rPr>
          <w:rFonts w:ascii="Arial" w:cs="Arial" w:eastAsia="Arial" w:hAnsi="Arial"/>
          <w:sz w:val="17"/>
          <w:szCs w:val="17"/>
          <w:u w:val="single" w:color="auto"/>
          <w:color w:val="auto"/>
        </w:rPr>
        <w:t>B</w:t>
      </w:r>
      <w:r>
        <w:rPr>
          <w:rFonts w:ascii="Arial" w:cs="Arial" w:eastAsia="Arial" w:hAnsi="Arial"/>
          <w:sz w:val="17"/>
          <w:szCs w:val="17"/>
          <w:color w:val="auto"/>
        </w:rPr>
        <w:t>) the aggregate Accrued Dividends of such shares as of the date of the Liquidation,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the amount such Holder would have received had such shares of Preferred Stock, immediately prior to such Liquidation, been converted into shares of Common Stock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without regard to any of the limitations on conversion or convertibility contained therein.</w:t>
      </w:r>
    </w:p>
    <w:p>
      <w:pPr>
        <w:spacing w:after="0" w:line="177" w:lineRule="exact"/>
        <w:rPr>
          <w:rFonts w:ascii="Arial" w:cs="Arial" w:eastAsia="Arial" w:hAnsi="Arial"/>
          <w:sz w:val="17"/>
          <w:szCs w:val="17"/>
          <w:color w:val="auto"/>
        </w:rPr>
      </w:pPr>
    </w:p>
    <w:p>
      <w:pPr>
        <w:jc w:val="both"/>
        <w:ind w:firstLine="8"/>
        <w:spacing w:after="0" w:line="259"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 the event the assets of the Corporation available for distribution to stockholders of the Corporation upon a Liquidation shall be insufficient to pay in full the amounts payable with respect to all outstanding shares of Preferred Stock pursuant to </w:t>
      </w:r>
      <w:r>
        <w:rPr>
          <w:rFonts w:ascii="Arial" w:cs="Arial" w:eastAsia="Arial" w:hAnsi="Arial"/>
          <w:sz w:val="18"/>
          <w:szCs w:val="18"/>
          <w:u w:val="single" w:color="auto"/>
          <w:color w:val="auto"/>
        </w:rPr>
        <w:t>Section 5(a)</w:t>
      </w:r>
      <w:r>
        <w:rPr>
          <w:rFonts w:ascii="Arial" w:cs="Arial" w:eastAsia="Arial" w:hAnsi="Arial"/>
          <w:sz w:val="18"/>
          <w:szCs w:val="18"/>
          <w:color w:val="auto"/>
        </w:rPr>
        <w:t>, such assets, or the proceeds thereof, shall be distributed among the Holders ratably in proportion to the full respective liquidating distributions to which they would otherwise be respectively entitled upon such Liquidation.</w:t>
      </w:r>
    </w:p>
    <w:p>
      <w:pPr>
        <w:spacing w:after="0" w:line="186" w:lineRule="exact"/>
        <w:rPr>
          <w:rFonts w:ascii="Arial" w:cs="Arial" w:eastAsia="Arial" w:hAnsi="Arial"/>
          <w:sz w:val="18"/>
          <w:szCs w:val="18"/>
          <w:color w:val="auto"/>
        </w:rPr>
      </w:pPr>
    </w:p>
    <w:p>
      <w:pPr>
        <w:jc w:val="both"/>
        <w:ind w:firstLine="8"/>
        <w:spacing w:after="0" w:line="259" w:lineRule="auto"/>
        <w:tabs>
          <w:tab w:leader="none" w:pos="257"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Neither the sale, conveyance, exchange or transfer (for cash, shares of stock, securities or other consideration) of all or substantially all of the assets, capital stock or business of the Corporation (other than in connection with the liquidation, dissolution or winding up of the Corporation) nor the merger, consolidation, share exchange, statutory exchange or any other business combination transaction of the Corporation into or with any other Person shall by itself be deemed to be a Liquidation for purposes of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6. Conversion.</w:t>
      </w:r>
    </w:p>
    <w:p>
      <w:pPr>
        <w:spacing w:after="0" w:line="225"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Conversion of Preferred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4" w:lineRule="auto"/>
        <w:tabs>
          <w:tab w:leader="none" w:pos="863"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Optional Conversion</w:t>
      </w:r>
      <w:r>
        <w:rPr>
          <w:rFonts w:ascii="Arial" w:cs="Arial" w:eastAsia="Arial" w:hAnsi="Arial"/>
          <w:sz w:val="18"/>
          <w:szCs w:val="18"/>
          <w:color w:val="auto"/>
        </w:rPr>
        <w:t>. Subject to and in accordance with the provisions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color w:val="auto"/>
        </w:rPr>
        <w:t>, each Holder of shares of Preferred Stock shall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at any time and from time to time, at such Holder’s option, to convert all or any portion of such Holder’s shares of Preferred Stock into fully paid and non-assessable shares of Common Stock (the “</w:t>
      </w:r>
      <w:r>
        <w:rPr>
          <w:rFonts w:ascii="Arial" w:cs="Arial" w:eastAsia="Arial" w:hAnsi="Arial"/>
          <w:sz w:val="18"/>
          <w:szCs w:val="18"/>
          <w:u w:val="single" w:color="auto"/>
          <w:color w:val="auto"/>
        </w:rPr>
        <w:t>Conversion Right</w:t>
      </w:r>
      <w:r>
        <w:rPr>
          <w:rFonts w:ascii="Arial" w:cs="Arial" w:eastAsia="Arial" w:hAnsi="Arial"/>
          <w:sz w:val="18"/>
          <w:szCs w:val="18"/>
          <w:color w:val="auto"/>
        </w:rPr>
        <w:t>” and such shares of Common Stock are sometimes referred to hereinafter as, the “</w:t>
      </w:r>
      <w:r>
        <w:rPr>
          <w:rFonts w:ascii="Arial" w:cs="Arial" w:eastAsia="Arial" w:hAnsi="Arial"/>
          <w:sz w:val="18"/>
          <w:szCs w:val="18"/>
          <w:u w:val="single" w:color="auto"/>
          <w:color w:val="auto"/>
        </w:rPr>
        <w:t>Conversion Shares</w:t>
      </w:r>
      <w:r>
        <w:rPr>
          <w:rFonts w:ascii="Arial" w:cs="Arial" w:eastAsia="Arial" w:hAnsi="Arial"/>
          <w:sz w:val="18"/>
          <w:szCs w:val="18"/>
          <w:color w:val="auto"/>
        </w:rPr>
        <w:t xml:space="preserve">”) by providing the Corporation, with the Conversion Notice (as defined in </w:t>
      </w:r>
      <w:r>
        <w:rPr>
          <w:rFonts w:ascii="Arial" w:cs="Arial" w:eastAsia="Arial" w:hAnsi="Arial"/>
          <w:sz w:val="18"/>
          <w:szCs w:val="18"/>
          <w:u w:val="single" w:color="auto"/>
          <w:color w:val="auto"/>
        </w:rPr>
        <w:t>Section 6(b)(i)</w:t>
      </w:r>
      <w:r>
        <w:rPr>
          <w:rFonts w:ascii="Arial" w:cs="Arial" w:eastAsia="Arial" w:hAnsi="Arial"/>
          <w:sz w:val="18"/>
          <w:szCs w:val="18"/>
          <w:color w:val="auto"/>
        </w:rPr>
        <w:t xml:space="preserve"> below). Upon a Holder’s election to exercise its Conversion Right pursuant to the Conversion Notice, each share of Preferred Stock for which the Conversion Right is exercised shall be converted into such number of Conversion Shares equal to the quotient of (</w:t>
      </w:r>
      <w:r>
        <w:rPr>
          <w:rFonts w:ascii="Arial" w:cs="Arial" w:eastAsia="Arial" w:hAnsi="Arial"/>
          <w:sz w:val="18"/>
          <w:szCs w:val="18"/>
          <w:u w:val="single" w:color="auto"/>
          <w:color w:val="auto"/>
        </w:rPr>
        <w:t>A</w:t>
      </w:r>
      <w:r>
        <w:rPr>
          <w:rFonts w:ascii="Arial" w:cs="Arial" w:eastAsia="Arial" w:hAnsi="Arial"/>
          <w:sz w:val="18"/>
          <w:szCs w:val="18"/>
          <w:color w:val="auto"/>
        </w:rPr>
        <w:t>) the sum of (</w:t>
      </w:r>
      <w:r>
        <w:rPr>
          <w:rFonts w:ascii="Arial" w:cs="Arial" w:eastAsia="Arial" w:hAnsi="Arial"/>
          <w:sz w:val="18"/>
          <w:szCs w:val="18"/>
          <w:u w:val="single" w:color="auto"/>
          <w:color w:val="auto"/>
        </w:rPr>
        <w:t>1</w:t>
      </w:r>
      <w:r>
        <w:rPr>
          <w:rFonts w:ascii="Arial" w:cs="Arial" w:eastAsia="Arial" w:hAnsi="Arial"/>
          <w:sz w:val="18"/>
          <w:szCs w:val="18"/>
          <w:color w:val="auto"/>
        </w:rPr>
        <w:t>) the Liquidation Preference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if the Corporation has not otherwise paid the Accrued Dividends to the Holder, the Accrued Dividends on such share as of the Conversion Date,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the Conversion Price of such share in effect at the time of conversion.</w:t>
      </w:r>
    </w:p>
    <w:p>
      <w:pPr>
        <w:spacing w:after="0" w:line="191" w:lineRule="exact"/>
        <w:rPr>
          <w:rFonts w:ascii="Arial" w:cs="Arial" w:eastAsia="Arial" w:hAnsi="Arial"/>
          <w:sz w:val="18"/>
          <w:szCs w:val="18"/>
          <w:color w:val="auto"/>
        </w:rPr>
      </w:pPr>
    </w:p>
    <w:p>
      <w:pPr>
        <w:jc w:val="both"/>
        <w:ind w:firstLine="656"/>
        <w:spacing w:after="0" w:line="257" w:lineRule="auto"/>
        <w:tabs>
          <w:tab w:leader="none" w:pos="94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Automatic Conversion</w:t>
      </w:r>
      <w:r>
        <w:rPr>
          <w:rFonts w:ascii="Arial" w:cs="Arial" w:eastAsia="Arial" w:hAnsi="Arial"/>
          <w:sz w:val="18"/>
          <w:szCs w:val="18"/>
          <w:color w:val="auto"/>
        </w:rPr>
        <w:t>. On the four year anniversary of the Original Issuance Date, all then outstanding shares of Preferred Stock shall</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convert into fully paid and non-assessable shares of Common Stock, with each share of Preferred Stock automatically converted into such number of shares of Common Stock equal to the quotient of (</w:t>
      </w:r>
      <w:r>
        <w:rPr>
          <w:rFonts w:ascii="Arial" w:cs="Arial" w:eastAsia="Arial" w:hAnsi="Arial"/>
          <w:sz w:val="18"/>
          <w:szCs w:val="18"/>
          <w:u w:val="single" w:color="auto"/>
          <w:color w:val="auto"/>
        </w:rPr>
        <w:t>A</w:t>
      </w:r>
      <w:r>
        <w:rPr>
          <w:rFonts w:ascii="Arial" w:cs="Arial" w:eastAsia="Arial" w:hAnsi="Arial"/>
          <w:sz w:val="18"/>
          <w:szCs w:val="18"/>
          <w:color w:val="auto"/>
        </w:rPr>
        <w:t>) the sum of (</w:t>
      </w:r>
      <w:r>
        <w:rPr>
          <w:rFonts w:ascii="Arial" w:cs="Arial" w:eastAsia="Arial" w:hAnsi="Arial"/>
          <w:sz w:val="18"/>
          <w:szCs w:val="18"/>
          <w:u w:val="single" w:color="auto"/>
          <w:color w:val="auto"/>
        </w:rPr>
        <w:t>1</w:t>
      </w:r>
      <w:r>
        <w:rPr>
          <w:rFonts w:ascii="Arial" w:cs="Arial" w:eastAsia="Arial" w:hAnsi="Arial"/>
          <w:sz w:val="18"/>
          <w:szCs w:val="18"/>
          <w:color w:val="auto"/>
        </w:rPr>
        <w:t>) the Liquidation Preference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if the Corporation has not otherwise paid the Accrued Dividends to the Holder, the Accrued Dividends on such share as of the Conversion Date,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the Conversion Price of such share in effect at the time of conversion.</w:t>
      </w:r>
    </w:p>
    <w:p>
      <w:pPr>
        <w:spacing w:after="0" w:line="187" w:lineRule="exact"/>
        <w:rPr>
          <w:rFonts w:ascii="Arial" w:cs="Arial" w:eastAsia="Arial" w:hAnsi="Arial"/>
          <w:sz w:val="18"/>
          <w:szCs w:val="18"/>
          <w:color w:val="auto"/>
        </w:rPr>
      </w:pPr>
    </w:p>
    <w:p>
      <w:pPr>
        <w:jc w:val="both"/>
        <w:ind w:firstLine="656"/>
        <w:spacing w:after="0" w:line="272" w:lineRule="auto"/>
        <w:tabs>
          <w:tab w:leader="none" w:pos="963" w:val="left"/>
        </w:tabs>
        <w:numPr>
          <w:ilvl w:val="1"/>
          <w:numId w:val="31"/>
        </w:numPr>
        <w:rPr>
          <w:rFonts w:ascii="Arial" w:cs="Arial" w:eastAsia="Arial" w:hAnsi="Arial"/>
          <w:sz w:val="17"/>
          <w:szCs w:val="17"/>
          <w:color w:val="auto"/>
        </w:rPr>
      </w:pPr>
      <w:r>
        <w:rPr>
          <w:rFonts w:ascii="Arial" w:cs="Arial" w:eastAsia="Arial" w:hAnsi="Arial"/>
          <w:sz w:val="17"/>
          <w:szCs w:val="17"/>
          <w:i w:val="1"/>
          <w:iCs w:val="1"/>
          <w:color w:val="auto"/>
        </w:rPr>
        <w:t>Fractional Shares</w:t>
      </w:r>
      <w:r>
        <w:rPr>
          <w:rFonts w:ascii="Arial" w:cs="Arial" w:eastAsia="Arial" w:hAnsi="Arial"/>
          <w:sz w:val="17"/>
          <w:szCs w:val="17"/>
          <w:color w:val="auto"/>
        </w:rPr>
        <w:t>. No fractional shares of Common Stock shall be issued upon the conversion of any shares of Preferred Stock. If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one share of Preferred Stock subject to conversion is held by the same Holder, the number of full shares of Common Stock issuable upon conversion thereof shall be computed on the basis of the sum of (</w:t>
      </w:r>
      <w:r>
        <w:rPr>
          <w:rFonts w:ascii="Arial" w:cs="Arial" w:eastAsia="Arial" w:hAnsi="Arial"/>
          <w:sz w:val="17"/>
          <w:szCs w:val="17"/>
          <w:u w:val="single" w:color="auto"/>
          <w:color w:val="auto"/>
        </w:rPr>
        <w:t>A</w:t>
      </w:r>
      <w:r>
        <w:rPr>
          <w:rFonts w:ascii="Arial" w:cs="Arial" w:eastAsia="Arial" w:hAnsi="Arial"/>
          <w:sz w:val="17"/>
          <w:szCs w:val="17"/>
          <w:color w:val="auto"/>
        </w:rPr>
        <w:t>) the aggregate Liquidation Preference and (</w:t>
      </w:r>
      <w:r>
        <w:rPr>
          <w:rFonts w:ascii="Arial" w:cs="Arial" w:eastAsia="Arial" w:hAnsi="Arial"/>
          <w:sz w:val="17"/>
          <w:szCs w:val="17"/>
          <w:u w:val="single" w:color="auto"/>
          <w:color w:val="auto"/>
        </w:rPr>
        <w:t>B</w:t>
      </w:r>
      <w:r>
        <w:rPr>
          <w:rFonts w:ascii="Arial" w:cs="Arial" w:eastAsia="Arial" w:hAnsi="Arial"/>
          <w:sz w:val="17"/>
          <w:szCs w:val="17"/>
          <w:color w:val="auto"/>
        </w:rPr>
        <w:t>) the aggregate Accrued Dividends as of the Conversion Date on all shares of Preferred Stock so subject for which the Corporation has not otherwise paid such Accrued Dividends. If the conversion of any share or shares of Preferred Stock results in a fractional share of Common Stock issuable after application of the immediately preceding sentence, the Corporation shall pay a cash amount in lieu of issuing such fractional share in an amount equal to the value of such fractional interest multiplied by the 10-Day VWAP of a share of Common Stock determined on the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656"/>
        <w:spacing w:after="0" w:line="269" w:lineRule="auto"/>
        <w:tabs>
          <w:tab w:leader="none" w:pos="953"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Reservation of Shares</w:t>
      </w:r>
      <w:r>
        <w:rPr>
          <w:rFonts w:ascii="Arial" w:cs="Arial" w:eastAsia="Arial" w:hAnsi="Arial"/>
          <w:sz w:val="17"/>
          <w:szCs w:val="17"/>
          <w:color w:val="auto"/>
        </w:rPr>
        <w:t>. The Corporation will at all times reserve and keep available out of its authorized and unissued Common Stock, solely</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purpose of effecting conversions of the Preferred Stock into shares of Common Stock, a number of shares of Common Stock equal to 100% of the number of shares of Common Stock then issuable upon conversion of all then outstanding shares of Preferred Stock. The Corporation shall take all action permitted by applicable law, including calling meetings of stockholders of the Corporation and soliciting proxies for any necessary vote of the stockholders of the Corporation, to amend the Certificate of Incorporation to increase the number of authorized and unissued shares of Common Stock, if at any time there shall be insufficient authorized and unissued shares of Common Stock to permit such reservation or to permit the conversion of all outstanding shares of Preferred Stock. The Corporation covenants that the Preferred Stock and all Common Stock that may be issued upon conversion of Preferred Stock shall upon issuance be duly authorized, fully paid and non-assessable and will not be subject to preemptive rights or subscription rights of any other stockholder of the Corporation. The Corporation further covenants that the Corporation shall, if permitted by the rules of the NASDAQ, at its sole expense, cause to be authorized for listing or quotation on the NASDAQ, all Common Stock issuable upon conversion of the Preferred Stock, subject to official notice of issuance. The Corporation will use its reasonable best efforts to ensure that such Common Stock may be issued without violation of any applicable law or regulation.</w:t>
      </w:r>
    </w:p>
    <w:p>
      <w:pPr>
        <w:spacing w:after="0" w:line="178" w:lineRule="exact"/>
        <w:rPr>
          <w:rFonts w:ascii="Arial" w:cs="Arial" w:eastAsia="Arial" w:hAnsi="Arial"/>
          <w:sz w:val="17"/>
          <w:szCs w:val="17"/>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75" w:lineRule="auto"/>
        <w:tabs>
          <w:tab w:leader="none" w:pos="896"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The Conversion Right of a Holder of Preferred Stock shall be exercised by the Holder by delivering written notice to the Corporation, substantially in the form attached hereto as </w:t>
      </w:r>
      <w:r>
        <w:rPr>
          <w:rFonts w:ascii="Arial" w:cs="Arial" w:eastAsia="Arial" w:hAnsi="Arial"/>
          <w:sz w:val="17"/>
          <w:szCs w:val="17"/>
          <w:u w:val="single" w:color="auto"/>
          <w:color w:val="auto"/>
        </w:rPr>
        <w:t>Annex A</w:t>
      </w:r>
      <w:r>
        <w:rPr>
          <w:rFonts w:ascii="Arial" w:cs="Arial" w:eastAsia="Arial" w:hAnsi="Arial"/>
          <w:sz w:val="17"/>
          <w:szCs w:val="17"/>
          <w:color w:val="auto"/>
        </w:rPr>
        <w:t>, that the Holder elects to convert all or a portion of the shares of Preferred Stock held by such Holder (a “</w:t>
      </w:r>
      <w:r>
        <w:rPr>
          <w:rFonts w:ascii="Arial" w:cs="Arial" w:eastAsia="Arial" w:hAnsi="Arial"/>
          <w:sz w:val="17"/>
          <w:szCs w:val="17"/>
          <w:u w:val="single" w:color="auto"/>
          <w:color w:val="auto"/>
        </w:rPr>
        <w:t>Conversion Notice</w:t>
      </w:r>
      <w:r>
        <w:rPr>
          <w:rFonts w:ascii="Arial" w:cs="Arial" w:eastAsia="Arial" w:hAnsi="Arial"/>
          <w:sz w:val="17"/>
          <w:szCs w:val="17"/>
          <w:color w:val="auto"/>
        </w:rPr>
        <w:t>”) and specifying the name or names (with address or addresses) in which shares of Common Stock are to be issued and (if so required by the Corporation or the Corporation’s Transfer Agent) by a written instrument or instruments of transfer in form reasonably satisfactory to the Corporation or the Transfer Agent, duly executed by the Holder or its legal representative.</w:t>
      </w:r>
    </w:p>
    <w:p>
      <w:pPr>
        <w:spacing w:after="0" w:line="176" w:lineRule="exact"/>
        <w:rPr>
          <w:rFonts w:ascii="Arial" w:cs="Arial" w:eastAsia="Arial" w:hAnsi="Arial"/>
          <w:sz w:val="17"/>
          <w:szCs w:val="17"/>
          <w:color w:val="auto"/>
        </w:rPr>
      </w:pPr>
    </w:p>
    <w:p>
      <w:pPr>
        <w:jc w:val="both"/>
        <w:ind w:firstLine="656"/>
        <w:spacing w:after="0" w:line="285" w:lineRule="auto"/>
        <w:tabs>
          <w:tab w:leader="none" w:pos="916" w:val="left"/>
        </w:tabs>
        <w:numPr>
          <w:ilvl w:val="1"/>
          <w:numId w:val="33"/>
        </w:numPr>
        <w:rPr>
          <w:rFonts w:ascii="Arial" w:cs="Arial" w:eastAsia="Arial" w:hAnsi="Arial"/>
          <w:sz w:val="16"/>
          <w:szCs w:val="16"/>
          <w:color w:val="auto"/>
        </w:rPr>
      </w:pPr>
      <w:r>
        <w:rPr>
          <w:rFonts w:ascii="Arial" w:cs="Arial" w:eastAsia="Arial" w:hAnsi="Arial"/>
          <w:sz w:val="16"/>
          <w:szCs w:val="16"/>
          <w:color w:val="auto"/>
        </w:rPr>
        <w:t>As promptly as practicable after the receipt of the Conversion Notice, and the payment of required taxes or duties pursuant to Section 10(a), if applicable, and in no event later than three (3) Trading Days thereafter (the “</w:t>
      </w:r>
      <w:r>
        <w:rPr>
          <w:rFonts w:ascii="Arial" w:cs="Arial" w:eastAsia="Arial" w:hAnsi="Arial"/>
          <w:sz w:val="16"/>
          <w:szCs w:val="16"/>
          <w:u w:val="single" w:color="auto"/>
          <w:color w:val="auto"/>
        </w:rPr>
        <w:t>Share Delivery Date</w:t>
      </w:r>
      <w:r>
        <w:rPr>
          <w:rFonts w:ascii="Arial" w:cs="Arial" w:eastAsia="Arial" w:hAnsi="Arial"/>
          <w:sz w:val="16"/>
          <w:szCs w:val="16"/>
          <w:color w:val="auto"/>
        </w:rPr>
        <w:t xml:space="preserve">”), the Corporation shall instruct the Transfer Agent to update the Register to reflect the shares of Common Stock held by such Holder as a result of such conversion and shall issue and shall deliver or cause to be issued and delivered to such Holder, or to such other Person on such Holder’s written order (A) evidence of such issuance reasonably satisfactory to such Holder, and (B) cash for any fractional interest in respect of a share of Common Stock arising upon such conversion settled as provided in </w:t>
      </w:r>
      <w:r>
        <w:rPr>
          <w:rFonts w:ascii="Arial" w:cs="Arial" w:eastAsia="Arial" w:hAnsi="Arial"/>
          <w:sz w:val="16"/>
          <w:szCs w:val="16"/>
          <w:u w:val="single" w:color="auto"/>
          <w:color w:val="auto"/>
        </w:rPr>
        <w:t>Section 6(a)</w:t>
      </w:r>
    </w:p>
    <w:p>
      <w:pPr>
        <w:spacing w:after="0" w:line="1" w:lineRule="exact"/>
        <w:rPr>
          <w:rFonts w:ascii="Arial" w:cs="Arial" w:eastAsia="Arial" w:hAnsi="Arial"/>
          <w:sz w:val="16"/>
          <w:szCs w:val="16"/>
          <w:color w:val="auto"/>
        </w:rPr>
      </w:pPr>
    </w:p>
    <w:p>
      <w:pPr>
        <w:spacing w:after="0"/>
        <w:tabs>
          <w:tab w:leader="none" w:pos="0" w:val="left"/>
        </w:tabs>
        <w:numPr>
          <w:ilvl w:val="0"/>
          <w:numId w:val="34"/>
        </w:numPr>
        <w:rPr>
          <w:rFonts w:ascii="Arial" w:cs="Arial" w:eastAsia="Arial" w:hAnsi="Arial"/>
          <w:sz w:val="18"/>
          <w:szCs w:val="18"/>
          <w:u w:val="single" w:color="auto"/>
          <w:color w:val="auto"/>
        </w:rPr>
      </w:pPr>
    </w:p>
    <w:p>
      <w:pPr>
        <w:spacing w:after="0" w:line="210" w:lineRule="exact"/>
        <w:rPr>
          <w:rFonts w:ascii="Arial" w:cs="Arial" w:eastAsia="Arial" w:hAnsi="Arial"/>
          <w:sz w:val="18"/>
          <w:szCs w:val="18"/>
          <w:u w:val="single" w:color="auto"/>
          <w:color w:val="auto"/>
        </w:rPr>
      </w:pPr>
    </w:p>
    <w:p>
      <w:pPr>
        <w:jc w:val="both"/>
        <w:ind w:firstLine="656"/>
        <w:spacing w:after="0" w:line="275" w:lineRule="auto"/>
        <w:tabs>
          <w:tab w:leader="none" w:pos="97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conversion of any share of Preferred Stock shall be deemed to have been made in connection with any exercise of the Conversion Right at the Close of Business on the date of giving the Conversion Notice (the “</w:t>
      </w:r>
      <w:r>
        <w:rPr>
          <w:rFonts w:ascii="Arial" w:cs="Arial" w:eastAsia="Arial" w:hAnsi="Arial"/>
          <w:sz w:val="17"/>
          <w:szCs w:val="17"/>
          <w:u w:val="single" w:color="auto"/>
          <w:color w:val="auto"/>
        </w:rPr>
        <w:t>Conversion Date</w:t>
      </w:r>
      <w:r>
        <w:rPr>
          <w:rFonts w:ascii="Arial" w:cs="Arial" w:eastAsia="Arial" w:hAnsi="Arial"/>
          <w:sz w:val="17"/>
          <w:szCs w:val="17"/>
          <w:color w:val="auto"/>
        </w:rPr>
        <w:t xml:space="preserve">”). Until the Conversion Date with respect to any share of Preferred Stock has occurred, such share of Preferred Stock will remain outstanding and will be entitled to all of the powers, designations, preferences and other rights provided herein, including that such share shall (A) accrue and accumulate Annual Dividends and participate in Participating Dividends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(B) entitle the Holder thereof to the voting rights provided in </w:t>
      </w:r>
      <w:r>
        <w:rPr>
          <w:rFonts w:ascii="Arial" w:cs="Arial" w:eastAsia="Arial" w:hAnsi="Arial"/>
          <w:sz w:val="17"/>
          <w:szCs w:val="17"/>
          <w:u w:val="single" w:color="auto"/>
          <w:color w:val="auto"/>
        </w:rPr>
        <w:t>Section 8</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jc w:val="both"/>
        <w:ind w:firstLine="656"/>
        <w:spacing w:after="0" w:line="25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Corporation’s Obligations to Issue Common Stock</w:t>
      </w:r>
      <w:r>
        <w:rPr>
          <w:rFonts w:ascii="Arial" w:cs="Arial" w:eastAsia="Arial" w:hAnsi="Arial"/>
          <w:sz w:val="18"/>
          <w:szCs w:val="18"/>
          <w:color w:val="auto"/>
        </w:rPr>
        <w:t>. Subject to Section 6(c), the Corporation’s obligations to issue and deliver shares of Common Stock upon conversion of shares of Preferred Stock in accordance with the terms hereof are absolute and unconditional, irrespective of any action or inaction by any Holder to enforce the same, any waiver or consent with respect to any provision hereof, the recovery of any judgment against any Person or any action to enforce the same, or any setoff, counterclaim, recoupment, limitation or termination, or any breach or alleged breach by any Holder or any other Person of any obligation to the Corporation or any violation or alleged violation of law by any Holder or any other Person, and irrespective of any other circumstance which might otherwise limit such obligation of the Corporation to any Holder in connection with the issuance of such shares of Common Stock.</w:t>
      </w:r>
    </w:p>
    <w:p>
      <w:pPr>
        <w:spacing w:after="0" w:line="194" w:lineRule="exact"/>
        <w:rPr>
          <w:rFonts w:ascii="Arial" w:cs="Arial" w:eastAsia="Arial" w:hAnsi="Arial"/>
          <w:sz w:val="18"/>
          <w:szCs w:val="18"/>
          <w:color w:val="auto"/>
        </w:rPr>
      </w:pPr>
    </w:p>
    <w:p>
      <w:pPr>
        <w:jc w:val="both"/>
        <w:ind w:firstLine="656"/>
        <w:spacing w:after="0" w:line="255" w:lineRule="auto"/>
        <w:tabs>
          <w:tab w:leader="none" w:pos="916"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Failure to Deliver Shares of Common Stock upon Conversion of Shares of Preferred Stock.</w:t>
      </w:r>
      <w:r>
        <w:rPr>
          <w:rFonts w:ascii="Arial" w:cs="Arial" w:eastAsia="Arial" w:hAnsi="Arial"/>
          <w:sz w:val="18"/>
          <w:szCs w:val="18"/>
          <w:color w:val="auto"/>
        </w:rPr>
        <w:t xml:space="preserve"> If, in the case of any Conversion Notice, the Conversion Shares to be issued in connection with the Conversion Right are not delivered to the applicable Holder by the Share Delivery Date, in addition to any other rights herein, the Holder shall be entitled to elect by written notice to the Transfer Agent, on behalf of the Corporation, at any time on or before its receipt of such Conversion Shares, to rescind such Conversion Notice, in which event the Corporation shall promptly return to the Holder any certificated Preferred Stock delivered to the Corporation and the Holder shall promptly return to the Corporation any Conversion Shares issued to such Holder pursuant to the rescinded Conversion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656"/>
        <w:spacing w:after="0" w:line="291" w:lineRule="auto"/>
        <w:tabs>
          <w:tab w:leader="none" w:pos="953"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Conversion Shares Upon Conversion</w:t>
      </w:r>
      <w:r>
        <w:rPr>
          <w:rFonts w:ascii="Arial" w:cs="Arial" w:eastAsia="Arial" w:hAnsi="Arial"/>
          <w:sz w:val="16"/>
          <w:szCs w:val="16"/>
          <w:color w:val="auto"/>
        </w:rPr>
        <w:t xml:space="preserve">. In addition to any other rights available to the Holder, if the Corporation fails for any reason to deliver to a Holder the applicable Conversion Shares by the Share Delivery Date pursuant to </w:t>
      </w:r>
      <w:r>
        <w:rPr>
          <w:rFonts w:ascii="Arial" w:cs="Arial" w:eastAsia="Arial" w:hAnsi="Arial"/>
          <w:sz w:val="16"/>
          <w:szCs w:val="16"/>
          <w:u w:val="single" w:color="auto"/>
          <w:color w:val="auto"/>
        </w:rPr>
        <w:t>Section 6(b)</w:t>
      </w:r>
    </w:p>
    <w:p>
      <w:pPr>
        <w:jc w:val="both"/>
        <w:ind w:firstLine="8"/>
        <w:spacing w:after="0" w:line="284" w:lineRule="auto"/>
        <w:tabs>
          <w:tab w:leader="none" w:pos="283" w:val="left"/>
        </w:tabs>
        <w:numPr>
          <w:ilvl w:val="0"/>
          <w:numId w:val="36"/>
        </w:numPr>
        <w:rPr>
          <w:rFonts w:ascii="Arial" w:cs="Arial" w:eastAsia="Arial" w:hAnsi="Arial"/>
          <w:sz w:val="16"/>
          <w:szCs w:val="16"/>
          <w:u w:val="single" w:color="auto"/>
          <w:color w:val="auto"/>
        </w:rPr>
      </w:pPr>
      <w:r>
        <w:rPr>
          <w:rFonts w:ascii="Arial" w:cs="Arial" w:eastAsia="Arial" w:hAnsi="Arial"/>
          <w:sz w:val="16"/>
          <w:szCs w:val="16"/>
          <w:color w:val="auto"/>
        </w:rPr>
        <w:t>(other than a failure caused by incorrect or incomplete information provided by the Holder to the Corporation and which the Corporation promptly provides written notice to the Holder of),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Arial" w:cs="Arial" w:eastAsia="Arial" w:hAnsi="Arial"/>
          <w:sz w:val="16"/>
          <w:szCs w:val="16"/>
          <w:u w:val="single" w:color="auto"/>
          <w:color w:val="auto"/>
        </w:rPr>
        <w:t>Buy-In</w:t>
      </w:r>
      <w:r>
        <w:rPr>
          <w:rFonts w:ascii="Arial" w:cs="Arial" w:eastAsia="Arial" w:hAnsi="Arial"/>
          <w:sz w:val="16"/>
          <w:szCs w:val="16"/>
          <w:color w:val="auto"/>
        </w:rPr>
        <w:t xml:space="preserve">”),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Preferred Stock equal to the number of shares of Preferred Stock submitted for conversion (in which case, such conversion shall be deemed rescinded) or deliver to such Holder the number of shares of Common Stock that would have been issued if the Corporation had timely complied with its delivery requirements under </w:t>
      </w:r>
      <w:r>
        <w:rPr>
          <w:rFonts w:ascii="Arial" w:cs="Arial" w:eastAsia="Arial" w:hAnsi="Arial"/>
          <w:sz w:val="16"/>
          <w:szCs w:val="16"/>
          <w:u w:val="single" w:color="auto"/>
          <w:color w:val="auto"/>
        </w:rPr>
        <w:t>Section 6(b)(ii)</w:t>
      </w:r>
      <w:r>
        <w:rPr>
          <w:rFonts w:ascii="Arial" w:cs="Arial" w:eastAsia="Arial" w:hAnsi="Arial"/>
          <w:sz w:val="16"/>
          <w:szCs w:val="16"/>
          <w:color w:val="auto"/>
        </w:rPr>
        <w:t>. For example, if a Holder purchases shares of Common Stock having a total purchase price of $11,000 to cover a Buy-In with respect to an attempted conversion of shares of Preferred Stock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the Conversion Shares upon conversion of the shares of Preferred Stock as required pursuant to the terms hereof.</w:t>
      </w:r>
    </w:p>
    <w:p>
      <w:pPr>
        <w:spacing w:after="0" w:line="171" w:lineRule="exact"/>
        <w:rPr>
          <w:sz w:val="20"/>
          <w:szCs w:val="20"/>
          <w:color w:val="auto"/>
        </w:rPr>
      </w:pPr>
    </w:p>
    <w:p>
      <w:pPr>
        <w:jc w:val="both"/>
        <w:ind w:firstLine="8"/>
        <w:spacing w:after="0" w:line="269" w:lineRule="auto"/>
        <w:tabs>
          <w:tab w:leader="none" w:pos="244"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NASDAQ Conversion Limits; Solicitation of Stockholder Approval</w:t>
      </w:r>
      <w:r>
        <w:rPr>
          <w:rFonts w:ascii="Arial" w:cs="Arial" w:eastAsia="Arial" w:hAnsi="Arial"/>
          <w:sz w:val="17"/>
          <w:szCs w:val="17"/>
          <w:color w:val="auto"/>
        </w:rPr>
        <w:t xml:space="preserve">. Notwithstanding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of this Certificate of Designations, the Corporation shall not be required to issue any shares of Common Stock to a given Holder upon conversion by such Holder (or its assigns) of any shares of Preferred Stock to the extent (and only to the extent) that such conversion would result in a given Holder (including its predecessors-in-interest) beneficially owning a number of shares of Common Stock in excess of the applicable Threshold Amount that has not been approved by the Corporation’s stockholders (including at any special meeting of the Corporation’s stockholders) in accordance with the stockholder approval requirements of NASDAQ Marketplace Rule 5635 (or any equivalent rule or requirement of the applicable exchange or automated quotation system on which the Common Stock is then listed or quoted). In the event that any proposed conversion would be restricted by the foregoing limitation, the Corporation shall use reasonable best efforts to take any and all actions which may be necessary, including obtaining regulatory, NASDAQ (or such exchange or automated quotation system on which the Common Stock is then listed) or stockholder approvals, in order that the Corporation may thereafter validly and legally issue such shares of Common Stock to the given Holder or Holder(s) in compliance with the applicable listing standards of NASDAQ (or such exchange or automated quotation system on which the Common Stock is then listed).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7. Adjustments to Conversion Price</w:t>
      </w:r>
      <w:r>
        <w:rPr>
          <w:rFonts w:ascii="Arial" w:cs="Arial" w:eastAsia="Arial" w:hAnsi="Arial"/>
          <w:sz w:val="18"/>
          <w:szCs w:val="18"/>
          <w:color w:val="auto"/>
        </w:rPr>
        <w:t>.</w:t>
      </w:r>
    </w:p>
    <w:p>
      <w:pPr>
        <w:spacing w:after="0" w:line="225"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Adjustments to Conversion Price</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7(d)</w:t>
      </w:r>
      <w:r>
        <w:rPr>
          <w:rFonts w:ascii="Arial" w:cs="Arial" w:eastAsia="Arial" w:hAnsi="Arial"/>
          <w:sz w:val="18"/>
          <w:szCs w:val="18"/>
          <w:color w:val="auto"/>
        </w:rPr>
        <w:t>, the Conversion Price shall be subject to the following adjustments: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63"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Stock Dividends and Distributions</w:t>
      </w:r>
      <w:r>
        <w:rPr>
          <w:rFonts w:ascii="Arial" w:cs="Arial" w:eastAsia="Arial" w:hAnsi="Arial"/>
          <w:sz w:val="18"/>
          <w:szCs w:val="18"/>
          <w:color w:val="auto"/>
        </w:rPr>
        <w:t>. If the Corporation declares a dividend or makes a distribution on the Common Stock payable in shares of Common Stock, then the Conversion Price in effect at the opening of business on the Ex-Date for such dividend or distribution shall be adjusted to the price determined by multiplying the Conversion Price at the opening of business on such Ex-Date by the following fraction:</w:t>
      </w:r>
    </w:p>
    <w:p>
      <w:pPr>
        <w:spacing w:after="0" w:line="184" w:lineRule="exact"/>
        <w:rPr>
          <w:sz w:val="20"/>
          <w:szCs w:val="20"/>
          <w:color w:val="auto"/>
        </w:rPr>
      </w:pPr>
    </w:p>
    <w:p>
      <w:pPr>
        <w:ind w:left="5460"/>
        <w:spacing w:after="0"/>
        <w:rPr>
          <w:sz w:val="20"/>
          <w:szCs w:val="20"/>
          <w:color w:val="auto"/>
        </w:rPr>
      </w:pPr>
      <w:r>
        <w:rPr>
          <w:rFonts w:ascii="Arial" w:cs="Arial" w:eastAsia="Arial" w:hAnsi="Arial"/>
          <w:sz w:val="18"/>
          <w:szCs w:val="18"/>
          <w:u w:val="single" w:color="auto"/>
          <w:color w:val="auto"/>
        </w:rPr>
        <w:t>OS0</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OS1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OS0 = the number of shares of Common Stock outstanding at the Close of Business on the Business Day immediately preceding the Ex-Date for such dividend or distribution.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OS1 = the sum of the number of shares of Common Stock outstanding at the Close of Business on the Business Day immediately preceding the Ex-Date for such dividend or distribution plus the total number of shares of Common Stock constituting such dividend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spacing w:after="0" w:line="263" w:lineRule="auto"/>
        <w:rPr>
          <w:sz w:val="20"/>
          <w:szCs w:val="20"/>
          <w:color w:val="auto"/>
        </w:rPr>
      </w:pPr>
      <w:r>
        <w:rPr>
          <w:rFonts w:ascii="Arial" w:cs="Arial" w:eastAsia="Arial" w:hAnsi="Arial"/>
          <w:sz w:val="18"/>
          <w:szCs w:val="18"/>
          <w:color w:val="auto"/>
        </w:rPr>
        <w:t xml:space="preserve">If any dividend or distribution described in this </w:t>
      </w:r>
      <w:r>
        <w:rPr>
          <w:rFonts w:ascii="Arial" w:cs="Arial" w:eastAsia="Arial" w:hAnsi="Arial"/>
          <w:sz w:val="18"/>
          <w:szCs w:val="18"/>
          <w:u w:val="single" w:color="auto"/>
          <w:color w:val="auto"/>
        </w:rPr>
        <w:t>Section 7(a)(i)</w:t>
      </w:r>
      <w:r>
        <w:rPr>
          <w:rFonts w:ascii="Arial" w:cs="Arial" w:eastAsia="Arial" w:hAnsi="Arial"/>
          <w:sz w:val="18"/>
          <w:szCs w:val="18"/>
          <w:color w:val="auto"/>
        </w:rPr>
        <w:t xml:space="preserve"> is declared but not so paid or made, the Conversion Price shall be readjusted, effective as of the date and time the Board of Directors determines not to make such dividend or distribution, to such Conversion Price that would be in effect if such dividend or distribution had not been declared.</w:t>
      </w:r>
    </w:p>
    <w:p>
      <w:pPr>
        <w:spacing w:after="0" w:line="184" w:lineRule="exact"/>
        <w:rPr>
          <w:sz w:val="20"/>
          <w:szCs w:val="20"/>
          <w:color w:val="auto"/>
        </w:rPr>
      </w:pPr>
    </w:p>
    <w:p>
      <w:pPr>
        <w:jc w:val="both"/>
        <w:ind w:firstLine="656"/>
        <w:spacing w:after="0" w:line="259" w:lineRule="auto"/>
        <w:tabs>
          <w:tab w:leader="none" w:pos="91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Subdivisions, Splits and Combination of the Common Stock</w:t>
      </w:r>
      <w:r>
        <w:rPr>
          <w:rFonts w:ascii="Arial" w:cs="Arial" w:eastAsia="Arial" w:hAnsi="Arial"/>
          <w:sz w:val="18"/>
          <w:szCs w:val="18"/>
          <w:color w:val="auto"/>
        </w:rPr>
        <w:t>. If the Corporation subdivides, splits or combines the shares of Common Stock, then the Conversion Price in effect immediately prior to the effective date of such share subdivision, split or combination shall be adjusted to the price determined by multiplying the Conversion Price in effect immediately prior to the effective date of such share subdivision, split or combination by the following fraction:</w:t>
      </w:r>
    </w:p>
    <w:p>
      <w:pPr>
        <w:spacing w:after="0" w:line="187" w:lineRule="exact"/>
        <w:rPr>
          <w:sz w:val="20"/>
          <w:szCs w:val="20"/>
          <w:color w:val="auto"/>
        </w:rPr>
      </w:pPr>
    </w:p>
    <w:p>
      <w:pPr>
        <w:ind w:left="5460"/>
        <w:spacing w:after="0"/>
        <w:rPr>
          <w:sz w:val="20"/>
          <w:szCs w:val="20"/>
          <w:color w:val="auto"/>
        </w:rPr>
      </w:pPr>
      <w:r>
        <w:rPr>
          <w:rFonts w:ascii="Arial" w:cs="Arial" w:eastAsia="Arial" w:hAnsi="Arial"/>
          <w:sz w:val="18"/>
          <w:szCs w:val="18"/>
          <w:u w:val="single" w:color="auto"/>
          <w:color w:val="auto"/>
        </w:rPr>
        <w:t>OS0</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OS1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OS0 = the number of shares of Common Stock outstanding immediately prior to the effective date of such share subdivision, split or combination.</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OS1 = the number of shares of Common Stock outstanding immediately after the opening of business on the effective date of such share subdivision, split or combination.</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If any subdivision, split or combination described in this </w:t>
      </w:r>
      <w:r>
        <w:rPr>
          <w:rFonts w:ascii="Arial" w:cs="Arial" w:eastAsia="Arial" w:hAnsi="Arial"/>
          <w:sz w:val="16"/>
          <w:szCs w:val="16"/>
          <w:u w:val="single" w:color="auto"/>
          <w:color w:val="auto"/>
        </w:rPr>
        <w:t>Section 7(a)(ii)</w:t>
      </w:r>
      <w:r>
        <w:rPr>
          <w:rFonts w:ascii="Arial" w:cs="Arial" w:eastAsia="Arial" w:hAnsi="Arial"/>
          <w:sz w:val="16"/>
          <w:szCs w:val="16"/>
          <w:color w:val="auto"/>
        </w:rPr>
        <w:t xml:space="preserve"> is announced but the outstanding shares of Common Stock are not subdivided, split or combined, the Conversion Price shall be readjusted, effective as of the date the Board of Directors determines not to subdivide, split or combine the outstanding shares of Common Stock, to such Conversion Price that would be in effect if such subdivision, split or combination had not been announced.</w:t>
      </w:r>
    </w:p>
    <w:p>
      <w:pPr>
        <w:spacing w:after="0" w:line="149" w:lineRule="exact"/>
        <w:rPr>
          <w:sz w:val="20"/>
          <w:szCs w:val="20"/>
          <w:color w:val="auto"/>
        </w:rPr>
      </w:pPr>
    </w:p>
    <w:p>
      <w:pPr>
        <w:jc w:val="both"/>
        <w:ind w:firstLine="656"/>
        <w:spacing w:after="0" w:line="275" w:lineRule="auto"/>
        <w:tabs>
          <w:tab w:leader="none" w:pos="976"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Other Distributions</w:t>
      </w:r>
      <w:r>
        <w:rPr>
          <w:rFonts w:ascii="Arial" w:cs="Arial" w:eastAsia="Arial" w:hAnsi="Arial"/>
          <w:sz w:val="17"/>
          <w:szCs w:val="17"/>
          <w:color w:val="auto"/>
        </w:rPr>
        <w:t xml:space="preserve">. If the Corporation distributes to all holders of shares of Common Stock, any Convertible Securities or Options or any other assets for which there is no corresponding distribution in respect of the Preferred Stock pursuant to </w:t>
      </w:r>
      <w:r>
        <w:rPr>
          <w:rFonts w:ascii="Arial" w:cs="Arial" w:eastAsia="Arial" w:hAnsi="Arial"/>
          <w:sz w:val="17"/>
          <w:szCs w:val="17"/>
          <w:u w:val="single" w:color="auto"/>
          <w:color w:val="auto"/>
        </w:rPr>
        <w:t>Section 4(a)(i)</w:t>
      </w:r>
      <w:r>
        <w:rPr>
          <w:rFonts w:ascii="Arial" w:cs="Arial" w:eastAsia="Arial" w:hAnsi="Arial"/>
          <w:sz w:val="17"/>
          <w:szCs w:val="17"/>
          <w:color w:val="auto"/>
        </w:rPr>
        <w:t xml:space="preserve"> (which excludes, for the avoidance of doubt, any distribution of cash or non-cash property for which there is a corresponding distribution in respect of the Preferred Stock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4(a)(i)</w:t>
      </w:r>
      <w:r>
        <w:rPr>
          <w:rFonts w:ascii="Arial" w:cs="Arial" w:eastAsia="Arial" w:hAnsi="Arial"/>
          <w:sz w:val="17"/>
          <w:szCs w:val="17"/>
          <w:color w:val="auto"/>
        </w:rPr>
        <w:t>), then the Conversion Price in effect immediately prior to the Ex-Date for such distribution shall be adjusted to the price determined by multiplying the Conversion Price in effect immediately prior to the Ex-Date for such distribution by the following fraction: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SP0 – FMV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SP0 = the 10-Day VWAP of a share of Common Stock determined on the Ex-Date for such distribution.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FMV = the fair market value of the portion of the distribution applicable to one share of Common Stock on the Ex-Date for such distribution, in the case of a non-cash distribution or with respect to the non-cash portion of a distribution, if any, as determined (</w:t>
      </w:r>
      <w:r>
        <w:rPr>
          <w:rFonts w:ascii="Arial" w:cs="Arial" w:eastAsia="Arial" w:hAnsi="Arial"/>
          <w:sz w:val="18"/>
          <w:szCs w:val="18"/>
          <w:u w:val="single" w:color="auto"/>
          <w:color w:val="auto"/>
        </w:rPr>
        <w:t>i</w:t>
      </w:r>
      <w:r>
        <w:rPr>
          <w:rFonts w:ascii="Arial" w:cs="Arial" w:eastAsia="Arial" w:hAnsi="Arial"/>
          <w:sz w:val="18"/>
          <w:szCs w:val="18"/>
          <w:color w:val="auto"/>
        </w:rPr>
        <w:t>) by the good faith determination of the Board of Directors or (</w:t>
      </w:r>
      <w:r>
        <w:rPr>
          <w:rFonts w:ascii="Arial" w:cs="Arial" w:eastAsia="Arial" w:hAnsi="Arial"/>
          <w:sz w:val="18"/>
          <w:szCs w:val="18"/>
          <w:u w:val="single" w:color="auto"/>
          <w:color w:val="auto"/>
        </w:rPr>
        <w:t>ii</w:t>
      </w:r>
      <w:r>
        <w:rPr>
          <w:rFonts w:ascii="Arial" w:cs="Arial" w:eastAsia="Arial" w:hAnsi="Arial"/>
          <w:sz w:val="18"/>
          <w:szCs w:val="18"/>
          <w:color w:val="auto"/>
        </w:rPr>
        <w:t>) if, within five (5) Business Days following notice from the Corporation of the value determined by the Board of Directors pursuant to clause (</w:t>
      </w:r>
      <w:r>
        <w:rPr>
          <w:rFonts w:ascii="Arial" w:cs="Arial" w:eastAsia="Arial" w:hAnsi="Arial"/>
          <w:sz w:val="18"/>
          <w:szCs w:val="18"/>
          <w:u w:val="single" w:color="auto"/>
          <w:color w:val="auto"/>
        </w:rPr>
        <w:t>i</w:t>
      </w:r>
      <w:r>
        <w:rPr>
          <w:rFonts w:ascii="Arial" w:cs="Arial" w:eastAsia="Arial" w:hAnsi="Arial"/>
          <w:sz w:val="18"/>
          <w:szCs w:val="18"/>
          <w:color w:val="auto"/>
        </w:rPr>
        <w:t>), the Holders of a majority of the outstanding shares of Preferred Stock object in good faith to such determination, then the fair market value will be determined by a nationally recognized independent investment banking firm that has for this purpose (</w:t>
      </w:r>
      <w:r>
        <w:rPr>
          <w:rFonts w:ascii="Arial" w:cs="Arial" w:eastAsia="Arial" w:hAnsi="Arial"/>
          <w:sz w:val="18"/>
          <w:szCs w:val="18"/>
          <w:u w:val="single" w:color="auto"/>
          <w:color w:val="auto"/>
        </w:rPr>
        <w:t>x</w:t>
      </w:r>
      <w:r>
        <w:rPr>
          <w:rFonts w:ascii="Arial" w:cs="Arial" w:eastAsia="Arial" w:hAnsi="Arial"/>
          <w:sz w:val="18"/>
          <w:szCs w:val="18"/>
          <w:color w:val="auto"/>
        </w:rPr>
        <w:t>) been selected by the Board of Directors, and (</w:t>
      </w:r>
      <w:r>
        <w:rPr>
          <w:rFonts w:ascii="Arial" w:cs="Arial" w:eastAsia="Arial" w:hAnsi="Arial"/>
          <w:sz w:val="18"/>
          <w:szCs w:val="18"/>
          <w:u w:val="single" w:color="auto"/>
          <w:color w:val="auto"/>
        </w:rPr>
        <w:t>y</w:t>
      </w:r>
      <w:r>
        <w:rPr>
          <w:rFonts w:ascii="Arial" w:cs="Arial" w:eastAsia="Arial" w:hAnsi="Arial"/>
          <w:sz w:val="18"/>
          <w:szCs w:val="18"/>
          <w:color w:val="auto"/>
        </w:rPr>
        <w:t xml:space="preserve">) is reasonably acceptable to Holders of a majority of the outstanding shares of Preferred Stock; </w:t>
      </w:r>
      <w:r>
        <w:rPr>
          <w:rFonts w:ascii="Arial" w:cs="Arial" w:eastAsia="Arial" w:hAnsi="Arial"/>
          <w:sz w:val="18"/>
          <w:szCs w:val="18"/>
          <w:u w:val="single" w:color="auto"/>
          <w:color w:val="auto"/>
        </w:rPr>
        <w:t>provided</w:t>
      </w:r>
      <w:r>
        <w:rPr>
          <w:rFonts w:ascii="Arial" w:cs="Arial" w:eastAsia="Arial" w:hAnsi="Arial"/>
          <w:sz w:val="18"/>
          <w:szCs w:val="18"/>
          <w:color w:val="auto"/>
        </w:rPr>
        <w:t>, that such value, whether determined pursuant to the foregoing clause (</w:t>
      </w:r>
      <w:r>
        <w:rPr>
          <w:rFonts w:ascii="Arial" w:cs="Arial" w:eastAsia="Arial" w:hAnsi="Arial"/>
          <w:sz w:val="18"/>
          <w:szCs w:val="18"/>
          <w:u w:val="single" w:color="auto"/>
          <w:color w:val="auto"/>
        </w:rPr>
        <w:t>i</w:t>
      </w:r>
      <w:r>
        <w:rPr>
          <w:rFonts w:ascii="Arial" w:cs="Arial" w:eastAsia="Arial" w:hAnsi="Arial"/>
          <w:sz w:val="18"/>
          <w:szCs w:val="18"/>
          <w:color w:val="auto"/>
        </w:rPr>
        <w:t>) or (</w:t>
      </w:r>
      <w:r>
        <w:rPr>
          <w:rFonts w:ascii="Arial" w:cs="Arial" w:eastAsia="Arial" w:hAnsi="Arial"/>
          <w:sz w:val="18"/>
          <w:szCs w:val="18"/>
          <w:u w:val="single" w:color="auto"/>
          <w:color w:val="auto"/>
        </w:rPr>
        <w:t>ii</w:t>
      </w:r>
      <w:r>
        <w:rPr>
          <w:rFonts w:ascii="Arial" w:cs="Arial" w:eastAsia="Arial" w:hAnsi="Arial"/>
          <w:sz w:val="18"/>
          <w:szCs w:val="18"/>
          <w:color w:val="auto"/>
        </w:rPr>
        <w:t>), shall not for the purposes hereof in any event be equal to or greater than the 10-Day VWAP of a share of Common Stock determined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spacing w:after="0" w:line="242" w:lineRule="auto"/>
        <w:rPr>
          <w:sz w:val="20"/>
          <w:szCs w:val="20"/>
          <w:color w:val="auto"/>
        </w:rPr>
      </w:pPr>
      <w:r>
        <w:rPr>
          <w:rFonts w:ascii="Arial" w:cs="Arial" w:eastAsia="Arial" w:hAnsi="Arial"/>
          <w:sz w:val="16"/>
          <w:szCs w:val="16"/>
          <w:color w:val="auto"/>
        </w:rPr>
        <w:t>In a “spin-off,” where the Corporation makes a distribution to all holders of shares of Common Stock consisting of capital stock of any class or series, or similar equity interests of, or relating to, a Subsidiary of the Corporation or other business unit, the Conversion Price will be adjusted on the fifteenth (15</w:t>
      </w:r>
      <w:r>
        <w:rPr>
          <w:rFonts w:ascii="Arial" w:cs="Arial" w:eastAsia="Arial" w:hAnsi="Arial"/>
          <w:sz w:val="26"/>
          <w:szCs w:val="26"/>
          <w:color w:val="auto"/>
          <w:vertAlign w:val="superscript"/>
        </w:rPr>
        <w:t>th</w:t>
      </w:r>
      <w:r>
        <w:rPr>
          <w:rFonts w:ascii="Arial" w:cs="Arial" w:eastAsia="Arial" w:hAnsi="Arial"/>
          <w:sz w:val="16"/>
          <w:szCs w:val="16"/>
          <w:color w:val="auto"/>
        </w:rPr>
        <w:t>)</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Trading Day after the effective date of the distribution by multiplying such Conversion Price in effect immediately prior to such fifteenth (15</w:t>
      </w:r>
      <w:r>
        <w:rPr>
          <w:rFonts w:ascii="Arial" w:cs="Arial" w:eastAsia="Arial" w:hAnsi="Arial"/>
          <w:sz w:val="29"/>
          <w:szCs w:val="29"/>
          <w:color w:val="auto"/>
          <w:vertAlign w:val="superscript"/>
        </w:rPr>
        <w:t>th</w:t>
      </w:r>
      <w:r>
        <w:rPr>
          <w:rFonts w:ascii="Arial" w:cs="Arial" w:eastAsia="Arial" w:hAnsi="Arial"/>
          <w:sz w:val="18"/>
          <w:szCs w:val="18"/>
          <w:color w:val="auto"/>
        </w:rPr>
        <w:t>) Trading Day by the following fraction: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MP0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MP0 + MPs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MP0 = (</w:t>
      </w:r>
      <w:r>
        <w:rPr>
          <w:rFonts w:ascii="Arial" w:cs="Arial" w:eastAsia="Arial" w:hAnsi="Arial"/>
          <w:sz w:val="18"/>
          <w:szCs w:val="18"/>
          <w:u w:val="single" w:color="auto"/>
          <w:color w:val="auto"/>
        </w:rPr>
        <w:t>i</w:t>
      </w:r>
      <w:r>
        <w:rPr>
          <w:rFonts w:ascii="Arial" w:cs="Arial" w:eastAsia="Arial" w:hAnsi="Arial"/>
          <w:sz w:val="18"/>
          <w:szCs w:val="18"/>
          <w:color w:val="auto"/>
        </w:rPr>
        <w:t>) if the Common Stock is listed or quoted on a principal U.S. national or regional securities exchange or traded on an over-the-counter market, the 10-Day VWAP of a share of Common Stock determined on the eleventh (11</w:t>
      </w:r>
      <w:r>
        <w:rPr>
          <w:rFonts w:ascii="Arial" w:cs="Arial" w:eastAsia="Arial" w:hAnsi="Arial"/>
          <w:sz w:val="29"/>
          <w:szCs w:val="29"/>
          <w:color w:val="auto"/>
          <w:vertAlign w:val="superscript"/>
        </w:rPr>
        <w:t>th</w:t>
      </w:r>
      <w:r>
        <w:rPr>
          <w:rFonts w:ascii="Arial" w:cs="Arial" w:eastAsia="Arial" w:hAnsi="Arial"/>
          <w:sz w:val="18"/>
          <w:szCs w:val="18"/>
          <w:color w:val="auto"/>
        </w:rPr>
        <w:t>) Trading Day following the effective date of such distribution, or (</w:t>
      </w:r>
      <w:r>
        <w:rPr>
          <w:rFonts w:ascii="Arial" w:cs="Arial" w:eastAsia="Arial" w:hAnsi="Arial"/>
          <w:sz w:val="18"/>
          <w:szCs w:val="18"/>
          <w:u w:val="single" w:color="auto"/>
          <w:color w:val="auto"/>
        </w:rPr>
        <w:t>ii</w:t>
      </w:r>
      <w:r>
        <w:rPr>
          <w:rFonts w:ascii="Arial" w:cs="Arial" w:eastAsia="Arial" w:hAnsi="Arial"/>
          <w:sz w:val="18"/>
          <w:szCs w:val="18"/>
          <w:color w:val="auto"/>
        </w:rPr>
        <w:t>) if the Common Stock is not listed or quoted on a principal U.S. national or regional securities exchange or traded on an over-the-counter market, the 10-Day VWAP of a share of Common Stock on the effective date of such distribution.</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MPs = (i) if the capital stock or equity interests distributed to the holders of shares of Common Stock are listed or quoted on a principal U.S. national or regional securities exchange or traded on an over-the-counter market, an amount equal to the product of (</w:t>
      </w:r>
      <w:r>
        <w:rPr>
          <w:rFonts w:ascii="Arial" w:cs="Arial" w:eastAsia="Arial" w:hAnsi="Arial"/>
          <w:sz w:val="16"/>
          <w:szCs w:val="16"/>
          <w:u w:val="single" w:color="auto"/>
          <w:color w:val="auto"/>
        </w:rPr>
        <w:t>x</w:t>
      </w:r>
      <w:r>
        <w:rPr>
          <w:rFonts w:ascii="Arial" w:cs="Arial" w:eastAsia="Arial" w:hAnsi="Arial"/>
          <w:sz w:val="16"/>
          <w:szCs w:val="16"/>
          <w:color w:val="auto"/>
        </w:rPr>
        <w:t>) the number of shares of such capital stock or equity interests representing the portion of the distribution applicable to one share of Common Stock and (</w:t>
      </w:r>
      <w:r>
        <w:rPr>
          <w:rFonts w:ascii="Arial" w:cs="Arial" w:eastAsia="Arial" w:hAnsi="Arial"/>
          <w:sz w:val="16"/>
          <w:szCs w:val="16"/>
          <w:u w:val="single" w:color="auto"/>
          <w:color w:val="auto"/>
        </w:rPr>
        <w:t>y</w:t>
      </w:r>
      <w:r>
        <w:rPr>
          <w:rFonts w:ascii="Arial" w:cs="Arial" w:eastAsia="Arial" w:hAnsi="Arial"/>
          <w:sz w:val="16"/>
          <w:szCs w:val="16"/>
          <w:color w:val="auto"/>
        </w:rPr>
        <w:t>) the 10-Day VWAP of such capital stock or</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equity interests on the eleventh (11</w:t>
      </w:r>
      <w:r>
        <w:rPr>
          <w:rFonts w:ascii="Arial" w:cs="Arial" w:eastAsia="Arial" w:hAnsi="Arial"/>
          <w:sz w:val="29"/>
          <w:szCs w:val="29"/>
          <w:color w:val="auto"/>
          <w:vertAlign w:val="superscript"/>
        </w:rPr>
        <w:t>th</w:t>
      </w:r>
      <w:r>
        <w:rPr>
          <w:rFonts w:ascii="Arial" w:cs="Arial" w:eastAsia="Arial" w:hAnsi="Arial"/>
          <w:sz w:val="18"/>
          <w:szCs w:val="18"/>
          <w:color w:val="auto"/>
        </w:rPr>
        <w:t>) Trading Day following the effective date of such distribution, or (</w:t>
      </w:r>
      <w:r>
        <w:rPr>
          <w:rFonts w:ascii="Arial" w:cs="Arial" w:eastAsia="Arial" w:hAnsi="Arial"/>
          <w:sz w:val="18"/>
          <w:szCs w:val="18"/>
          <w:u w:val="single" w:color="auto"/>
          <w:color w:val="auto"/>
        </w:rPr>
        <w:t>ii</w:t>
      </w:r>
      <w:r>
        <w:rPr>
          <w:rFonts w:ascii="Arial" w:cs="Arial" w:eastAsia="Arial" w:hAnsi="Arial"/>
          <w:sz w:val="18"/>
          <w:szCs w:val="18"/>
          <w:color w:val="auto"/>
        </w:rPr>
        <w:t>) if such capital stock or equity interests are not listed or quoted on a principal U.S. national or regional securities exchange or traded on an over-the-counter market, the 10-Day VWAP of the capital stock or equity interests representing the portion of the distribution applicable to one share of Common Stock on the effective date of such distribution (after giving effect to such distribution).</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the event that such distribution described in this </w:t>
      </w:r>
      <w:r>
        <w:rPr>
          <w:rFonts w:ascii="Arial" w:cs="Arial" w:eastAsia="Arial" w:hAnsi="Arial"/>
          <w:sz w:val="18"/>
          <w:szCs w:val="18"/>
          <w:u w:val="single" w:color="auto"/>
          <w:color w:val="auto"/>
        </w:rPr>
        <w:t>Section 7(a)(iii)</w:t>
      </w:r>
      <w:r>
        <w:rPr>
          <w:rFonts w:ascii="Arial" w:cs="Arial" w:eastAsia="Arial" w:hAnsi="Arial"/>
          <w:sz w:val="18"/>
          <w:szCs w:val="18"/>
          <w:color w:val="auto"/>
        </w:rPr>
        <w:t xml:space="preserve"> is not so paid or made, the Conversion Price shall be readjusted, effective as of the date the Board of Directors publicly announces its decision not to pay or make such distribution, to the Conversion Price that would then be in effect if such distribution had not been declared.</w:t>
      </w:r>
    </w:p>
    <w:p>
      <w:pPr>
        <w:spacing w:after="0" w:line="184" w:lineRule="exact"/>
        <w:rPr>
          <w:sz w:val="20"/>
          <w:szCs w:val="20"/>
          <w:color w:val="auto"/>
        </w:rPr>
      </w:pPr>
    </w:p>
    <w:p>
      <w:pPr>
        <w:jc w:val="both"/>
        <w:ind w:firstLine="656"/>
        <w:spacing w:after="0" w:line="279" w:lineRule="auto"/>
        <w:tabs>
          <w:tab w:leader="none" w:pos="966"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Automatic Adjustment Upon Reset Dates</w:t>
      </w:r>
      <w:r>
        <w:rPr>
          <w:rFonts w:ascii="Arial" w:cs="Arial" w:eastAsia="Arial" w:hAnsi="Arial"/>
          <w:sz w:val="17"/>
          <w:szCs w:val="17"/>
          <w:color w:val="auto"/>
        </w:rPr>
        <w:t>. The Conversion Price will automatically reset upon each of the eighteen (18) month and forty-seven (47) month anniversaries of the Original Issuance Date to be equal to the lower of (x) the then-current Conversion Price and (y) the higher of (A) the Floor Price or (B) the 10-Day VWAP of the Common Stock determined as of the date of such reset. Notwithstanding the foregoing, there shall be no automatic resets of the Conversion Price pursuant to this Section 7(a)(iv) following a Fundamental Transaction Date.</w:t>
      </w:r>
    </w:p>
    <w:p>
      <w:pPr>
        <w:spacing w:after="0" w:line="171" w:lineRule="exact"/>
        <w:rPr>
          <w:rFonts w:ascii="Arial" w:cs="Arial" w:eastAsia="Arial" w:hAnsi="Arial"/>
          <w:sz w:val="17"/>
          <w:szCs w:val="17"/>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Other 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86" w:lineRule="auto"/>
        <w:tabs>
          <w:tab w:leader="none" w:pos="878" w:val="left"/>
        </w:tabs>
        <w:numPr>
          <w:ilvl w:val="1"/>
          <w:numId w:val="42"/>
        </w:numPr>
        <w:rPr>
          <w:rFonts w:ascii="Arial" w:cs="Arial" w:eastAsia="Arial" w:hAnsi="Arial"/>
          <w:sz w:val="17"/>
          <w:szCs w:val="17"/>
          <w:color w:val="auto"/>
        </w:rPr>
      </w:pPr>
      <w:r>
        <w:rPr>
          <w:rFonts w:ascii="Arial" w:cs="Arial" w:eastAsia="Arial" w:hAnsi="Arial"/>
          <w:sz w:val="17"/>
          <w:szCs w:val="17"/>
          <w:color w:val="auto"/>
        </w:rPr>
        <w:t xml:space="preserve">The Corporation may make decreases in the Conversion Price, in addition to any other decreases required by this </w:t>
      </w:r>
      <w:r>
        <w:rPr>
          <w:rFonts w:ascii="Arial" w:cs="Arial" w:eastAsia="Arial" w:hAnsi="Arial"/>
          <w:sz w:val="17"/>
          <w:szCs w:val="17"/>
          <w:u w:val="single" w:color="auto"/>
          <w:color w:val="auto"/>
        </w:rPr>
        <w:t>Section 7</w:t>
      </w:r>
      <w:r>
        <w:rPr>
          <w:rFonts w:ascii="Arial" w:cs="Arial" w:eastAsia="Arial" w:hAnsi="Arial"/>
          <w:sz w:val="17"/>
          <w:szCs w:val="17"/>
          <w:color w:val="auto"/>
        </w:rPr>
        <w:t>, if the Board of Directors deems it advisable to avoid or diminish any income tax to holders of the Common Stock resulting from any dividend or distribution of shares of Common Stock (or issuance of Options for Common Stock) or from any event treated as such for income tax purposes.</w:t>
      </w:r>
    </w:p>
    <w:p>
      <w:pPr>
        <w:spacing w:after="0" w:line="165" w:lineRule="exact"/>
        <w:rPr>
          <w:rFonts w:ascii="Arial" w:cs="Arial" w:eastAsia="Arial" w:hAnsi="Arial"/>
          <w:sz w:val="17"/>
          <w:szCs w:val="17"/>
          <w:color w:val="auto"/>
        </w:rPr>
      </w:pPr>
    </w:p>
    <w:p>
      <w:pPr>
        <w:jc w:val="both"/>
        <w:ind w:firstLine="656"/>
        <w:spacing w:after="0" w:line="301" w:lineRule="auto"/>
        <w:tabs>
          <w:tab w:leader="none" w:pos="914"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If the Corporation takes any action affecting the Common Stock, other than an action described in </w:t>
      </w:r>
      <w:r>
        <w:rPr>
          <w:rFonts w:ascii="Arial" w:cs="Arial" w:eastAsia="Arial" w:hAnsi="Arial"/>
          <w:sz w:val="16"/>
          <w:szCs w:val="16"/>
          <w:u w:val="single" w:color="auto"/>
          <w:color w:val="auto"/>
        </w:rPr>
        <w:t>Section 7(a)</w:t>
      </w:r>
      <w:r>
        <w:rPr>
          <w:rFonts w:ascii="Arial" w:cs="Arial" w:eastAsia="Arial" w:hAnsi="Arial"/>
          <w:sz w:val="16"/>
          <w:szCs w:val="16"/>
          <w:color w:val="auto"/>
        </w:rPr>
        <w:t>, which upon a determination by the Board of Directors, in its good faith discretion (such determination intended to be a “fact” for purposes of Section 151(a) of the DGCL), would materially adversely affect the conversion rights of the Holders of shares of Preferred Stock, the Conversion Price shall be adjusted, to the extent permitted by applicable law, in such manner, if any, and at such time, as the Board of Directors determines in good faith to be equitable in the circumstances.</w:t>
      </w:r>
    </w:p>
    <w:p>
      <w:pPr>
        <w:spacing w:after="0" w:line="157" w:lineRule="exact"/>
        <w:rPr>
          <w:rFonts w:ascii="Arial" w:cs="Arial" w:eastAsia="Arial" w:hAnsi="Arial"/>
          <w:sz w:val="16"/>
          <w:szCs w:val="16"/>
          <w:color w:val="auto"/>
        </w:rPr>
      </w:pPr>
    </w:p>
    <w:p>
      <w:pPr>
        <w:ind w:right="20" w:firstLine="8"/>
        <w:spacing w:after="0" w:line="277" w:lineRule="auto"/>
        <w:tabs>
          <w:tab w:leader="none" w:pos="24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Successive Adjustments</w:t>
      </w:r>
      <w:r>
        <w:rPr>
          <w:rFonts w:ascii="Arial" w:cs="Arial" w:eastAsia="Arial" w:hAnsi="Arial"/>
          <w:sz w:val="18"/>
          <w:szCs w:val="18"/>
          <w:color w:val="auto"/>
        </w:rPr>
        <w:t xml:space="preserve">. Successive adjustments in the Conversion Price shall be made, without duplication, whenever any event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7(b)</w:t>
      </w:r>
      <w:r>
        <w:rPr>
          <w:rFonts w:ascii="Arial" w:cs="Arial" w:eastAsia="Arial" w:hAnsi="Arial"/>
          <w:sz w:val="18"/>
          <w:szCs w:val="18"/>
          <w:color w:val="auto"/>
        </w:rPr>
        <w:t xml:space="preserve"> shall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left="-8" w:firstLine="8"/>
        <w:spacing w:after="0" w:line="257"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Rounding of Calculations; Minimum Adjustments</w:t>
      </w:r>
      <w:r>
        <w:rPr>
          <w:rFonts w:ascii="Arial" w:cs="Arial" w:eastAsia="Arial" w:hAnsi="Arial"/>
          <w:sz w:val="18"/>
          <w:szCs w:val="18"/>
          <w:color w:val="auto"/>
        </w:rPr>
        <w:t xml:space="preserve">. All adjustments to the Conversion Price shall be calculated to the nearest one-tenth (1/10th) of a cent. No adjustment in the Conversion Price shall be required if such adjustment would be less than $0.01;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adjustments which by reason of this </w:t>
      </w:r>
      <w:r>
        <w:rPr>
          <w:rFonts w:ascii="Arial" w:cs="Arial" w:eastAsia="Arial" w:hAnsi="Arial"/>
          <w:sz w:val="18"/>
          <w:szCs w:val="18"/>
          <w:u w:val="single" w:color="auto"/>
          <w:color w:val="auto"/>
        </w:rPr>
        <w:t>Section 7(d)</w:t>
      </w:r>
      <w:r>
        <w:rPr>
          <w:rFonts w:ascii="Arial" w:cs="Arial" w:eastAsia="Arial" w:hAnsi="Arial"/>
          <w:sz w:val="18"/>
          <w:szCs w:val="18"/>
          <w:color w:val="auto"/>
        </w:rPr>
        <w:t xml:space="preserve"> are not required to be made shall be carried forward and taken into account in any subsequent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on any Conversion Date adjustments to the Conversion Price will be made with respect to any such adjustment carried forward and which has not been taken into account before such date.</w:t>
      </w:r>
    </w:p>
    <w:p>
      <w:pPr>
        <w:spacing w:after="0" w:line="187" w:lineRule="exact"/>
        <w:rPr>
          <w:rFonts w:ascii="Arial" w:cs="Arial" w:eastAsia="Arial" w:hAnsi="Arial"/>
          <w:sz w:val="18"/>
          <w:szCs w:val="18"/>
          <w:color w:val="auto"/>
        </w:rPr>
      </w:pPr>
    </w:p>
    <w:p>
      <w:pPr>
        <w:jc w:val="both"/>
        <w:ind w:left="-8" w:firstLine="8"/>
        <w:spacing w:after="0" w:line="285" w:lineRule="auto"/>
        <w:tabs>
          <w:tab w:leader="none" w:pos="236"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Statement Regarding Adjustments; Notices</w:t>
      </w:r>
      <w:r>
        <w:rPr>
          <w:rFonts w:ascii="Arial" w:cs="Arial" w:eastAsia="Arial" w:hAnsi="Arial"/>
          <w:sz w:val="16"/>
          <w:szCs w:val="16"/>
          <w:color w:val="auto"/>
        </w:rPr>
        <w:t xml:space="preserve">. Whenever the Conversion Price is to be adjusted in accordance with one or more of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7(b)</w:t>
      </w:r>
      <w:r>
        <w:rPr>
          <w:rFonts w:ascii="Arial" w:cs="Arial" w:eastAsia="Arial" w:hAnsi="Arial"/>
          <w:sz w:val="16"/>
          <w:szCs w:val="16"/>
          <w:color w:val="auto"/>
        </w:rPr>
        <w:t>, the Corporation shall: (</w:t>
      </w:r>
      <w:r>
        <w:rPr>
          <w:rFonts w:ascii="Arial" w:cs="Arial" w:eastAsia="Arial" w:hAnsi="Arial"/>
          <w:sz w:val="16"/>
          <w:szCs w:val="16"/>
          <w:u w:val="single" w:color="auto"/>
          <w:color w:val="auto"/>
        </w:rPr>
        <w:t>i</w:t>
      </w:r>
      <w:r>
        <w:rPr>
          <w:rFonts w:ascii="Arial" w:cs="Arial" w:eastAsia="Arial" w:hAnsi="Arial"/>
          <w:sz w:val="16"/>
          <w:szCs w:val="16"/>
          <w:color w:val="auto"/>
        </w:rPr>
        <w:t xml:space="preserve">) compute the Conversion Price in accordance with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taking into account the one cent threshold set forth in </w:t>
      </w:r>
      <w:r>
        <w:rPr>
          <w:rFonts w:ascii="Arial" w:cs="Arial" w:eastAsia="Arial" w:hAnsi="Arial"/>
          <w:sz w:val="16"/>
          <w:szCs w:val="16"/>
          <w:u w:val="single" w:color="auto"/>
          <w:color w:val="auto"/>
        </w:rPr>
        <w:t>Section 7(d)</w:t>
      </w:r>
      <w:r>
        <w:rPr>
          <w:rFonts w:ascii="Arial" w:cs="Arial" w:eastAsia="Arial" w:hAnsi="Arial"/>
          <w:sz w:val="16"/>
          <w:szCs w:val="16"/>
          <w:color w:val="auto"/>
        </w:rPr>
        <w:t>; (</w:t>
      </w:r>
      <w:r>
        <w:rPr>
          <w:rFonts w:ascii="Arial" w:cs="Arial" w:eastAsia="Arial" w:hAnsi="Arial"/>
          <w:sz w:val="16"/>
          <w:szCs w:val="16"/>
          <w:u w:val="single" w:color="auto"/>
          <w:color w:val="auto"/>
        </w:rPr>
        <w:t>ii</w:t>
      </w:r>
      <w:r>
        <w:rPr>
          <w:rFonts w:ascii="Arial" w:cs="Arial" w:eastAsia="Arial" w:hAnsi="Arial"/>
          <w:sz w:val="16"/>
          <w:szCs w:val="16"/>
          <w:color w:val="auto"/>
        </w:rPr>
        <w:t>) (</w:t>
      </w:r>
      <w:r>
        <w:rPr>
          <w:rFonts w:ascii="Arial" w:cs="Arial" w:eastAsia="Arial" w:hAnsi="Arial"/>
          <w:sz w:val="16"/>
          <w:szCs w:val="16"/>
          <w:u w:val="single" w:color="auto"/>
          <w:color w:val="auto"/>
        </w:rPr>
        <w:t>x</w:t>
      </w:r>
      <w:r>
        <w:rPr>
          <w:rFonts w:ascii="Arial" w:cs="Arial" w:eastAsia="Arial" w:hAnsi="Arial"/>
          <w:sz w:val="16"/>
          <w:szCs w:val="16"/>
          <w:color w:val="auto"/>
        </w:rPr>
        <w:t xml:space="preserve">) in the event that the Corporation shall give notice or make a public announcement to the holders of Common Stock of any action of the type described in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(but only if the action of the type described in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would result in an adjustment to the Conversion Price), or </w:t>
      </w:r>
      <w:r>
        <w:rPr>
          <w:rFonts w:ascii="Arial" w:cs="Arial" w:eastAsia="Arial" w:hAnsi="Arial"/>
          <w:sz w:val="16"/>
          <w:szCs w:val="16"/>
          <w:u w:val="single" w:color="auto"/>
          <w:color w:val="auto"/>
        </w:rPr>
        <w:t>Section 7(g)</w:t>
      </w:r>
      <w:r>
        <w:rPr>
          <w:rFonts w:ascii="Arial" w:cs="Arial" w:eastAsia="Arial" w:hAnsi="Arial"/>
          <w:sz w:val="16"/>
          <w:szCs w:val="16"/>
          <w:color w:val="auto"/>
        </w:rPr>
        <w:t xml:space="preserve"> (but only if the action of the type described in </w:t>
      </w:r>
      <w:r>
        <w:rPr>
          <w:rFonts w:ascii="Arial" w:cs="Arial" w:eastAsia="Arial" w:hAnsi="Arial"/>
          <w:sz w:val="16"/>
          <w:szCs w:val="16"/>
          <w:u w:val="single" w:color="auto"/>
          <w:color w:val="auto"/>
        </w:rPr>
        <w:t>Section 7(g)</w:t>
      </w:r>
      <w:r>
        <w:rPr>
          <w:rFonts w:ascii="Arial" w:cs="Arial" w:eastAsia="Arial" w:hAnsi="Arial"/>
          <w:sz w:val="16"/>
          <w:szCs w:val="16"/>
          <w:color w:val="auto"/>
        </w:rPr>
        <w:t xml:space="preserve"> would result in a change in the type of securities or property to be delivered upon conversion of the Preferred Stock), the Corporation shall, at the time of such notice or announcement, and in the case of any action which would require the fixing of a record date, at least ten (10) days prior to such record date, give notice to each Holder by mail, first class postage prepaid, at the address appearing in the Register, which notice shall specify the record date, if any, with respect to any such action, the approximate date on which such action is to take place and the facts with respect to such action as shall be reasonably necessary to indicate the effect on the Conversion Price and the number, kind or class of shares or other securities or property which shall be deliverable upon conversion of the Preferred Stock or (</w:t>
      </w:r>
      <w:r>
        <w:rPr>
          <w:rFonts w:ascii="Arial" w:cs="Arial" w:eastAsia="Arial" w:hAnsi="Arial"/>
          <w:sz w:val="16"/>
          <w:szCs w:val="16"/>
          <w:u w:val="single" w:color="auto"/>
          <w:color w:val="auto"/>
        </w:rPr>
        <w:t>y</w:t>
      </w:r>
      <w:r>
        <w:rPr>
          <w:rFonts w:ascii="Arial" w:cs="Arial" w:eastAsia="Arial" w:hAnsi="Arial"/>
          <w:sz w:val="16"/>
          <w:szCs w:val="16"/>
          <w:color w:val="auto"/>
        </w:rPr>
        <w:t xml:space="preserve">) in the event that the Corporation does not give notice or make a public announcement as set forth in subclause (x) of this clause (ii), the Corporation shall, as soon as practicable following the occurrence of an event that requires an adjustment to the Conversion Price pursuant to one or more of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7(b)</w:t>
      </w:r>
      <w:r>
        <w:rPr>
          <w:rFonts w:ascii="Arial" w:cs="Arial" w:eastAsia="Arial" w:hAnsi="Arial"/>
          <w:sz w:val="16"/>
          <w:szCs w:val="16"/>
          <w:color w:val="auto"/>
        </w:rPr>
        <w:t xml:space="preserve">, taking into account the one cent threshold set forth in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(or if the Corporation is not aware of such occurrence, as soon as practicable after becoming so aware), provide, or cause to be provided, a written notice to the Holders of the occurrence of such event, in the same manner and with the same detail as the notice set forth in subclause (x) of this clause (ii);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whenever the Conversion Price shall be adjusted pursuant to one or more of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7(b)</w:t>
      </w:r>
      <w:r>
        <w:rPr>
          <w:rFonts w:ascii="Arial" w:cs="Arial" w:eastAsia="Arial" w:hAnsi="Arial"/>
          <w:sz w:val="16"/>
          <w:szCs w:val="16"/>
          <w:color w:val="auto"/>
        </w:rPr>
        <w:t>, the Corporation shall, as soon as practicable following the determination of the revised Conversion Price, (</w:t>
      </w:r>
      <w:r>
        <w:rPr>
          <w:rFonts w:ascii="Arial" w:cs="Arial" w:eastAsia="Arial" w:hAnsi="Arial"/>
          <w:sz w:val="16"/>
          <w:szCs w:val="16"/>
          <w:u w:val="single" w:color="auto"/>
          <w:color w:val="auto"/>
        </w:rPr>
        <w:t>x</w:t>
      </w:r>
      <w:r>
        <w:rPr>
          <w:rFonts w:ascii="Arial" w:cs="Arial" w:eastAsia="Arial" w:hAnsi="Arial"/>
          <w:sz w:val="16"/>
          <w:szCs w:val="16"/>
          <w:color w:val="auto"/>
        </w:rPr>
        <w:t>) file at the principal office of the Corporation, a statement showing in reasonable detail the facts requiring such adjustment, the Conversion Price that shall be in effect after such adjustment and the method by which the adjustment to the Conversion Price was determined and (</w:t>
      </w:r>
      <w:r>
        <w:rPr>
          <w:rFonts w:ascii="Arial" w:cs="Arial" w:eastAsia="Arial" w:hAnsi="Arial"/>
          <w:sz w:val="16"/>
          <w:szCs w:val="16"/>
          <w:u w:val="single" w:color="auto"/>
          <w:color w:val="auto"/>
        </w:rPr>
        <w:t>y</w:t>
      </w:r>
      <w:r>
        <w:rPr>
          <w:rFonts w:ascii="Arial" w:cs="Arial" w:eastAsia="Arial" w:hAnsi="Arial"/>
          <w:sz w:val="16"/>
          <w:szCs w:val="16"/>
          <w:color w:val="auto"/>
        </w:rPr>
        <w:t>) cause a copy of such statement to be sent in the manner set forth in subclause (x) of clause (ii) to each Holder.</w:t>
      </w:r>
    </w:p>
    <w:p>
      <w:pPr>
        <w:spacing w:after="0" w:line="387" w:lineRule="exact"/>
        <w:rPr>
          <w:rFonts w:ascii="Arial" w:cs="Arial" w:eastAsia="Arial" w:hAnsi="Arial"/>
          <w:sz w:val="16"/>
          <w:szCs w:val="16"/>
          <w:color w:val="auto"/>
        </w:rPr>
      </w:pPr>
    </w:p>
    <w:p>
      <w:pPr>
        <w:jc w:val="both"/>
        <w:ind w:left="-8" w:firstLine="8"/>
        <w:spacing w:after="0" w:line="272" w:lineRule="auto"/>
        <w:tabs>
          <w:tab w:leader="none" w:pos="217"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Certain Adjustment Rules</w:t>
      </w:r>
      <w:r>
        <w:rPr>
          <w:rFonts w:ascii="Arial" w:cs="Arial" w:eastAsia="Arial" w:hAnsi="Arial"/>
          <w:sz w:val="17"/>
          <w:szCs w:val="17"/>
          <w:color w:val="auto"/>
        </w:rPr>
        <w:t xml:space="preserve">. If an adjustment in the Conversion Price made pursuant to </w:t>
      </w:r>
      <w:r>
        <w:rPr>
          <w:rFonts w:ascii="Arial" w:cs="Arial" w:eastAsia="Arial" w:hAnsi="Arial"/>
          <w:sz w:val="17"/>
          <w:szCs w:val="17"/>
          <w:u w:val="single" w:color="auto"/>
          <w:color w:val="auto"/>
        </w:rPr>
        <w:t>Section 7(a)(iv)</w:t>
      </w:r>
      <w:r>
        <w:rPr>
          <w:rFonts w:ascii="Arial" w:cs="Arial" w:eastAsia="Arial" w:hAnsi="Arial"/>
          <w:sz w:val="17"/>
          <w:szCs w:val="17"/>
          <w:color w:val="auto"/>
        </w:rPr>
        <w:t xml:space="preserve"> would reduce the Conversion Price to an amount below the Floor Price, then such adjustment in Conversion Price shall only reduce the Conversion Price to the Floor Price. As a condition precedent to the taking of any action which would require an adjustment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the Corporation shall use its reasonable best efforts to take any and all actions which may be necessary, including obtaining regulatory, NASDAQ (or such exchange or automated quotation system on which the Common Stock is then listed) or stockholder approvals or exemptions, in order that the Corporation may thereafter validly and legally issue as fully paid and nonassessable all shares of Common Stock issuable upon conversion of the Preferred Stock in compliance with the applicable listing standards of NASDAQ (or such exchange or automated quotation system on which the Common Stock is then listed).</w:t>
      </w:r>
    </w:p>
    <w:p>
      <w:pPr>
        <w:spacing w:after="0" w:line="177" w:lineRule="exact"/>
        <w:rPr>
          <w:rFonts w:ascii="Arial" w:cs="Arial" w:eastAsia="Arial" w:hAnsi="Arial"/>
          <w:sz w:val="17"/>
          <w:szCs w:val="17"/>
          <w:color w:val="auto"/>
        </w:rPr>
      </w:pPr>
    </w:p>
    <w:p>
      <w:pPr>
        <w:ind w:left="252" w:hanging="252"/>
        <w:spacing w:after="0"/>
        <w:tabs>
          <w:tab w:leader="none" w:pos="25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20" w:firstLine="656"/>
        <w:spacing w:after="0" w:line="287" w:lineRule="auto"/>
        <w:tabs>
          <w:tab w:leader="none" w:pos="866" w:val="left"/>
        </w:tabs>
        <w:numPr>
          <w:ilvl w:val="1"/>
          <w:numId w:val="43"/>
        </w:numPr>
        <w:rPr>
          <w:rFonts w:ascii="Arial" w:cs="Arial" w:eastAsia="Arial" w:hAnsi="Arial"/>
          <w:sz w:val="16"/>
          <w:szCs w:val="16"/>
          <w:color w:val="auto"/>
        </w:rPr>
      </w:pPr>
      <w:r>
        <w:rPr>
          <w:rFonts w:ascii="Arial" w:cs="Arial" w:eastAsia="Arial" w:hAnsi="Arial"/>
          <w:sz w:val="16"/>
          <w:szCs w:val="16"/>
          <w:color w:val="auto"/>
        </w:rPr>
        <w:t>Subject to applicable law and the last sentence of this Section 7(g)(i), upon the occurrence of any Fundamental Transaction (the date of such occurrence, a “</w:t>
      </w:r>
      <w:r>
        <w:rPr>
          <w:rFonts w:ascii="Arial" w:cs="Arial" w:eastAsia="Arial" w:hAnsi="Arial"/>
          <w:sz w:val="16"/>
          <w:szCs w:val="16"/>
          <w:u w:val="single" w:color="auto"/>
          <w:color w:val="auto"/>
        </w:rPr>
        <w:t>Fundamental Transaction Date</w:t>
      </w:r>
      <w:r>
        <w:rPr>
          <w:rFonts w:ascii="Arial" w:cs="Arial" w:eastAsia="Arial" w:hAnsi="Arial"/>
          <w:sz w:val="16"/>
          <w:szCs w:val="16"/>
          <w:color w:val="auto"/>
        </w:rPr>
        <w:t>”), then, upon any subsequent conversion of the Preferred Stock, the Holder shall have the right to receive, for each share of Common Stock that would have been issuable upon such conversion immediately prior to the occurrence of such Fundamental Transaction,</w:t>
      </w:r>
    </w:p>
    <w:p>
      <w:pPr>
        <w:spacing w:after="0" w:line="2" w:lineRule="exact"/>
        <w:rPr>
          <w:rFonts w:ascii="Arial" w:cs="Arial" w:eastAsia="Arial" w:hAnsi="Arial"/>
          <w:sz w:val="16"/>
          <w:szCs w:val="16"/>
          <w:color w:val="auto"/>
        </w:rPr>
      </w:pPr>
    </w:p>
    <w:p>
      <w:pPr>
        <w:jc w:val="both"/>
        <w:ind w:left="-8" w:firstLine="8"/>
        <w:spacing w:after="0" w:line="285" w:lineRule="auto"/>
        <w:tabs>
          <w:tab w:leader="none" w:pos="213"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number of shares of Common Stock of the Corporation (if it is the surviving entity), or (ii) common stock of the successor or acquiring corporation (if it is the surviving entity), as well as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(including, for avoidance of doubt, the number of shares of Common Stock in respect of any Accrued Dividends to the extent unpaid as of the Fundamental Transaction Date, calculated as the quotient of (A) such Accrued Dividends divided by (B) the Conversion Price in effect immediately prior to such Fundamental Transaction, the “</w:t>
      </w:r>
      <w:r>
        <w:rPr>
          <w:rFonts w:ascii="Arial" w:cs="Arial" w:eastAsia="Arial" w:hAnsi="Arial"/>
          <w:sz w:val="16"/>
          <w:szCs w:val="16"/>
          <w:u w:val="single" w:color="auto"/>
          <w:color w:val="auto"/>
        </w:rPr>
        <w:t>Accrued Dividend Fundamental Transaction Shares</w:t>
      </w:r>
      <w:r>
        <w:rPr>
          <w:rFonts w:ascii="Arial" w:cs="Arial" w:eastAsia="Arial" w:hAnsi="Arial"/>
          <w:sz w:val="16"/>
          <w:szCs w:val="16"/>
          <w:color w:val="auto"/>
        </w:rPr>
        <w:t>”) for which the Preferred Stock is convertible immediately prior to such Fundamental Transaction. For purposes of any such conversion, if holders of Common Stock are given any choice as to the securities, cash or property to be received in a Fundamental Transaction, then the Holder shall be given the same choice as to the securities, cash or property it receives upon any conversion of the Preferred Stock following such Fundamental Transaction. Notwithstanding the foregoing and for the avoidance of doubt, for any transaction that constitutes a Fundamental Transaction under clauses (iii) or (v) of the definition of Fundamental Transaction where the Corporation is the surviving entity, upon any conversion of the Preferred Stock subsequent to such Fundamental Transaction, the Holder shall be entitled to receive only (y) the number of shares of Common Stock of the Corporation for which the Preferred Stock is convertible immediately prior to such Fundamental Transaction, plus (z) the Accrued Dividend Fundamental Transaction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409575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69" w:name="page70"/>
    <w:bookmarkEnd w:id="69"/>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ii</w:t>
      </w:r>
      <w:r>
        <w:rPr>
          <w:rFonts w:ascii="Arial" w:cs="Arial" w:eastAsia="Arial" w:hAnsi="Arial"/>
          <w:sz w:val="17"/>
          <w:szCs w:val="17"/>
          <w:color w:val="auto"/>
        </w:rPr>
        <w:t>) if the Corporation is not the surviving company in any Fundamental Transaction or will be dissolved in connection with a Fundamental Transaction, the Corporation shall cause, as a condition to the closing of such transaction, any successor entity in a Fundamental Transaction in which the Corporation is not the survivor (the “</w:t>
      </w:r>
      <w:r>
        <w:rPr>
          <w:rFonts w:ascii="Arial" w:cs="Arial" w:eastAsia="Arial" w:hAnsi="Arial"/>
          <w:sz w:val="17"/>
          <w:szCs w:val="17"/>
          <w:u w:val="single" w:color="auto"/>
          <w:color w:val="auto"/>
        </w:rPr>
        <w:t>Successor Entity</w:t>
      </w:r>
      <w:r>
        <w:rPr>
          <w:rFonts w:ascii="Arial" w:cs="Arial" w:eastAsia="Arial" w:hAnsi="Arial"/>
          <w:sz w:val="17"/>
          <w:szCs w:val="17"/>
          <w:color w:val="auto"/>
        </w:rPr>
        <w:t xml:space="preserve">”) to assume in writing all of the obligations of the Corporation under this Certificate of Designations in accordance with the provisions of this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prior to the consummation of such Fundamental Transaction and shall deliver to the Holders in exchange for the Preferred Stock a security of the Successor Entity evidenced by a written instrument substantially similar in form and substance to the Preferred Stock which is convertible for a corresponding number of shares of capital stock of such Successor Entity (or its parent entity) and any Alternate Consideration equivalent to the shares of Common Stock (including any Accrued Dividend Fundamental Transaction Shares) receivable upon conversion of the Preferred Stock (without regard to any limitations on the conversion of the Preferred Stock) prior to the consummation of such Fundamental Transaction, and with a conversion price which applies the Conversion Price hereunder to such shares of capital stock and any Alternate Consideration (but taking into account the relative value of the shares of Common Stock pursuant to such Fundamental Transaction and the value of such shares of capital stock and any Alternate Consideration, such conversion price being for the purpose of protecting the economic value of the Preferred Stock immediately prior to the consummation of such Fundamental Transaction). Upon the occurrence of any such Fundamental Transaction, to the extent necessary to effectuate the foregoing provisions, the Successor Entity shall file a new Certificate of Designations with the same terms and conditions or, if applicable, the Successor Entity shall succeed to, and be substituted for (so that from and after the date of such Fundamental Transaction, the provisions of this Certificate of Designations referring to the “Corporation” shall refer instead to the Successor Entity), and may exercise every right and power of the Corporation and shall assume all of the obligations of the Corporation under this Certificate of Designations with the same effect as if such Successor Entity had been named as the Corporation herein.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8. Voting Rights</w:t>
      </w:r>
      <w:r>
        <w:rPr>
          <w:rFonts w:ascii="Arial" w:cs="Arial" w:eastAsia="Arial" w:hAnsi="Arial"/>
          <w:sz w:val="18"/>
          <w:szCs w:val="18"/>
          <w:color w:val="auto"/>
        </w:rPr>
        <w:t>.</w:t>
      </w:r>
    </w:p>
    <w:p>
      <w:pPr>
        <w:spacing w:after="0" w:line="225" w:lineRule="exact"/>
        <w:rPr>
          <w:sz w:val="20"/>
          <w:szCs w:val="20"/>
          <w:color w:val="auto"/>
        </w:rPr>
      </w:pPr>
    </w:p>
    <w:p>
      <w:pPr>
        <w:jc w:val="both"/>
        <w:ind w:firstLine="8"/>
        <w:spacing w:after="0" w:line="253" w:lineRule="auto"/>
        <w:tabs>
          <w:tab w:leader="none" w:pos="24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Holders of shares of Preferred Stock shall be entitled to vote with the holders of the Common Stock on all matters submitted to a vote of stockholders of the Corporation, except as otherwise provided herein or as required by applicable law, voting together with the holders of Common Stock as a single class. For such purposes, each Holder, for each share of Preferred Stock held by such Holder as of the record date for the determination of stockholders entitled to vote on such matters, shall be entitled to 1.07 votes (as adjusted for any stock dividend, stock split, reverse stock split, combination or similar event affecting the Preferred Stock), or, if no such record date is established, each Holder, for each share of Preferred Stock held by such Holder as of the date such vote is taken or any written consent of stockholders is solicited, shall be entitled to 1.07 votes (as adjusted for any stock dividend, stock split, reverse stock split, combination or similar event affecting the Preferred Stock). The Holders of shares of Preferred Stock shall be entitled to notice of any stockholders’ meeting in accordance with the Certificate of Incorporation and the By-laws as if they were holders of record of Common Stock for such meeting.</w:t>
      </w:r>
    </w:p>
    <w:p>
      <w:pPr>
        <w:spacing w:after="0" w:line="196" w:lineRule="exact"/>
        <w:rPr>
          <w:rFonts w:ascii="Arial" w:cs="Arial" w:eastAsia="Arial" w:hAnsi="Arial"/>
          <w:sz w:val="18"/>
          <w:szCs w:val="18"/>
          <w:color w:val="auto"/>
        </w:rPr>
      </w:pPr>
    </w:p>
    <w:p>
      <w:pPr>
        <w:jc w:val="both"/>
        <w:ind w:firstLine="8"/>
        <w:spacing w:after="0" w:line="259"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Class Voting Rights</w:t>
      </w:r>
      <w:r>
        <w:rPr>
          <w:rFonts w:ascii="Arial" w:cs="Arial" w:eastAsia="Arial" w:hAnsi="Arial"/>
          <w:sz w:val="18"/>
          <w:szCs w:val="18"/>
          <w:color w:val="auto"/>
        </w:rPr>
        <w:t>. So long as any shares of Preferred Stock are outstanding, in addition to any other vote required by applicable law, the Corporation may not take any of the following actions (including by means of merger, consolidation, reorganization, recapitalization or otherwise) without the prior affirmative vote or written consent of the Holders representing at least a majority of the then-issued and outstanding shares of Preferred Stock, voting as a separate class:</w:t>
      </w:r>
    </w:p>
    <w:p>
      <w:pPr>
        <w:spacing w:after="0" w:line="186" w:lineRule="exact"/>
        <w:rPr>
          <w:rFonts w:ascii="Arial" w:cs="Arial" w:eastAsia="Arial" w:hAnsi="Arial"/>
          <w:sz w:val="18"/>
          <w:szCs w:val="18"/>
          <w:color w:val="auto"/>
        </w:rPr>
      </w:pPr>
    </w:p>
    <w:p>
      <w:pPr>
        <w:ind w:firstLine="656"/>
        <w:spacing w:after="0" w:line="308" w:lineRule="auto"/>
        <w:tabs>
          <w:tab w:leader="none" w:pos="874" w:val="left"/>
        </w:tabs>
        <w:numPr>
          <w:ilvl w:val="1"/>
          <w:numId w:val="45"/>
        </w:numPr>
        <w:rPr>
          <w:rFonts w:ascii="Arial" w:cs="Arial" w:eastAsia="Arial" w:hAnsi="Arial"/>
          <w:sz w:val="17"/>
          <w:szCs w:val="17"/>
          <w:color w:val="auto"/>
        </w:rPr>
      </w:pPr>
      <w:r>
        <w:rPr>
          <w:rFonts w:ascii="Arial" w:cs="Arial" w:eastAsia="Arial" w:hAnsi="Arial"/>
          <w:sz w:val="17"/>
          <w:szCs w:val="17"/>
          <w:color w:val="auto"/>
        </w:rPr>
        <w:t>amend, alter, repeal or otherwise modify any provision of the Certificate of Incorporation or this Certificate of Designations in a manner that would alter or change the terms or the powers, preferences, rights or privileges of the Preferred Stock as to affect them adversely;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left="920" w:hanging="264"/>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authorize, create, increase the authorized amount of, or issue any class or series of Senior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the authorized number of shares of Preferred Stock; or</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enter into any agreement with respect to the foregoing.</w:t>
      </w:r>
    </w:p>
    <w:p>
      <w:pPr>
        <w:spacing w:after="0" w:line="225" w:lineRule="exact"/>
        <w:rPr>
          <w:sz w:val="20"/>
          <w:szCs w:val="20"/>
          <w:color w:val="auto"/>
        </w:rPr>
      </w:pPr>
    </w:p>
    <w:p>
      <w:pPr>
        <w:jc w:val="both"/>
        <w:ind w:firstLine="8"/>
        <w:spacing w:after="0" w:line="286" w:lineRule="auto"/>
        <w:tabs>
          <w:tab w:leader="none" w:pos="25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consent or votes required in </w:t>
      </w:r>
      <w:r>
        <w:rPr>
          <w:rFonts w:ascii="Arial" w:cs="Arial" w:eastAsia="Arial" w:hAnsi="Arial"/>
          <w:sz w:val="17"/>
          <w:szCs w:val="17"/>
          <w:u w:val="single" w:color="auto"/>
          <w:color w:val="auto"/>
        </w:rPr>
        <w:t>Section 8(b)</w:t>
      </w:r>
      <w:r>
        <w:rPr>
          <w:rFonts w:ascii="Arial" w:cs="Arial" w:eastAsia="Arial" w:hAnsi="Arial"/>
          <w:sz w:val="17"/>
          <w:szCs w:val="17"/>
          <w:color w:val="auto"/>
        </w:rPr>
        <w:t xml:space="preserve"> shall be in addition to any approval of stockholders of the Corporation which may be required by law or pursuant to any provision of the Certificate of Incorporation or the By-laws. Each Holder of shares of Preferred Stock will have one vote per share on any matter on which Holders of shares of Preferred Stock are entitled to vote separately as a class, whether at a meeting or by written consent.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9. Transfer Agent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Corporation shall appoint a Transfer Agent and remove its Transfer Agent in accordance with the agreement between the Corporation and such Transfer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Corporation shall appoint a successor transfer agent of recognized standing who shall accept such appointment prior to the effectiveness of such removal. Upon any such removal or appointment, the Corporation shall send notice thereof by first-class mail, postage prepaid, to the Holders. When a Holder requests to register the transfer of shares of Preferred Stock, the Corporation or the Transfer Agent, as applicable, shall register the transfer as requested if its reasonable requirements for such transaction are met.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10. 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8"/>
        <w:spacing w:after="0" w:line="289" w:lineRule="auto"/>
        <w:tabs>
          <w:tab w:leader="none" w:pos="244"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xml:space="preserve">. The issuance or delivery of shares of Preferred Stock, shares of Common Stock or other securities issued on account of Preferred Stock pursuant hereto, or certificates representing such shares or securities, shall be made without charge to the Holder for such shares or certificates or for any tax in respect of the issuance or delivery of such certificates or the securities represented thereby, including any share transfer, documentary, stamp or similar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Corporation shall not be required to pay any tax that may be payable in respect of any transfer involved in the issuance or delivery of shares of Preferred Stock, shares of Common Stock or other securities in a name other than that in which the shares of Preferred Stock with respect to which such shares or other securities were issued or delivered are registered, or in respect of any payment to any Person other than a payment to the Holder thereof, and the transferee or payee, as the case may be, shall pay or bear the cost of any such tax, and the Corporation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166" w:lineRule="exact"/>
        <w:rPr>
          <w:rFonts w:ascii="Arial" w:cs="Arial" w:eastAsia="Arial" w:hAnsi="Arial"/>
          <w:sz w:val="16"/>
          <w:szCs w:val="16"/>
          <w:color w:val="auto"/>
        </w:rPr>
      </w:pPr>
    </w:p>
    <w:p>
      <w:pPr>
        <w:jc w:val="both"/>
        <w:ind w:firstLine="8"/>
        <w:spacing w:after="0" w:line="279" w:lineRule="auto"/>
        <w:tabs>
          <w:tab w:leader="none" w:pos="255"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Good Faith</w:t>
      </w:r>
      <w:r>
        <w:rPr>
          <w:rFonts w:ascii="Arial" w:cs="Arial" w:eastAsia="Arial" w:hAnsi="Arial"/>
          <w:sz w:val="17"/>
          <w:szCs w:val="17"/>
          <w:color w:val="auto"/>
        </w:rPr>
        <w:t>. The Corporation shall not, by amendment of the Certificate of Incorporation or through reorganization, consolidation, merger, dissolution, sale of assets, or otherwise, avoid or seek to avoid the observance or performance of any of the terms of this Certificate of Designations, but will at all times in good faith assist in the carrying out of all such terms and in the taking of all such action as may be necessary or appropriate in order to protect the rights of the Holders of Preferred Stock against impairment as set forth in this Certificate of Designations.</w:t>
      </w:r>
    </w:p>
    <w:p>
      <w:pPr>
        <w:spacing w:after="0" w:line="171" w:lineRule="exact"/>
        <w:rPr>
          <w:rFonts w:ascii="Arial" w:cs="Arial" w:eastAsia="Arial" w:hAnsi="Arial"/>
          <w:sz w:val="17"/>
          <w:szCs w:val="17"/>
          <w:color w:val="auto"/>
        </w:rPr>
      </w:pPr>
    </w:p>
    <w:p>
      <w:pPr>
        <w:jc w:val="both"/>
        <w:ind w:firstLine="8"/>
        <w:spacing w:after="0" w:line="259" w:lineRule="auto"/>
        <w:tabs>
          <w:tab w:leader="none" w:pos="24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Status of Shares</w:t>
      </w:r>
      <w:r>
        <w:rPr>
          <w:rFonts w:ascii="Arial" w:cs="Arial" w:eastAsia="Arial" w:hAnsi="Arial"/>
          <w:sz w:val="18"/>
          <w:szCs w:val="18"/>
          <w:color w:val="auto"/>
        </w:rPr>
        <w:t xml:space="preserve">. Shares of Preferred Stock which have been converted, redeemed, repurchased or otherwise cancelled shall be retired and, following the filing of any certificate required by the DGCL, have the status of authorized and unissued shares of Preferred Stock, without designation as to series until such shares are once more, subject to and in accordance with the provisions of </w:t>
      </w:r>
      <w:r>
        <w:rPr>
          <w:rFonts w:ascii="Arial" w:cs="Arial" w:eastAsia="Arial" w:hAnsi="Arial"/>
          <w:sz w:val="18"/>
          <w:szCs w:val="18"/>
          <w:u w:val="single" w:color="auto"/>
          <w:color w:val="auto"/>
        </w:rPr>
        <w:t>Section 8</w:t>
      </w:r>
      <w:r>
        <w:rPr>
          <w:rFonts w:ascii="Arial" w:cs="Arial" w:eastAsia="Arial" w:hAnsi="Arial"/>
          <w:sz w:val="18"/>
          <w:szCs w:val="18"/>
          <w:color w:val="auto"/>
        </w:rPr>
        <w:t>, designated as part of a particular series of Preferred Stock by the Board of Directors.</w:t>
      </w:r>
    </w:p>
    <w:p>
      <w:pPr>
        <w:spacing w:after="0" w:line="186" w:lineRule="exact"/>
        <w:rPr>
          <w:rFonts w:ascii="Arial" w:cs="Arial" w:eastAsia="Arial" w:hAnsi="Arial"/>
          <w:sz w:val="18"/>
          <w:szCs w:val="18"/>
          <w:color w:val="auto"/>
        </w:rPr>
      </w:pPr>
    </w:p>
    <w:p>
      <w:pPr>
        <w:jc w:val="both"/>
        <w:ind w:firstLine="8"/>
        <w:spacing w:after="0" w:line="254" w:lineRule="auto"/>
        <w:tabs>
          <w:tab w:leader="none" w:pos="26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referred to herein shall be in writing, and, unless otherwise specified herein, all notices hereunder shall be deemed to have been given upon the earlier of receipt thereof or three (3) Business Days after the mailing thereof if sent by registered or certified mail (or by first class mail if the same shall be specifically permitted for such notice under the terms of this Certificate of Designations) with postage prepaid, addressed: (</w:t>
      </w:r>
      <w:r>
        <w:rPr>
          <w:rFonts w:ascii="Arial" w:cs="Arial" w:eastAsia="Arial" w:hAnsi="Arial"/>
          <w:sz w:val="18"/>
          <w:szCs w:val="18"/>
          <w:u w:val="single" w:color="auto"/>
          <w:color w:val="auto"/>
        </w:rPr>
        <w:t>i</w:t>
      </w:r>
      <w:r>
        <w:rPr>
          <w:rFonts w:ascii="Arial" w:cs="Arial" w:eastAsia="Arial" w:hAnsi="Arial"/>
          <w:sz w:val="18"/>
          <w:szCs w:val="18"/>
          <w:color w:val="auto"/>
        </w:rPr>
        <w:t>) if to the Corporation, to its office at 6272 W. 91st Avenue, Westminster, CO 80031, Attention: Chief Financial Officer, or to any transfer or other agent of the Corporation designated to receive such notice as permitted by this Certificate of Designations, or (</w:t>
      </w:r>
      <w:r>
        <w:rPr>
          <w:rFonts w:ascii="Arial" w:cs="Arial" w:eastAsia="Arial" w:hAnsi="Arial"/>
          <w:sz w:val="18"/>
          <w:szCs w:val="18"/>
          <w:u w:val="single" w:color="auto"/>
          <w:color w:val="auto"/>
        </w:rPr>
        <w:t>ii</w:t>
      </w:r>
      <w:r>
        <w:rPr>
          <w:rFonts w:ascii="Arial" w:cs="Arial" w:eastAsia="Arial" w:hAnsi="Arial"/>
          <w:sz w:val="18"/>
          <w:szCs w:val="18"/>
          <w:color w:val="auto"/>
        </w:rPr>
        <w:t>) if to any Holder, to such Holder at the address of such Holder as listed in the Register or (</w:t>
      </w:r>
      <w:r>
        <w:rPr>
          <w:rFonts w:ascii="Arial" w:cs="Arial" w:eastAsia="Arial" w:hAnsi="Arial"/>
          <w:sz w:val="18"/>
          <w:szCs w:val="18"/>
          <w:u w:val="single" w:color="auto"/>
          <w:color w:val="auto"/>
        </w:rPr>
        <w:t>iii</w:t>
      </w:r>
      <w:r>
        <w:rPr>
          <w:rFonts w:ascii="Arial" w:cs="Arial" w:eastAsia="Arial" w:hAnsi="Arial"/>
          <w:sz w:val="18"/>
          <w:szCs w:val="18"/>
          <w:color w:val="auto"/>
        </w:rPr>
        <w:t>) to such other address as the Corporation or any such Holder, as the case may be, shall have designated by written notice similarly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8"/>
        <w:spacing w:after="0" w:line="257" w:lineRule="auto"/>
        <w:tabs>
          <w:tab w:leader="none" w:pos="24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right, preference or limitation of the Preferred Stock set forth in this Certificate of Designations (as amended from time to time) is invalid, unlawful or incapable of being enforced by reason of any rule of law or public policy, all other rights, preferences and limitations set forth in this Certificate of Designations (as so amended) which can be given effect without the invalid, unlawful or unenforceable right, preference or limitation shall, nevertheless, remain in full force and effect, and no right, preference or limitation herein set forth shall be deemed dependent upon any other such right, preference or limitation unless so expressed herein.</w:t>
      </w:r>
    </w:p>
    <w:p>
      <w:pPr>
        <w:spacing w:after="0" w:line="187" w:lineRule="exact"/>
        <w:rPr>
          <w:rFonts w:ascii="Arial" w:cs="Arial" w:eastAsia="Arial" w:hAnsi="Arial"/>
          <w:sz w:val="18"/>
          <w:szCs w:val="18"/>
          <w:color w:val="auto"/>
        </w:rPr>
      </w:pPr>
    </w:p>
    <w:p>
      <w:pPr>
        <w:jc w:val="both"/>
        <w:ind w:firstLine="8"/>
        <w:spacing w:after="0" w:line="263" w:lineRule="auto"/>
        <w:tabs>
          <w:tab w:leader="none" w:pos="22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Other Rights</w:t>
      </w:r>
      <w:r>
        <w:rPr>
          <w:rFonts w:ascii="Arial" w:cs="Arial" w:eastAsia="Arial" w:hAnsi="Arial"/>
          <w:sz w:val="18"/>
          <w:szCs w:val="18"/>
          <w:color w:val="auto"/>
        </w:rPr>
        <w:t>. Except as expressly provided in any agreement between a Holder and the Corporation, the shares of Preferred Stock shall not have any voting powers, preferences or relative, participating, optional or other special rights, or qualifications, limitations or restrictions thereof, other than as set forth herein or in the Certificate of Incorporation or as provided by applicable law.</w:t>
      </w:r>
    </w:p>
    <w:p>
      <w:pPr>
        <w:spacing w:after="0" w:line="183" w:lineRule="exact"/>
        <w:rPr>
          <w:rFonts w:ascii="Arial" w:cs="Arial" w:eastAsia="Arial" w:hAnsi="Arial"/>
          <w:sz w:val="18"/>
          <w:szCs w:val="18"/>
          <w:color w:val="auto"/>
        </w:rPr>
      </w:pPr>
    </w:p>
    <w:p>
      <w:pPr>
        <w:ind w:firstLine="8"/>
        <w:spacing w:after="0" w:line="277" w:lineRule="auto"/>
        <w:tabs>
          <w:tab w:leader="none" w:pos="26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various subdivisions hereof are for convenience of reference only and shall not affect the interpretation of any of the provisions hereof.</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Effectiveness</w:t>
      </w:r>
      <w:r>
        <w:rPr>
          <w:rFonts w:ascii="Arial" w:cs="Arial" w:eastAsia="Arial" w:hAnsi="Arial"/>
          <w:sz w:val="17"/>
          <w:szCs w:val="17"/>
          <w:color w:val="auto"/>
        </w:rPr>
        <w:t>. This Certificate of Designations shall become effective upon the filing thereof with the Secretary of State of the State of Delaware.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right="20"/>
        <w:spacing w:after="0" w:line="277" w:lineRule="auto"/>
        <w:rPr>
          <w:sz w:val="20"/>
          <w:szCs w:val="20"/>
          <w:color w:val="auto"/>
        </w:rPr>
      </w:pPr>
      <w:r>
        <w:rPr>
          <w:rFonts w:ascii="Arial" w:cs="Arial" w:eastAsia="Arial" w:hAnsi="Arial"/>
          <w:sz w:val="18"/>
          <w:szCs w:val="18"/>
          <w:color w:val="auto"/>
        </w:rPr>
        <w:t>IN WITNESS WHEREOF, the Corporation has caused this Certificate of Designations to be duly executed and acknowledged by its undersigned duly authorized officer this 10th day of August, 2023.</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TRISALUS LIFE SCIENCES,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 Dewey</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Christopher C. Dewey</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Certificate of Designations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CONVERSION NOTICE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EXECUTED BY THE REGISTERED HOLDER IN ORDER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CONVERT SHARES OF SERIES A PREFERRED STOCK)</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hereby elects to convert the number of shares of Series A Preferred Stock indicated below into shares of common stock, $0.0001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TRISALUS LIFE SCIENCES, INC., a Delaware corporation, according to the conditions hereof, as of the date written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Conversion calculations: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to Effect Conversion: 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Series A Preferred Stock owned prior to Conversion: 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Series A Preferred Stock to be Converted: 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to be Issued: 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Applicable Conversion Price: 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Series A Preferred Stock subsequent to Conversion: ____________________________________</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auto"/>
        </w:rPr>
        <w:t>Exhibit 4.1</w:t>
      </w:r>
    </w:p>
    <w:p>
      <w:pPr>
        <w:sectPr>
          <w:pgSz w:w="11900" w:h="16838" w:orient="portrait"/>
          <w:cols w:equalWidth="0" w:num="1">
            <w:col w:w="11240"/>
          </w:cols>
          <w:pgMar w:left="320" w:top="364" w:right="339" w:bottom="1440" w:gutter="0" w:footer="0" w:header="0"/>
        </w:sect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NUMBER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SEE REVERSE FOR CERTAIN DEFINITIONS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CUSIP 89680M 101</w:t>
      </w:r>
    </w:p>
    <w:p>
      <w:pPr>
        <w:spacing w:after="0" w:line="200" w:lineRule="exact"/>
        <w:rPr>
          <w:sz w:val="20"/>
          <w:szCs w:val="20"/>
          <w:color w:val="auto"/>
        </w:rPr>
      </w:pPr>
    </w:p>
    <w:p>
      <w:pPr>
        <w:sectPr>
          <w:pgSz w:w="11900" w:h="16838" w:orient="portrait"/>
          <w:cols w:equalWidth="0" w:num="2">
            <w:col w:w="5580" w:space="720"/>
            <w:col w:w="4940"/>
          </w:cols>
          <w:pgMar w:left="320" w:top="364" w:right="3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TRISALUS LIFE 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INCORPORATED UNDER THE LAWS OF THE STATE OF DELAWARE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ectPr>
          <w:pgSz w:w="11900" w:h="16838" w:orient="portrait"/>
          <w:cols w:equalWidth="0" w:num="1">
            <w:col w:w="11240"/>
          </w:cols>
          <w:pgMar w:left="320" w:top="364" w:right="3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Certifies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 the owner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FULLY PAID AND NON-ASSESSABLE SHARES OF THE PAR VALUE OF $0.0001 EACH OF THE COMMON STOCK OF</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TRISALUS LIFE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transferable on the books of the Corporation in person or by duly authorized attorney upon surrender of this certificate properly endorsed.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the seal of the Corporation and the facsimile signatures of its duly authorized officers.</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[Corporate Seal]</w:t>
      </w:r>
    </w:p>
    <w:p>
      <w:pPr>
        <w:spacing w:after="0" w:line="23" w:lineRule="exact"/>
        <w:rPr>
          <w:sz w:val="20"/>
          <w:szCs w:val="20"/>
          <w:color w:val="auto"/>
        </w:rPr>
      </w:pPr>
    </w:p>
    <w:p>
      <w:pPr>
        <w:ind w:left="20"/>
        <w:spacing w:after="0"/>
        <w:tabs>
          <w:tab w:leader="none" w:pos="5440" w:val="left"/>
          <w:tab w:leader="none" w:pos="6740" w:val="left"/>
        </w:tabs>
        <w:rPr>
          <w:sz w:val="20"/>
          <w:szCs w:val="20"/>
          <w:color w:val="auto"/>
        </w:rPr>
      </w:pPr>
      <w:r>
        <w:rPr>
          <w:rFonts w:ascii="Arial" w:cs="Arial" w:eastAsia="Arial" w:hAnsi="Arial"/>
          <w:sz w:val="18"/>
          <w:szCs w:val="18"/>
          <w:color w:val="auto"/>
        </w:rPr>
        <w:t>Authorized Signatory</w:t>
      </w:r>
      <w:r>
        <w:rPr>
          <w:sz w:val="20"/>
          <w:szCs w:val="20"/>
          <w:color w:val="auto"/>
        </w:rPr>
        <w:tab/>
      </w:r>
      <w:r>
        <w:rPr>
          <w:rFonts w:ascii="Arial" w:cs="Arial" w:eastAsia="Arial" w:hAnsi="Arial"/>
          <w:sz w:val="18"/>
          <w:szCs w:val="18"/>
          <w:color w:val="auto"/>
        </w:rPr>
        <w:t>Delaware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89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3068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TRISALUS LIFE SCIENCES, INC.</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Corporation will furnish without charge to each stockholder who so requests the powers, designations, preferences and relative, participating, optional or other special rights of each class of stock or series thereof of the Corporation and the qualifications, limitations, or restrictions of such preferences and/or rights. This certificate and the shares represented thereby are issued and shall be held subject to all the provisions of the Company’s second amended and restated certificate of incorporation and all amendments thereto and resolutions of the Board of Directors providing for the issue of securities (copies of which may be obtained from the secretary of the Corporation), to all of which the holder of this certificate by acceptance hereof assents. The following abbreviations, when used in the inscription on the face of this certificate, shall be construed as though they were written out in full according to applicable laws or regulations: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TEN COM</w:t>
            </w:r>
          </w:p>
        </w:tc>
        <w:tc>
          <w:tcPr>
            <w:tcW w:w="3920" w:type="dxa"/>
            <w:vAlign w:val="bottom"/>
          </w:tcPr>
          <w:p>
            <w:pPr>
              <w:ind w:left="100"/>
              <w:spacing w:after="0"/>
              <w:rPr>
                <w:sz w:val="20"/>
                <w:szCs w:val="20"/>
                <w:color w:val="auto"/>
              </w:rPr>
            </w:pPr>
            <w:r>
              <w:rPr>
                <w:rFonts w:ascii="Arial" w:cs="Arial" w:eastAsia="Arial" w:hAnsi="Arial"/>
                <w:sz w:val="18"/>
                <w:szCs w:val="18"/>
                <w:color w:val="auto"/>
              </w:rPr>
              <w:t>— as tenants in common</w:t>
            </w:r>
          </w:p>
        </w:tc>
        <w:tc>
          <w:tcPr>
            <w:tcW w:w="3540" w:type="dxa"/>
            <w:vAlign w:val="bottom"/>
            <w:gridSpan w:val="2"/>
          </w:tcPr>
          <w:p>
            <w:pPr>
              <w:ind w:left="300"/>
              <w:spacing w:after="0"/>
              <w:rPr>
                <w:sz w:val="20"/>
                <w:szCs w:val="20"/>
                <w:color w:val="auto"/>
              </w:rPr>
            </w:pPr>
            <w:r>
              <w:rPr>
                <w:rFonts w:ascii="Arial" w:cs="Arial" w:eastAsia="Arial" w:hAnsi="Arial"/>
                <w:sz w:val="18"/>
                <w:szCs w:val="18"/>
                <w:color w:val="auto"/>
              </w:rPr>
              <w:t>UNIF GIFT MIN ACT   —</w:t>
            </w:r>
          </w:p>
        </w:tc>
        <w:tc>
          <w:tcPr>
            <w:tcW w:w="300" w:type="dxa"/>
            <w:vAlign w:val="bottom"/>
          </w:tcPr>
          <w:p>
            <w:pPr>
              <w:spacing w:after="0"/>
              <w:rPr>
                <w:sz w:val="20"/>
                <w:szCs w:val="20"/>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Custodian</w:t>
            </w:r>
          </w:p>
        </w:tc>
        <w:tc>
          <w:tcPr>
            <w:tcW w:w="0" w:type="dxa"/>
            <w:vAlign w:val="bottom"/>
          </w:tcPr>
          <w:p>
            <w:pPr>
              <w:spacing w:after="0"/>
              <w:rPr>
                <w:sz w:val="1"/>
                <w:szCs w:val="1"/>
                <w:color w:val="auto"/>
              </w:rPr>
            </w:pPr>
          </w:p>
        </w:tc>
      </w:tr>
      <w:tr>
        <w:trPr>
          <w:trHeight w:val="216"/>
        </w:trPr>
        <w:tc>
          <w:tcPr>
            <w:tcW w:w="900" w:type="dxa"/>
            <w:vAlign w:val="bottom"/>
            <w:vMerge w:val="restart"/>
          </w:tcPr>
          <w:p>
            <w:pPr>
              <w:spacing w:after="0"/>
              <w:rPr>
                <w:sz w:val="20"/>
                <w:szCs w:val="20"/>
                <w:color w:val="auto"/>
              </w:rPr>
            </w:pPr>
            <w:r>
              <w:rPr>
                <w:rFonts w:ascii="Arial" w:cs="Arial" w:eastAsia="Arial" w:hAnsi="Arial"/>
                <w:sz w:val="18"/>
                <w:szCs w:val="18"/>
                <w:color w:val="auto"/>
              </w:rPr>
              <w:t>TEN ENT</w:t>
            </w:r>
          </w:p>
        </w:tc>
        <w:tc>
          <w:tcPr>
            <w:tcW w:w="3920" w:type="dxa"/>
            <w:vAlign w:val="bottom"/>
            <w:vMerge w:val="restart"/>
          </w:tcPr>
          <w:p>
            <w:pPr>
              <w:ind w:left="100"/>
              <w:spacing w:after="0"/>
              <w:rPr>
                <w:sz w:val="20"/>
                <w:szCs w:val="20"/>
                <w:color w:val="auto"/>
              </w:rPr>
            </w:pPr>
            <w:r>
              <w:rPr>
                <w:rFonts w:ascii="Arial" w:cs="Arial" w:eastAsia="Arial" w:hAnsi="Arial"/>
                <w:sz w:val="18"/>
                <w:szCs w:val="18"/>
                <w:color w:val="auto"/>
              </w:rPr>
              <w:t>— as tenants by the entireties</w:t>
            </w:r>
          </w:p>
        </w:tc>
        <w:tc>
          <w:tcPr>
            <w:tcW w:w="2600" w:type="dxa"/>
            <w:vAlign w:val="bottom"/>
            <w:vMerge w:val="restart"/>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00" w:type="dxa"/>
            <w:vAlign w:val="bottom"/>
            <w:vMerge w:val="continue"/>
          </w:tcPr>
          <w:p>
            <w:pPr>
              <w:spacing w:after="0"/>
              <w:rPr>
                <w:sz w:val="19"/>
                <w:szCs w:val="19"/>
                <w:color w:val="auto"/>
              </w:rPr>
            </w:pPr>
          </w:p>
        </w:tc>
        <w:tc>
          <w:tcPr>
            <w:tcW w:w="3920" w:type="dxa"/>
            <w:vAlign w:val="bottom"/>
            <w:vMerge w:val="continue"/>
          </w:tcPr>
          <w:p>
            <w:pPr>
              <w:spacing w:after="0"/>
              <w:rPr>
                <w:sz w:val="19"/>
                <w:szCs w:val="19"/>
                <w:color w:val="auto"/>
              </w:rPr>
            </w:pPr>
          </w:p>
        </w:tc>
        <w:tc>
          <w:tcPr>
            <w:tcW w:w="2600" w:type="dxa"/>
            <w:vAlign w:val="bottom"/>
            <w:vMerge w:val="continue"/>
          </w:tcPr>
          <w:p>
            <w:pPr>
              <w:spacing w:after="0"/>
              <w:rPr>
                <w:sz w:val="19"/>
                <w:szCs w:val="19"/>
                <w:color w:val="auto"/>
              </w:rPr>
            </w:pPr>
          </w:p>
        </w:tc>
        <w:tc>
          <w:tcPr>
            <w:tcW w:w="940" w:type="dxa"/>
            <w:vAlign w:val="bottom"/>
          </w:tcPr>
          <w:p>
            <w:pPr>
              <w:ind w:left="400"/>
              <w:spacing w:after="0"/>
              <w:rPr>
                <w:sz w:val="20"/>
                <w:szCs w:val="20"/>
                <w:color w:val="auto"/>
              </w:rPr>
            </w:pPr>
            <w:r>
              <w:rPr>
                <w:rFonts w:ascii="Arial" w:cs="Arial" w:eastAsia="Arial" w:hAnsi="Arial"/>
                <w:sz w:val="18"/>
                <w:szCs w:val="18"/>
                <w:color w:val="auto"/>
              </w:rPr>
              <w:t>(Cust)</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60" w:type="dxa"/>
            <w:vAlign w:val="bottom"/>
          </w:tcPr>
          <w:p>
            <w:pPr>
              <w:ind w:left="50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403"/>
        </w:trPr>
        <w:tc>
          <w:tcPr>
            <w:tcW w:w="900" w:type="dxa"/>
            <w:vAlign w:val="bottom"/>
          </w:tcPr>
          <w:p>
            <w:pPr>
              <w:spacing w:after="0"/>
              <w:rPr>
                <w:sz w:val="20"/>
                <w:szCs w:val="20"/>
                <w:color w:val="auto"/>
              </w:rPr>
            </w:pPr>
            <w:r>
              <w:rPr>
                <w:rFonts w:ascii="Arial" w:cs="Arial" w:eastAsia="Arial" w:hAnsi="Arial"/>
                <w:sz w:val="18"/>
                <w:szCs w:val="18"/>
                <w:color w:val="auto"/>
              </w:rPr>
              <w:t>JT TEN</w:t>
            </w:r>
          </w:p>
        </w:tc>
        <w:tc>
          <w:tcPr>
            <w:tcW w:w="3920" w:type="dxa"/>
            <w:vAlign w:val="bottom"/>
          </w:tcPr>
          <w:p>
            <w:pPr>
              <w:ind w:left="100"/>
              <w:spacing w:after="0"/>
              <w:rPr>
                <w:sz w:val="20"/>
                <w:szCs w:val="20"/>
                <w:color w:val="auto"/>
              </w:rPr>
            </w:pPr>
            <w:r>
              <w:rPr>
                <w:rFonts w:ascii="Arial" w:cs="Arial" w:eastAsia="Arial" w:hAnsi="Arial"/>
                <w:sz w:val="18"/>
                <w:szCs w:val="18"/>
                <w:color w:val="auto"/>
              </w:rPr>
              <w:t>— as joint tenants with right of survivorship and</w:t>
            </w:r>
          </w:p>
        </w:tc>
        <w:tc>
          <w:tcPr>
            <w:tcW w:w="6400" w:type="dxa"/>
            <w:vAlign w:val="bottom"/>
            <w:gridSpan w:val="5"/>
          </w:tcPr>
          <w:p>
            <w:pPr>
              <w:ind w:left="1360"/>
              <w:spacing w:after="0"/>
              <w:rPr>
                <w:sz w:val="20"/>
                <w:szCs w:val="20"/>
                <w:color w:val="auto"/>
              </w:rPr>
            </w:pPr>
            <w:r>
              <w:rPr>
                <w:rFonts w:ascii="Arial" w:cs="Arial" w:eastAsia="Arial" w:hAnsi="Arial"/>
                <w:sz w:val="18"/>
                <w:szCs w:val="18"/>
                <w:color w:val="auto"/>
              </w:rPr>
              <w:t>under Uniform Gifts to Minors Act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not as tenants in common</w:t>
            </w:r>
          </w:p>
        </w:tc>
        <w:tc>
          <w:tcPr>
            <w:tcW w:w="2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60" w:type="dxa"/>
            <w:vAlign w:val="bottom"/>
            <w:gridSpan w:val="3"/>
            <w:vMerge w:val="restart"/>
          </w:tcPr>
          <w:p>
            <w:pPr>
              <w:ind w:left="100"/>
              <w:spacing w:after="0"/>
              <w:rPr>
                <w:sz w:val="20"/>
                <w:szCs w:val="20"/>
                <w:color w:val="auto"/>
              </w:rPr>
            </w:pPr>
            <w:r>
              <w:rPr>
                <w:rFonts w:ascii="Arial" w:cs="Arial" w:eastAsia="Arial" w:hAnsi="Arial"/>
                <w:sz w:val="18"/>
                <w:szCs w:val="18"/>
                <w:color w:val="auto"/>
              </w:rPr>
              <w:t>(State)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value received, hereby sells, assigns and transfers unto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of the capital stock represented by the within Certificate, and hereby irrevocably constitutes and appoints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the said stock on the books of the within named Corporation with full power of substitution in the premises.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right="440"/>
        <w:spacing w:after="0" w:line="277" w:lineRule="auto"/>
        <w:rPr>
          <w:sz w:val="20"/>
          <w:szCs w:val="20"/>
          <w:color w:val="auto"/>
        </w:rPr>
      </w:pPr>
      <w:r>
        <w:rPr>
          <w:rFonts w:ascii="Arial" w:cs="Arial" w:eastAsia="Arial" w:hAnsi="Arial"/>
          <w:sz w:val="18"/>
          <w:szCs w:val="18"/>
          <w:color w:val="auto"/>
        </w:rPr>
        <w:t>NOTICE: THE SIGNATURE(S)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 Guaranteed: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right="220"/>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Warrant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WARRANT SHALL BE VOID IF NOT EXERCISED PRIOR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EXPIRATION OF THE EXERCISE PERIOD PROVIDED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WARRANT AGREEMENT DESCRIBED BELOW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TRISALUS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Under the Laws of the State of Delaware</w:t>
      </w:r>
    </w:p>
    <w:p>
      <w:pPr>
        <w:spacing w:after="0" w:line="211" w:lineRule="exact"/>
        <w:rPr>
          <w:sz w:val="20"/>
          <w:szCs w:val="20"/>
          <w:color w:val="auto"/>
        </w:rPr>
      </w:pPr>
    </w:p>
    <w:p>
      <w:pPr>
        <w:ind w:left="9760"/>
        <w:spacing w:after="0"/>
        <w:rPr>
          <w:sz w:val="20"/>
          <w:szCs w:val="20"/>
          <w:color w:val="auto"/>
        </w:rPr>
      </w:pPr>
      <w:r>
        <w:rPr>
          <w:rFonts w:ascii="Arial" w:cs="Arial" w:eastAsia="Arial" w:hAnsi="Arial"/>
          <w:sz w:val="16"/>
          <w:szCs w:val="16"/>
          <w:color w:val="auto"/>
        </w:rPr>
        <w:t>CUSIP 89680M 119</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7"/>
          <w:szCs w:val="17"/>
          <w:b w:val="1"/>
          <w:bCs w:val="1"/>
          <w:i w:val="1"/>
          <w:iCs w:val="1"/>
          <w:color w:val="auto"/>
        </w:rPr>
        <w:t xml:space="preserve">This Warrant Certificate certifies that </w:t>
      </w:r>
      <w:r>
        <w:rPr>
          <w:rFonts w:ascii="Arial" w:cs="Arial" w:eastAsia="Arial" w:hAnsi="Arial"/>
          <w:sz w:val="17"/>
          <w:szCs w:val="17"/>
          <w:color w:val="auto"/>
        </w:rPr>
        <w:t>, or registered assigns, is the registered holder of warrant(s) evidenced hereby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and each,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to purchase shares of common stock, $0.0001 par value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TriSalus Life Sciences,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Each whole Warrant entitles the holder, upon exercise during the period set forth in the Warrant Agreement referred to below, to receive from the Company that number of fully paid and non-assessable shares of Common Stock as set forth below, at the exercise price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as determined pursuant to the Warrant Agreement, payable in lawful money (or through “</w:t>
      </w:r>
      <w:r>
        <w:rPr>
          <w:rFonts w:ascii="Arial" w:cs="Arial" w:eastAsia="Arial" w:hAnsi="Arial"/>
          <w:sz w:val="17"/>
          <w:szCs w:val="17"/>
          <w:b w:val="1"/>
          <w:bCs w:val="1"/>
          <w:i w:val="1"/>
          <w:iCs w:val="1"/>
          <w:color w:val="auto"/>
        </w:rPr>
        <w:t>cashless exercise</w:t>
      </w:r>
      <w:r>
        <w:rPr>
          <w:rFonts w:ascii="Arial" w:cs="Arial" w:eastAsia="Arial" w:hAnsi="Arial"/>
          <w:sz w:val="17"/>
          <w:szCs w:val="17"/>
          <w:color w:val="auto"/>
        </w:rPr>
        <w:t>” as provided for in the Warrant 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7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Each whole Warrant is initially exercisable for one fully paid and non-assessable share of Common Stock. No fractional shares will be issued upon exercise of any Warrant. If, upon the exercise of a Warrant, a holder would be entitled to receive a fractional interest in a share, the Company will, upon exercise, round down to the nearest whole number of the number of shares of Common Stock to be issued to the holder. The number of shares of Common Stock issuable upon exercise of the Warrants is subject to adjustment upon the occurrence of certain events set forth in the Warrant Agreement.</w:t>
      </w:r>
    </w:p>
    <w:p>
      <w:pPr>
        <w:spacing w:after="0" w:line="15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initial Exercise Price per share of Common Stock for any Warrant is equal to $11.50 per share. The Exercise Price is subject to adjustment upon the occurrence of certain events set forth in the Warrant Agreement.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void.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Warrants may be redeemed, subject to certain conditions, as set forth in the Warrant Agreement.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Warrant Certificate shall not be valid unless countersigned by the Warrant Agent, as such term is used in the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ind w:firstLine="648"/>
        <w:spacing w:after="0" w:line="277" w:lineRule="auto"/>
        <w:rPr>
          <w:sz w:val="20"/>
          <w:szCs w:val="20"/>
          <w:color w:val="auto"/>
        </w:rPr>
      </w:pPr>
      <w:r>
        <w:rPr>
          <w:rFonts w:ascii="Arial" w:cs="Arial" w:eastAsia="Arial" w:hAnsi="Arial"/>
          <w:sz w:val="18"/>
          <w:szCs w:val="18"/>
          <w:color w:val="auto"/>
        </w:rPr>
        <w:t>This Warrant Certificate shall be governed by and construed in accordance with the internal laws of the State of New York, without regard to conflicts of laws principles thereof.</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TRISALUS LIFE SCIENCES, INC.</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33432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CONTINENTAL STOCK TRANSFER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&amp; TRUST COMPANY, as Warrant Agent</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33432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320" w:top="908" w:right="77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[Reverse]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Warrants evidenced by this Warrant Certificate are part of a duly authorized issue of Warrants entitling the holder on exercise to receive shares of Common Stock and are issued or to be issued pursuant to a Warrant Agreement dated as of December 17, 2020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duly executed and delivered by the Company to Continental Stock Transfer&amp; Trust Company, a New York corporation,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meaning the Registered Holders or Registered Holder)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92"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anything else in this Warrant Certificate or the Warrant Agreement, no Warrant may be exercised unless at the time of exercise</w:t>
      </w:r>
    </w:p>
    <w:p>
      <w:pPr>
        <w:spacing w:after="0" w:line="46" w:lineRule="exact"/>
        <w:rPr>
          <w:sz w:val="20"/>
          <w:szCs w:val="20"/>
          <w:color w:val="auto"/>
        </w:rPr>
      </w:pPr>
    </w:p>
    <w:p>
      <w:pPr>
        <w:ind w:right="480" w:firstLine="8"/>
        <w:spacing w:after="0" w:line="323" w:lineRule="auto"/>
        <w:tabs>
          <w:tab w:leader="none" w:pos="2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registration statement covering the shares of Common Stock to be issued upon exercise is effective under the Securities Act and (ii) a prospectus thereunder relating to the shares of Common Stock is current, except through “cashless exercise” as provided for in the Warrant Agreement.</w:t>
      </w:r>
    </w:p>
    <w:p>
      <w:pPr>
        <w:spacing w:after="0" w:line="13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shares of Common Stock issuable upon exercise of the Warrants set forth on the face hereof may, subject to certain conditions, be adjusted. If, upon exercise of a Warrant, the holder thereof would be entitled to receive a fractional interest in a share of Common Stock, the Company shall, upon exercise, round down to the nearest whole number of shares of Common Stock to be issued to the holder of the Warrant.</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7" w:lineRule="exact"/>
        <w:rPr>
          <w:sz w:val="20"/>
          <w:szCs w:val="20"/>
          <w:color w:val="auto"/>
        </w:rPr>
      </w:pPr>
    </w:p>
    <w:p>
      <w:pPr>
        <w:jc w:val="both"/>
        <w:ind w:right="380" w:firstLine="648"/>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stockholder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color w:val="auto"/>
        </w:rPr>
        <w:t>Election to Purchase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 xml:space="preserve">The undersigned hereby irrevocably elects to exercise the right, represented by this Warrant Certificate, to receive shares of Common Stock and herewith tenders payment for such shares of Common Stock to the order of TriSalus Life Sciences, Inc. (the </w:t>
      </w:r>
      <w:r>
        <w:rPr>
          <w:rFonts w:ascii="Arial" w:cs="Arial" w:eastAsia="Arial" w:hAnsi="Arial"/>
          <w:sz w:val="16"/>
          <w:szCs w:val="16"/>
          <w:b w:val="1"/>
          <w:bCs w:val="1"/>
          <w:color w:val="auto"/>
        </w:rPr>
        <w:t>“Company”</w:t>
      </w:r>
      <w:r>
        <w:rPr>
          <w:rFonts w:ascii="Arial" w:cs="Arial" w:eastAsia="Arial" w:hAnsi="Arial"/>
          <w:sz w:val="16"/>
          <w:szCs w:val="16"/>
          <w:color w:val="auto"/>
        </w:rPr>
        <w:t>) in the amount of $_____ in</w:t>
      </w:r>
    </w:p>
    <w:p>
      <w:pPr>
        <w:spacing w:after="0"/>
        <w:rPr>
          <w:sz w:val="20"/>
          <w:szCs w:val="20"/>
          <w:color w:val="auto"/>
        </w:rPr>
      </w:pPr>
      <w:r>
        <w:rPr>
          <w:rFonts w:ascii="Arial" w:cs="Arial" w:eastAsia="Arial" w:hAnsi="Arial"/>
          <w:sz w:val="16"/>
          <w:szCs w:val="16"/>
          <w:color w:val="auto"/>
        </w:rPr>
        <w:t>accordance with the terms hereof. The undersigned requests that a certificate for such shares of Common Stock be registered in the name of 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whose address is and that such shares of Common Stock be delivered to __________ whose address is __________. If said number of shares of Common</w:t>
      </w:r>
    </w:p>
    <w:p>
      <w:pPr>
        <w:spacing w:after="0" w:line="32" w:lineRule="exact"/>
        <w:rPr>
          <w:sz w:val="20"/>
          <w:szCs w:val="20"/>
          <w:color w:val="auto"/>
        </w:rPr>
      </w:pPr>
    </w:p>
    <w:p>
      <w:pPr>
        <w:ind w:right="480"/>
        <w:spacing w:after="0" w:line="281" w:lineRule="auto"/>
        <w:rPr>
          <w:sz w:val="20"/>
          <w:szCs w:val="20"/>
          <w:color w:val="auto"/>
        </w:rPr>
      </w:pPr>
      <w:r>
        <w:rPr>
          <w:rFonts w:ascii="Arial" w:cs="Arial" w:eastAsia="Arial" w:hAnsi="Arial"/>
          <w:sz w:val="16"/>
          <w:szCs w:val="16"/>
          <w:color w:val="auto"/>
        </w:rPr>
        <w:t>Stock is less than all of the shares of Common Stock purchasable hereunder, the undersigned requests that a new Warrant Certificate representing the remaining balance of such shares of Common Stock be registered in the name of , whose address is and that such Warrant Certificate be delivered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 whose address is __________.</w:t>
      </w:r>
    </w:p>
    <w:p>
      <w:pPr>
        <w:spacing w:after="0" w:line="21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In the event that the Warrant has been called for redemption by the Company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the Warrant Agreement and the Company has required cashless exercise pursuant to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of the Warrant Agreement, the number of shares of Common Stock that this Warrant is exercisable for shall be determined in accordance with </w:t>
      </w:r>
      <w:r>
        <w:rPr>
          <w:rFonts w:ascii="Arial" w:cs="Arial" w:eastAsia="Arial" w:hAnsi="Arial"/>
          <w:sz w:val="17"/>
          <w:szCs w:val="17"/>
          <w:u w:val="single" w:color="auto"/>
          <w:color w:val="auto"/>
        </w:rPr>
        <w:t>subsection 3.3.1(b)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of the Warrant Agreement.</w:t>
      </w:r>
    </w:p>
    <w:p>
      <w:pPr>
        <w:spacing w:after="0" w:line="16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or a Working Capital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shares of Common Stock that this Warrant is exercisable for shall be determined in accordance with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 xml:space="preserve">In the event that the Warrant is to be exercised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 the number of shares of Common Stock that this Warrant is exercisable for shall be determined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w:t>
      </w:r>
    </w:p>
    <w:p>
      <w:pPr>
        <w:spacing w:after="0" w:line="14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the event that the Warrant may be exercised, to the extent allowed by the Warrant Agreement, through cashless exercise (i) the number of shares of Common Stock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shares of Common Stock. If said number of shares is less than all of the shares of Common Stock purchasable hereunder (after giving effect to the cashless exercise), the undersigned requests that a new Warrant Certificate representing the remaining balance of such shares of Common Stock be registered in the name of , whose address is and that such Warrant Certificate be delivered to __________, whose address is __________.</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0" w:name="page81"/>
    <w:bookmarkEnd w:id="80"/>
    <w:p>
      <w:pPr>
        <w:ind w:left="20"/>
        <w:spacing w:after="0"/>
        <w:rPr>
          <w:sz w:val="20"/>
          <w:szCs w:val="20"/>
          <w:color w:val="auto"/>
        </w:rPr>
      </w:pPr>
      <w:r>
        <w:rPr>
          <w:rFonts w:ascii="Arial" w:cs="Arial" w:eastAsia="Arial" w:hAnsi="Arial"/>
          <w:sz w:val="18"/>
          <w:szCs w:val="18"/>
          <w:color w:val="auto"/>
        </w:rPr>
        <w:t>Date: ,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434340</wp:posOffset>
            </wp:positionV>
            <wp:extent cx="3566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151765</wp:posOffset>
            </wp:positionV>
            <wp:extent cx="3566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566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908" w:right="75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description summarizes selected information regarding the common stock, $0.0001 par value per share (the “Common Stock”), of TriSalus Life Sciences, Inc., a Delaware corporation (“TriSalus,” the “Company,” “we,” “us” or “our”), as well as relevant provisions of: (i) our Second Amended and Restated Certificate of Incorporation (“Certificate of Incorporation”); (ii) our amended and restated bylaws (“Bylaws”); and (iii) the General Corporation Law of the State of Delaware (the “DGCL”). The following summary is qualified in its entirety by, and should be read in conjunction with, the Certificate of Incorporation and the Bylaws, copies of which have been filed as exhibits to the Current Report on Form 8-K (the “Form 8-K”) to which this exhibit is attached, and the applicable provisions of the DGCL.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22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Certificate of Incorporation authorizes the issuance of 410,000,000 shares of capital stock, consisting of (a) 400,000,000 shares of Common Stock, having a par value per share of $0.0001, and (b) 10,000,000 shares of preferred stock, having a par value per share of $0.0001 (the “preferred stock”).</w:t>
      </w:r>
    </w:p>
    <w:p>
      <w:pPr>
        <w:spacing w:after="0" w:line="124"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An aggregate of 4,015,002 shares of preferred stock, par value $0.0001 per share, designated as Series A Convertible Preferred Stock (the “Series A Convertible Preferred Stock”) is issued and outstanding. See the Form 8-K to which this description is attached for a description of the Series A Convertible Preferred Stock and the Certificate of Designations for the Series A Convertible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Each holder of Common Stock will be entitled to one (1) vote for each share of Common Stock held of record by such holder on all matters submitted to a vote of our stockholders; provided, however, that, except as otherwise required in the Certificate of Incorporation or by applicable law, the holders of Common Stock shall not be entitled to vote on any amendment to the Certificate of Incorporation or any certificate of designation filed with respect to any series of our preferred stock that alters or changes the powers, preferences, rights or other terms of one or more outstanding series of our preferred stock (including the Series A Convertible Preferred Stock) if the holders of such affected series are entitled, either separately or together with the holders of one or more other such series, to vote thereon pursuant to the Certificate of Incorporation (including any certificate of designation relating to any series of preferred stock) or pursuant to the DGCL.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Subject to applicable law and the rights of the holders of any outstanding class of our preferred stock, including the Series A Convertible Preferred Stock, and the provisions of the Certificate of Incorporation, holders of Common Stock will be entitled to receive such dividends and other distributions in cash, stock or property of the Company when, as and if declared thereon by our board of directors (the “Board”), in its sole discretion, from time to time out of assets or funds of the Company legally available therefor.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upon Liquidation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Subject to applicable law and the rights and preferences of the holders of any holders of any shares of any outstanding class of preferred stock, including the Series A Convertible Preferred Stock, in the event of any liquidation, dissolution or winding up of our affairs, whether voluntary or involuntary, after payment or provision for payment of our debts and any other payments required by law and amounts payable upon shares of preferred stock ranking senior to the shares of Common Stock upon such dissolution, liquidation or winding up, if any, our remaining net assets will be distributed to the holders of Common Stock and the holders of any other class or series of capital stock ranking equally with the Common Stock upon such dissolution, liquidation or winding up, equally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Preemptive or Other Rights</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holders of Common Stock will not have preemptive or other subscription rights and there are no redemption or sinking fund provisions applicable to the Common Stock. The rights, preferences and privileges of holders of the Common Stock will be subject to those of the holders of the Series A Convertible Preferred Stock and any other series of preferred stock of that we may issue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Directors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Board is divided into three classes, Class I, Class II and Class III, with members of each class serving staggered three-year terms with only one class of directors being elected in each year. There is no cumulative voting with respect to the election of directors. Under the Bylaws, the election of directors is determined by plurality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not paid any cash dividends on our Common Stock to date. The payment of cash dividends in the future will be dependent upon our revenues and earnings, if any, capital requirements, general financial condition, contractual restrictions and other factors that the Board may deem relevant and will be within the discretion of the Board at such time. In addition, our ability to pay dividends may be limited by covenants of any existing and future outstanding indebtedness that we or our subsidiaries incur.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Certificate of Incorporation and Bylaws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subject to the provisions of Section 203 of the DGCL regulating corporate takeovers. This statute prevents certain Delaware corporations, under certain circumstances, from engaging in a “business combination” with:</w:t>
      </w:r>
    </w:p>
    <w:p>
      <w:pPr>
        <w:spacing w:after="0" w:line="170"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“business combination” includes a merger or sale of more than 10% of our assets. However, the above provisions of Section 203 do not apply if:</w:t>
      </w:r>
    </w:p>
    <w:p>
      <w:pPr>
        <w:spacing w:after="0" w:line="23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Board approves the transaction that made the stockholder an “interested stockholder,” prior to the date of the transaction;</w:t>
      </w:r>
    </w:p>
    <w:p>
      <w:pPr>
        <w:spacing w:after="0" w:line="22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46" w:lineRule="exact"/>
        <w:rPr>
          <w:rFonts w:ascii="Arial" w:cs="Arial" w:eastAsia="Arial" w:hAnsi="Arial"/>
          <w:sz w:val="17"/>
          <w:szCs w:val="17"/>
          <w:color w:val="auto"/>
        </w:rPr>
      </w:pPr>
    </w:p>
    <w:p>
      <w:pPr>
        <w:ind w:left="660" w:right="140" w:hanging="328"/>
        <w:spacing w:after="0" w:line="26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3" w:name="page84"/>
    <w:bookmarkEnd w:id="83"/>
    <w:p>
      <w:pPr>
        <w:ind w:right="260"/>
        <w:spacing w:after="0" w:line="263" w:lineRule="auto"/>
        <w:rPr>
          <w:sz w:val="20"/>
          <w:szCs w:val="20"/>
          <w:color w:val="auto"/>
        </w:rPr>
      </w:pPr>
      <w:r>
        <w:rPr>
          <w:rFonts w:ascii="Arial" w:cs="Arial" w:eastAsia="Arial" w:hAnsi="Arial"/>
          <w:sz w:val="18"/>
          <w:szCs w:val="18"/>
          <w:color w:val="auto"/>
        </w:rPr>
        <w:t>Our Certificate of Incorporation provides that the Board is classified into three classes of directors, each of which will generally serve for a term of three years with only one class of directors being elected in each year. As a result, in most circumstances, a person can gain control of our Board only by successfully engaging in a proxy contest at two or more annual meetings.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shares of Common Stock and preferred stock could render more difficult or discourage an attempt to obtain control of us by means of a proxy contest, tender offer, merger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Certificate of Incorporation requires, to the fullest extent permitted by law, that derivative actions brought in our name, actions against directors, officers and employees for breach of fiduciary duty and other similar actions may be brought only in the Court of Chancery in the State of Delaware.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Despite the fact that our Certificate of Incorporation provides that the exclusive forum provision will be applicable to the fullest extent permitted by applicable law, Section 27 of the Securities Exchange Act of 1934, as amended (the “Exchange Act”), and the rules and regulations thereunder, creates exclusive federal jurisdiction over all suits brought to enforce any duty or liability created by the Exchange Act or the rules and regulations thereunder. As a result, the exclusive forum provision does not apply to suits brought to enforce any duty or liability created by the Exchange Act or any other claim for which the federal courts have exclusive jurisdiction. In addition, our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by our Chief Executive Officer or by our Chairman.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Company’s secretary at our principal executive offices not later than the close of business on the 90th day nor earlier than the opening of business on the 120th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Any action required or permitted to be taken by holders of our Common Stock must be effected by a duly called annual or special meeting of such stockholders and may not be effected by written consent of the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transfer agent for our securities is Continental Stock Transfer &amp; Trust Company. The transfer agent’s address is One State Street Plaza, 30 Floor New York, New York 10004.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Nasdaq Global Market under the symbol ”TLSI”.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908" w:right="49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AMENDED AND RESTATED REGISTRATION RIGHTS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August 10, 2023, is made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entered into by and among (i) TriSalus Life Sciences,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(formerly known as MedTech Acquisition Corp.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MedTech</w:t>
      </w:r>
      <w:r>
        <w:rPr>
          <w:rFonts w:ascii="Arial" w:cs="Arial" w:eastAsia="Arial" w:hAnsi="Arial"/>
          <w:sz w:val="16"/>
          <w:szCs w:val="16"/>
          <w:color w:val="auto"/>
        </w:rPr>
        <w:t>”), a Delaware corporation), (ii) MedTech Acquisition Sponsor LLC, a Delaware limited liability company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(iii) certain former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stockholders of TriSalus Operating Life Sciences, Inc., a Delaware corporation (formerly known as TriSalus Life Sciences, Inc. (“</w:t>
      </w:r>
      <w:r>
        <w:rPr>
          <w:rFonts w:ascii="Arial" w:cs="Arial" w:eastAsia="Arial" w:hAnsi="Arial"/>
          <w:sz w:val="16"/>
          <w:szCs w:val="16"/>
          <w:b w:val="1"/>
          <w:bCs w:val="1"/>
          <w:i w:val="1"/>
          <w:iCs w:val="1"/>
          <w:color w:val="auto"/>
        </w:rPr>
        <w:t>Legacy TriSalus</w:t>
      </w:r>
      <w:r>
        <w:rPr>
          <w:rFonts w:ascii="Arial" w:cs="Arial" w:eastAsia="Arial" w:hAnsi="Arial"/>
          <w:sz w:val="16"/>
          <w:szCs w:val="16"/>
          <w:color w:val="auto"/>
        </w:rPr>
        <w:t>”)) set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forth on Schedule I hereto (the “</w:t>
      </w:r>
      <w:r>
        <w:rPr>
          <w:rFonts w:ascii="Arial" w:cs="Arial" w:eastAsia="Arial" w:hAnsi="Arial"/>
          <w:sz w:val="17"/>
          <w:szCs w:val="17"/>
          <w:b w:val="1"/>
          <w:bCs w:val="1"/>
          <w:i w:val="1"/>
          <w:iCs w:val="1"/>
          <w:color w:val="auto"/>
        </w:rPr>
        <w:t>TriSalus Holders</w:t>
      </w:r>
      <w:r>
        <w:rPr>
          <w:rFonts w:ascii="Arial" w:cs="Arial" w:eastAsia="Arial" w:hAnsi="Arial"/>
          <w:sz w:val="17"/>
          <w:szCs w:val="17"/>
          <w:color w:val="auto"/>
        </w:rPr>
        <w:t>”), and (iv) all members of the Sponsor (the “</w:t>
      </w:r>
      <w:r>
        <w:rPr>
          <w:rFonts w:ascii="Arial" w:cs="Arial" w:eastAsia="Arial" w:hAnsi="Arial"/>
          <w:sz w:val="17"/>
          <w:szCs w:val="17"/>
          <w:b w:val="1"/>
          <w:bCs w:val="1"/>
          <w:i w:val="1"/>
          <w:iCs w:val="1"/>
          <w:color w:val="auto"/>
        </w:rPr>
        <w:t>Sponsor Holders</w:t>
      </w:r>
      <w:r>
        <w:rPr>
          <w:rFonts w:ascii="Arial" w:cs="Arial" w:eastAsia="Arial" w:hAnsi="Arial"/>
          <w:sz w:val="17"/>
          <w:szCs w:val="17"/>
          <w:color w:val="auto"/>
        </w:rPr>
        <w:t>” and, together with the Sponsor,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TriSalus Holders, and any person or entity who hereafter becomes a party to this Agreement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this Agreement,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Legacy TriSalus were party to that certain Agreement and Plan of Merger, dated as of November 11, 2022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by and among the Company, MTAC Merger Sub, Inc., a Delaware corporation and a direct, wholly owned subsidiary of the Company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and Legacy TriSalus;</w:t>
      </w:r>
    </w:p>
    <w:p>
      <w:pPr>
        <w:spacing w:after="0" w:line="176"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Merger Agreement, at the Closing (as defined in the Merger Agreement), Merger Sub will merge with and into Legacy</w:t>
      </w:r>
      <w:r>
        <w:rPr>
          <w:rFonts w:ascii="Arial" w:cs="Arial" w:eastAsia="Arial" w:hAnsi="Arial"/>
          <w:sz w:val="18"/>
          <w:szCs w:val="18"/>
          <w:b w:val="1"/>
          <w:bCs w:val="1"/>
          <w:color w:val="auto"/>
        </w:rPr>
        <w:t xml:space="preserve"> </w:t>
      </w:r>
      <w:r>
        <w:rPr>
          <w:rFonts w:ascii="Arial" w:cs="Arial" w:eastAsia="Arial" w:hAnsi="Arial"/>
          <w:sz w:val="18"/>
          <w:szCs w:val="18"/>
          <w:color w:val="auto"/>
        </w:rPr>
        <w:t>TriSalus, with Legacy TriSalus continuing as the surviving company and, after giving effect to the merger, the separate existence of Merger Sub will cease to exist and Legacy TriSalus shall become a wholly owned subsidiary of the Company, which shall survive as the surviving corporation (the “</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Combination</w:t>
      </w:r>
      <w:r>
        <w:rPr>
          <w:rFonts w:ascii="Arial" w:cs="Arial" w:eastAsia="Arial" w:hAnsi="Arial"/>
          <w:sz w:val="18"/>
          <w:szCs w:val="18"/>
          <w:color w:val="auto"/>
        </w:rPr>
        <w:t>”);</w:t>
      </w:r>
    </w:p>
    <w:p>
      <w:pPr>
        <w:spacing w:after="0" w:line="180" w:lineRule="exact"/>
        <w:rPr>
          <w:sz w:val="20"/>
          <w:szCs w:val="20"/>
          <w:color w:val="auto"/>
        </w:rPr>
      </w:pPr>
    </w:p>
    <w:p>
      <w:pPr>
        <w:ind w:right="680"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MedTech and the Sponsor entered into that certain Registration Rights Agreement, dated as of December 17, 2020 (as it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supplemented, restated or otherwise modified from time to time until the consummation of the Business Combination, the “</w:t>
      </w:r>
      <w:r>
        <w:rPr>
          <w:rFonts w:ascii="Arial" w:cs="Arial" w:eastAsia="Arial" w:hAnsi="Arial"/>
          <w:sz w:val="18"/>
          <w:szCs w:val="18"/>
          <w:b w:val="1"/>
          <w:bCs w:val="1"/>
          <w:i w:val="1"/>
          <w:iCs w:val="1"/>
          <w:color w:val="auto"/>
        </w:rPr>
        <w:t>Existing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76"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consummation of the Business Combination, the parties to the Existing Agreement desire to amend and restate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its entirety as set forth herein and the Company, the Sponsor and the Holders desire to enter into this Agreement, pursuant to which the Company shall grant the Holders certain registration rights with respect to the Registrable Securities (as defined below) on the terms and conditions set forth in this Agreement.</w:t>
      </w:r>
    </w:p>
    <w:p>
      <w:pPr>
        <w:spacing w:after="0" w:line="180" w:lineRule="exact"/>
        <w:rPr>
          <w:sz w:val="20"/>
          <w:szCs w:val="20"/>
          <w:color w:val="auto"/>
        </w:rPr>
      </w:pPr>
    </w:p>
    <w:p>
      <w:pPr>
        <w:ind w:right="340" w:firstLine="324"/>
        <w:spacing w:after="0" w:line="347"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The terms defined in this </w:t>
      </w:r>
      <w:r>
        <w:rPr>
          <w:rFonts w:ascii="Arial" w:cs="Arial" w:eastAsia="Arial" w:hAnsi="Arial"/>
          <w:sz w:val="18"/>
          <w:szCs w:val="18"/>
          <w:i w:val="1"/>
          <w:iCs w:val="1"/>
          <w:u w:val="single" w:color="auto"/>
          <w:color w:val="auto"/>
        </w:rPr>
        <w:t>Article I</w:t>
      </w:r>
      <w:r>
        <w:rPr>
          <w:rFonts w:ascii="Arial" w:cs="Arial" w:eastAsia="Arial" w:hAnsi="Arial"/>
          <w:sz w:val="18"/>
          <w:szCs w:val="18"/>
          <w:color w:val="auto"/>
        </w:rPr>
        <w:t xml:space="preserve"> shall, for all purposes of this Agreement, have the respective meanings set forth below:</w:t>
      </w:r>
    </w:p>
    <w:p>
      <w:pPr>
        <w:spacing w:after="0" w:line="22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Adverse Disclosure</w:t>
      </w:r>
      <w:r>
        <w:rPr>
          <w:rFonts w:ascii="Arial" w:cs="Arial" w:eastAsia="Arial" w:hAnsi="Arial"/>
          <w:sz w:val="16"/>
          <w:szCs w:val="16"/>
          <w:color w:val="auto"/>
        </w:rPr>
        <w:t xml:space="preserve">” shall mean any public disclosure of material non-public information, which disclosure, in the good faith judgment of the chief executive officer or chief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or was effective, and (iii) the Company has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business purpose for not making such information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6" w:name="page87"/>
    <w:bookmarkEnd w:id="86"/>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Action</w:t>
      </w:r>
      <w:r>
        <w:rPr>
          <w:rFonts w:ascii="Arial" w:cs="Arial" w:eastAsia="Arial" w:hAnsi="Arial"/>
          <w:sz w:val="18"/>
          <w:szCs w:val="18"/>
          <w:color w:val="auto"/>
        </w:rPr>
        <w:t>” means any claim, charge, action, suit, complaint, grievance, audit, investigation, inquiry, assessment, arbitration or legal, judicial or administrative proceeding (whether at law or in equity).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Block Trade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subsection 2.6.1</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shall mean any day other than a Saturday, a Sunday or other day on which commercial banks in New York, New York are authorized or required by applicable law to close.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shall have the meaning given in the Merger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U.S. Securities and Exchange Commission.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Company’s Common Stock, with a par value of $0.0001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Demanding Holder</w:t>
      </w:r>
      <w:r>
        <w:rPr>
          <w:rFonts w:ascii="Arial" w:cs="Arial" w:eastAsia="Arial" w:hAnsi="Arial"/>
          <w:sz w:val="16"/>
          <w:szCs w:val="16"/>
          <w:color w:val="auto"/>
        </w:rPr>
        <w:t>” shall mean either (i) one or more Sponsor Holders holding at least a majority-in-interest of Registrable Securities held by Sponsor Holders or (ii) one or more TriSalus Holders holding at least a majority-in-interest of Registrable Securities held by TriSalus Holders.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Agreement</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2.3.2</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2.3.1</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2.3.1</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mean the 4,062,500 shares of MedTech’s Class B common stock, par value $0.0001 per share, issued to the Sponsor in a private placement pursuant to the Subscription Agreement that are not forfeited at Closing and not subsequently forfeited by the Sponsor as described in the Sponsor Support Agreement.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 Information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4.1.2</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Lock-up</w:t>
      </w:r>
      <w:r>
        <w:rPr>
          <w:rFonts w:ascii="Arial" w:cs="Arial" w:eastAsia="Arial" w:hAnsi="Arial"/>
          <w:sz w:val="18"/>
          <w:szCs w:val="18"/>
          <w:color w:val="auto"/>
        </w:rPr>
        <w:t>” shall have the meaning given in Section 2.5.</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 shall mean any lock-up period with respect to the Registrable Securities included in the Company’s governing documents or any agreements between a Holder and the Company or any of the Company’s subsidiaries.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Takedown Threshold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2.3.4</w:t>
      </w:r>
      <w:r>
        <w:rPr>
          <w:rFonts w:ascii="Arial" w:cs="Arial" w:eastAsia="Arial" w:hAnsi="Arial"/>
          <w:sz w:val="18"/>
          <w:szCs w:val="18"/>
          <w:color w:val="auto"/>
        </w:rPr>
        <w:t>.</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Opt-Out Requests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Coordinated Offering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2.6.1</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Transferees</w:t>
      </w:r>
      <w:r>
        <w:rPr>
          <w:rFonts w:ascii="Arial" w:cs="Arial" w:eastAsia="Arial" w:hAnsi="Arial"/>
          <w:sz w:val="17"/>
          <w:szCs w:val="17"/>
          <w:color w:val="auto"/>
        </w:rPr>
        <w:t xml:space="preserve">” means, in the case of any Holder, a person to whom, or entity to which, a Holder may transfer Registrable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transfer does not violate the Company’s governing documents, or any agreements between such Holder and the Company or any of the Company’s subsidiaries, or this Agreement, and (b) such transferee shall only be a Permitted Transferee if and to the extent the transferor designates the transferee as a Permitted Transferee entitled to rights hereunder pursuant to </w:t>
      </w:r>
      <w:r>
        <w:rPr>
          <w:rFonts w:ascii="Arial" w:cs="Arial" w:eastAsia="Arial" w:hAnsi="Arial"/>
          <w:sz w:val="17"/>
          <w:szCs w:val="17"/>
          <w:u w:val="single" w:color="auto"/>
          <w:color w:val="auto"/>
        </w:rPr>
        <w:t>subsection 5.2.3</w:t>
      </w:r>
      <w:r>
        <w:rPr>
          <w:rFonts w:ascii="Arial" w:cs="Arial" w:eastAsia="Arial" w:hAnsi="Arial"/>
          <w:sz w:val="17"/>
          <w:szCs w:val="17"/>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ind w:right="58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24"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Additional Holder</w:t>
      </w:r>
      <w:r>
        <w:rPr>
          <w:rFonts w:ascii="Arial" w:cs="Arial" w:eastAsia="Arial" w:hAnsi="Arial"/>
          <w:sz w:val="18"/>
          <w:szCs w:val="18"/>
          <w:color w:val="auto"/>
        </w:rPr>
        <w:t>” shall mean any stockholder of the Company that is a director or officer of the Company or any other stockholder of the Company that is approved to become a “Holder” under this Agreement by the Holders holding a majority of Registrable Securities then outstanding (such approval not to be unreasonably withheld, conditioned or delayed).</w:t>
      </w:r>
    </w:p>
    <w:p>
      <w:pPr>
        <w:spacing w:after="0" w:line="18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Security</w:t>
      </w:r>
      <w:r>
        <w:rPr>
          <w:rFonts w:ascii="Arial" w:cs="Arial" w:eastAsia="Arial" w:hAnsi="Arial"/>
          <w:sz w:val="16"/>
          <w:szCs w:val="16"/>
          <w:color w:val="auto"/>
        </w:rPr>
        <w:t>” shall mean (i) any outstanding shares of Common Stock or any warrants to purchase shares of Common Stock and (ii) shares of Common Stock issued or issuable upon the exercise or conversion of any warrants or equity awards of the Company, in each case held by a Holder immediately following the Closing (including any warrants or equity awards distributable pursuant to the Merger Agreement, any Founder Shares, any warrants issued or issuable in connection with MedTech’s initial public offering or concurrent private placement and any Working Capital Warrants) and</w:t>
      </w:r>
    </w:p>
    <w:p>
      <w:pPr>
        <w:spacing w:after="0" w:line="1" w:lineRule="exact"/>
        <w:rPr>
          <w:sz w:val="20"/>
          <w:szCs w:val="20"/>
          <w:color w:val="auto"/>
        </w:rPr>
      </w:pPr>
    </w:p>
    <w:p>
      <w:pPr>
        <w:ind w:firstLine="8"/>
        <w:spacing w:after="0" w:line="268" w:lineRule="auto"/>
        <w:tabs>
          <w:tab w:leader="none" w:pos="315"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any other equity security of the Company issued or issuable with respect to any such securities by way of a stock dividend, share capitalization or share sub-division or in connection with a reclassification, recapitalization, merger, consolidation, spin-off, reorganization or similar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or book entry provisions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without limitation as to volume and manner of sale or public information requirements; or (e) such securities have been sold to, or through, a broker, dealer or underwriter in a public distribution or other public securities transaction.</w:t>
      </w:r>
    </w:p>
    <w:p>
      <w:pPr>
        <w:spacing w:after="0" w:line="179"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shall mean a registration, including an Underwritten Shelf Takedown,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8" w:name="page89"/>
    <w:bookmarkEnd w:id="88"/>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the following:</w:t>
      </w:r>
    </w:p>
    <w:p>
      <w:pPr>
        <w:spacing w:after="0" w:line="225" w:lineRule="exact"/>
        <w:rPr>
          <w:sz w:val="20"/>
          <w:szCs w:val="20"/>
          <w:color w:val="auto"/>
        </w:rPr>
      </w:pPr>
    </w:p>
    <w:p>
      <w:pPr>
        <w:ind w:right="340" w:firstLine="1304"/>
        <w:spacing w:after="0" w:line="277" w:lineRule="auto"/>
        <w:tabs>
          <w:tab w:leader="none" w:pos="15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70" w:lineRule="exact"/>
        <w:rPr>
          <w:rFonts w:ascii="Arial" w:cs="Arial" w:eastAsia="Arial" w:hAnsi="Arial"/>
          <w:sz w:val="18"/>
          <w:szCs w:val="18"/>
          <w:color w:val="auto"/>
        </w:rPr>
      </w:pPr>
    </w:p>
    <w:p>
      <w:pPr>
        <w:ind w:right="220" w:firstLine="1304"/>
        <w:spacing w:after="0" w:line="277" w:lineRule="auto"/>
        <w:tabs>
          <w:tab w:leader="none" w:pos="1581"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reasonable printing, messenger, telephone and delivery expenses;</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right="640" w:firstLine="1304"/>
        <w:spacing w:after="0" w:line="277" w:lineRule="auto"/>
        <w:tabs>
          <w:tab w:leader="none" w:pos="1571"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w:t>
      </w:r>
    </w:p>
    <w:p>
      <w:pPr>
        <w:spacing w:after="0" w:line="170" w:lineRule="exact"/>
        <w:rPr>
          <w:rFonts w:ascii="Arial" w:cs="Arial" w:eastAsia="Arial" w:hAnsi="Arial"/>
          <w:sz w:val="18"/>
          <w:szCs w:val="18"/>
          <w:color w:val="auto"/>
        </w:rPr>
      </w:pPr>
    </w:p>
    <w:p>
      <w:pPr>
        <w:ind w:right="140" w:firstLine="1304"/>
        <w:spacing w:after="0" w:line="277" w:lineRule="auto"/>
        <w:tabs>
          <w:tab w:leader="none" w:pos="15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and expenses of the Company relating to analyst and investor presentations or any “road show” undertaken in connection with the Registration and/or marketing of the Registrable Securities; and</w:t>
      </w:r>
    </w:p>
    <w:p>
      <w:pPr>
        <w:spacing w:after="0" w:line="170" w:lineRule="exact"/>
        <w:rPr>
          <w:rFonts w:ascii="Arial" w:cs="Arial" w:eastAsia="Arial" w:hAnsi="Arial"/>
          <w:sz w:val="18"/>
          <w:szCs w:val="18"/>
          <w:color w:val="auto"/>
        </w:rPr>
      </w:pPr>
    </w:p>
    <w:p>
      <w:pPr>
        <w:ind w:right="100" w:firstLine="1304"/>
        <w:spacing w:after="0" w:line="263" w:lineRule="auto"/>
        <w:tabs>
          <w:tab w:leader="none" w:pos="15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reasonable fees and expenses up to $35,000 of one (1) legal counsel selected by the majority-in-interest of the Demanding Holders initiating a Demand Registration to be registered for offer and sale in the applicable Registration or majority-in-interest of the Takedown Demanding Holders initiating an Underwritten Shelf Takedown.</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w:t>
      </w:r>
      <w:r>
        <w:rPr>
          <w:rFonts w:ascii="Arial" w:cs="Arial" w:eastAsia="Arial" w:hAnsi="Arial"/>
          <w:sz w:val="18"/>
          <w:szCs w:val="18"/>
          <w:color w:val="auto"/>
        </w:rPr>
        <w:t>” shall mean the Form S-1 Shelf, the Form S-3 Shelf or any Subsequent Shelf Registration Statement, as the case may be.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Registration</w:t>
      </w:r>
      <w:r>
        <w:rPr>
          <w:rFonts w:ascii="Arial" w:cs="Arial" w:eastAsia="Arial" w:hAnsi="Arial"/>
          <w:sz w:val="18"/>
          <w:szCs w:val="18"/>
          <w:color w:val="auto"/>
        </w:rPr>
        <w:t>” shall mean a Registration of Registrable Securities pursuant to a registration statement filed with the Commission in accordance with and pursuant to Rule 415 promulgated under the Securities Act (or any successor rule then in effect).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Preamble hereto.</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 Support Agreement</w:t>
      </w:r>
      <w:r>
        <w:rPr>
          <w:rFonts w:ascii="Arial" w:cs="Arial" w:eastAsia="Arial" w:hAnsi="Arial"/>
          <w:sz w:val="18"/>
          <w:szCs w:val="18"/>
          <w:color w:val="auto"/>
        </w:rPr>
        <w:t>” shall mean that certain Sponsor Support Agreement, dated as of November 11, 2022, by and among the Sponsor, MedTech and the Company.</w:t>
      </w:r>
    </w:p>
    <w:p>
      <w:pPr>
        <w:spacing w:after="0" w:line="1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Subscription Agreement</w:t>
      </w:r>
      <w:r>
        <w:rPr>
          <w:rFonts w:ascii="Arial" w:cs="Arial" w:eastAsia="Arial" w:hAnsi="Arial"/>
          <w:sz w:val="18"/>
          <w:szCs w:val="18"/>
          <w:color w:val="auto"/>
        </w:rPr>
        <w:t>” shall mean that certain Securities Subscription Agreement, dated as of September 11, 2020, between the Sponsor and MedTech.</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Shelf Registration Statement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2.3.3</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Takedown Demanding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2.3.4</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Takedown 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89" w:name="page90"/>
    <w:bookmarkEnd w:id="89"/>
    <w:p>
      <w:pPr>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Shelf Takedown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2.3.4</w:t>
      </w:r>
      <w:r>
        <w:rPr>
          <w:rFonts w:ascii="Arial" w:cs="Arial" w:eastAsia="Arial" w:hAnsi="Arial"/>
          <w:sz w:val="18"/>
          <w:szCs w:val="18"/>
          <w:color w:val="auto"/>
        </w:rPr>
        <w:t>.</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Warrants</w:t>
      </w:r>
      <w:r>
        <w:rPr>
          <w:rFonts w:ascii="Arial" w:cs="Arial" w:eastAsia="Arial" w:hAnsi="Arial"/>
          <w:sz w:val="18"/>
          <w:szCs w:val="18"/>
          <w:color w:val="auto"/>
        </w:rPr>
        <w:t>” shall mean warrants to purchase Common Stock issuable upon the conversion of loans made to the Company by the Sponsor, an affiliate of the Sponsor, or an officer or director of the Company.</w:t>
      </w:r>
    </w:p>
    <w:p>
      <w:pPr>
        <w:spacing w:after="0" w:line="17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Interpretive Provisions</w:t>
      </w:r>
      <w:r>
        <w:rPr>
          <w:rFonts w:ascii="Arial" w:cs="Arial" w:eastAsia="Arial" w:hAnsi="Arial"/>
          <w:sz w:val="18"/>
          <w:szCs w:val="18"/>
          <w:color w:val="auto"/>
        </w:rPr>
        <w:t>. For all purposes of this Agreement, except as otherwise provided in this Agreement or unless the context otherwise requires: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1.2.1 the singular shall include the plural, and the plural shall include the singular, unless the context clearly prohibits that construction.</w:t>
      </w:r>
    </w:p>
    <w:p>
      <w:pPr>
        <w:spacing w:after="0" w:line="237" w:lineRule="exact"/>
        <w:rPr>
          <w:sz w:val="20"/>
          <w:szCs w:val="20"/>
          <w:color w:val="auto"/>
        </w:rPr>
      </w:pPr>
    </w:p>
    <w:p>
      <w:pPr>
        <w:ind w:right="460" w:firstLine="992"/>
        <w:spacing w:after="0" w:line="277" w:lineRule="auto"/>
        <w:rPr>
          <w:sz w:val="20"/>
          <w:szCs w:val="20"/>
          <w:color w:val="auto"/>
        </w:rPr>
      </w:pPr>
      <w:r>
        <w:rPr>
          <w:rFonts w:ascii="Arial" w:cs="Arial" w:eastAsia="Arial" w:hAnsi="Arial"/>
          <w:sz w:val="18"/>
          <w:szCs w:val="18"/>
          <w:color w:val="auto"/>
        </w:rPr>
        <w:t>1.2.2 the words “hereof,” “herein,” “hereunder” and words of similar import, when used in this Agreement, refer to this Agreement as a whole and not to any particular provision of this Agreement.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1.2.3 references in this Agreement to any law shall be deemed also to refer to such law, and all rules and regulations promulgated thereunder.</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1.2.4 whenever the words “include,” “includes” or “including” are used in this Agreement, they shall mean “without limitation.”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1.2.5 the captions and headings of this Agreement are for convenience of reference only and shall not affect the interpretation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1.2.6 pronouns of any gender or neuter shall include, as appropriate, the other pronoun forms.</w:t>
      </w:r>
    </w:p>
    <w:p>
      <w:pPr>
        <w:spacing w:after="0" w:line="225" w:lineRule="exact"/>
        <w:rPr>
          <w:sz w:val="20"/>
          <w:szCs w:val="20"/>
          <w:color w:val="auto"/>
        </w:rPr>
      </w:pPr>
    </w:p>
    <w:p>
      <w:pPr>
        <w:ind w:firstLine="992"/>
        <w:spacing w:after="0" w:line="277" w:lineRule="auto"/>
        <w:rPr>
          <w:sz w:val="20"/>
          <w:szCs w:val="20"/>
          <w:color w:val="auto"/>
        </w:rPr>
      </w:pPr>
      <w:r>
        <w:rPr>
          <w:rFonts w:ascii="Arial" w:cs="Arial" w:eastAsia="Arial" w:hAnsi="Arial"/>
          <w:sz w:val="18"/>
          <w:szCs w:val="18"/>
          <w:color w:val="auto"/>
        </w:rPr>
        <w:t>1.2.7 the word “or” shall be construed to mean “and/or” and the words “neither,” “nor,” “any,” “either” and “or” shall not be exclusive, unless the context clearly prohibits that construction.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ind w:firstLine="972"/>
        <w:spacing w:after="0" w:line="267"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Request for Registration</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subsections 2.1.4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hereof, at any time and from time to time on or after the date the Company consummates the Business Combination, any Demanding Holder may make a written demand for Registration of all or part of their Registrable Securities, which written demand shall describe the amount and type of securities to be included in such Registration and the intended method(s) of distribution thereof separate from a Shelf Registration or Underwritten Shelf Takedown (such written demand a “</w:t>
      </w:r>
      <w:r>
        <w:rPr>
          <w:rFonts w:ascii="Arial" w:cs="Arial" w:eastAsia="Arial" w:hAnsi="Arial"/>
          <w:sz w:val="17"/>
          <w:szCs w:val="17"/>
          <w:b w:val="1"/>
          <w:bCs w:val="1"/>
          <w:i w:val="1"/>
          <w:iCs w:val="1"/>
          <w:color w:val="auto"/>
        </w:rPr>
        <w:t>Demand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The Company shall, within five (5) Business Days of the Company’s receipt of the Demand Registration, notify, in writing, all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7"/>
          <w:szCs w:val="17"/>
          <w:b w:val="1"/>
          <w:bCs w:val="1"/>
          <w:i w:val="1"/>
          <w:iCs w:val="1"/>
          <w:color w:val="auto"/>
        </w:rPr>
        <w:t>Requesting Holder</w:t>
      </w:r>
      <w:r>
        <w:rPr>
          <w:rFonts w:ascii="Arial" w:cs="Arial" w:eastAsia="Arial" w:hAnsi="Arial"/>
          <w:sz w:val="17"/>
          <w:szCs w:val="17"/>
          <w:color w:val="auto"/>
        </w:rPr>
        <w:t>”) shall so notify the Company, in writing, within five (5)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use commercially reasonable efforts to file, as soon thereafter as reasonably practicable, but not more than forty-five (45) days after the Company’s receipt of the Demand Registration, a Registration Statement on Form S-1 or any similar long-form registration statement that may be available at such time (“</w:t>
      </w:r>
      <w:r>
        <w:rPr>
          <w:rFonts w:ascii="Arial" w:cs="Arial" w:eastAsia="Arial" w:hAnsi="Arial"/>
          <w:sz w:val="17"/>
          <w:szCs w:val="17"/>
          <w:b w:val="1"/>
          <w:bCs w:val="1"/>
          <w:i w:val="1"/>
          <w:iCs w:val="1"/>
          <w:color w:val="auto"/>
        </w:rPr>
        <w:t>Form S-1</w:t>
      </w:r>
      <w:r>
        <w:rPr>
          <w:rFonts w:ascii="Arial" w:cs="Arial" w:eastAsia="Arial" w:hAnsi="Arial"/>
          <w:sz w:val="17"/>
          <w:szCs w:val="17"/>
          <w:color w:val="auto"/>
        </w:rPr>
        <w:t xml:space="preserve">”) for the Registration of all Registrable Securities requested by the Demanding Holders and Requesting Holders pursuant to such Demand Registration, and use commercially reasonable efforts to cause such Form S-1 to be declared effective as soon as reasonably practicable after its initial filing. Under no circumstances shall the Company be obligated to effect more than an aggregate of one (1) Registration per Demanding Holder pursuant to a Demand Registration under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with respect to any or all Registrable Securities. Notwithstanding anything to the contrary herein, to the extent there is an active Form S-3 Shelf covering a Holder’s or Holders’ Registrable Securities,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shall be inapplicable and any request by such Holder or Holders to conduct an Underwritten Offering shall follow the procedures of </w:t>
      </w:r>
      <w:r>
        <w:rPr>
          <w:rFonts w:ascii="Arial" w:cs="Arial" w:eastAsia="Arial" w:hAnsi="Arial"/>
          <w:sz w:val="17"/>
          <w:szCs w:val="17"/>
          <w:u w:val="single" w:color="auto"/>
          <w:color w:val="auto"/>
        </w:rPr>
        <w:t>subsection 2.3.4</w:t>
      </w:r>
      <w:r>
        <w:rPr>
          <w:rFonts w:ascii="Arial" w:cs="Arial" w:eastAsia="Arial" w:hAnsi="Arial"/>
          <w:sz w:val="17"/>
          <w:szCs w:val="17"/>
          <w:color w:val="auto"/>
        </w:rPr>
        <w:t xml:space="preserve"> herein and shall be counted as an Underwritten Shelf Takedown.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0" w:name="page91"/>
    <w:bookmarkEnd w:id="90"/>
    <w:p>
      <w:pPr>
        <w:ind w:right="20" w:firstLine="972"/>
        <w:spacing w:after="0" w:line="287"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Effective Registration</w:t>
      </w:r>
      <w:r>
        <w:rPr>
          <w:rFonts w:ascii="Arial" w:cs="Arial" w:eastAsia="Arial" w:hAnsi="Arial"/>
          <w:sz w:val="16"/>
          <w:szCs w:val="16"/>
          <w:color w:val="auto"/>
        </w:rPr>
        <w:t xml:space="preserve">. Notwithstanding the provisions of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then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after the removal, recission or other termination of such stop order or injunction, of such election;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72" w:lineRule="exact"/>
        <w:rPr>
          <w:sz w:val="20"/>
          <w:szCs w:val="20"/>
          <w:color w:val="auto"/>
        </w:rPr>
      </w:pPr>
    </w:p>
    <w:p>
      <w:pPr>
        <w:ind w:firstLine="972"/>
        <w:spacing w:after="0" w:line="289"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subsections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at any time and from time to time on or after the date the Company consummates the Business Combination, if a majority in interest of the Demanding Holders so advise the Company as part of their Demand Registration that the offering of the Registrable Securities pursuant to such Demand Registration shall be in the form of an Underwritten Offering, then the right of such Demanding Holders and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shall enter into an underwriting agreement in customary form with the Underwriter(s) selected for such Underwritten Offering by the majority in interest of the Demanding Holders initiating the Demand Registration and shall execute a customary lock-up agreement in favor of the Underwriters (in each case on substantially the same terms and conditions as all such Holders participating in such Underwritten Offering).</w:t>
      </w:r>
    </w:p>
    <w:p>
      <w:pPr>
        <w:spacing w:after="0" w:line="166" w:lineRule="exact"/>
        <w:rPr>
          <w:sz w:val="20"/>
          <w:szCs w:val="20"/>
          <w:color w:val="auto"/>
        </w:rPr>
      </w:pPr>
    </w:p>
    <w:p>
      <w:pPr>
        <w:ind w:right="60" w:firstLine="972"/>
        <w:spacing w:after="0" w:line="283"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Underwritten Offering</w:t>
      </w:r>
      <w:r>
        <w:rPr>
          <w:rFonts w:ascii="Arial" w:cs="Arial" w:eastAsia="Arial" w:hAnsi="Arial"/>
          <w:sz w:val="16"/>
          <w:szCs w:val="16"/>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6"/>
          <w:szCs w:val="16"/>
          <w:b w:val="1"/>
          <w:bCs w:val="1"/>
          <w:i w:val="1"/>
          <w:iCs w:val="1"/>
          <w:color w:val="auto"/>
        </w:rPr>
        <w:t>Maximum Number of Securities</w:t>
      </w:r>
      <w:r>
        <w:rPr>
          <w:rFonts w:ascii="Arial" w:cs="Arial" w:eastAsia="Arial" w:hAnsi="Arial"/>
          <w:sz w:val="16"/>
          <w:szCs w:val="16"/>
          <w:color w:val="auto"/>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that can be sold without exceeding the Maximum Number of Securities; (ii) second, to the extent that the Maximum Number of Securities has not been reached under the foregoing clause (i), the Common Stock or other equity securities that the Company desires to sell, which can be sold without exceeding the Maximum Number of Securities; and</w:t>
      </w:r>
    </w:p>
    <w:p>
      <w:pPr>
        <w:spacing w:after="0" w:line="2" w:lineRule="exact"/>
        <w:rPr>
          <w:sz w:val="20"/>
          <w:szCs w:val="20"/>
          <w:color w:val="auto"/>
        </w:rPr>
      </w:pPr>
    </w:p>
    <w:p>
      <w:pPr>
        <w:ind w:firstLine="8"/>
        <w:spacing w:after="0" w:line="252" w:lineRule="auto"/>
        <w:tabs>
          <w:tab w:leader="none" w:pos="3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third, to the extent that the Maximum Number of Securities has not been reached under the foregoing clauses (i) and (ii), the Registrable Securities of Holders (pro rata, based on the respective number of Registrable Securities that each Holder has requested be included in such Underwritten Registration) exercising their rights to register their Registrable Securities pursuant to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hereof; and (iv) fourth, to the extent that the Maximum Number of Securities has not been reached under the foregoing clauses (i), (ii) and (iii), the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ind w:right="20" w:firstLine="972"/>
        <w:spacing w:after="0" w:line="293"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Demand Registration Withdrawal</w:t>
      </w:r>
      <w:r>
        <w:rPr>
          <w:rFonts w:ascii="Arial" w:cs="Arial" w:eastAsia="Arial" w:hAnsi="Arial"/>
          <w:sz w:val="16"/>
          <w:szCs w:val="16"/>
          <w:color w:val="auto"/>
        </w:rPr>
        <w:t xml:space="preserve">. A Demanding Holder shall have the right to withdraw all or any portion of its Registrable Securities included in a Demand Registration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for any or no reason whatsoever upon written notification to the Company and the Underwriter or Underwriters (if any) of their intention to withdraw from such Registration prior to the effectiveness of the Registration Statement filed with the Commission pursuant to such Demand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withdrawn amount shall still be considered a Demand Registration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6"/>
          <w:szCs w:val="16"/>
          <w:u w:val="single" w:color="auto"/>
          <w:color w:val="auto"/>
        </w:rPr>
        <w:t>subsection 2.1.5</w:t>
      </w:r>
      <w:r>
        <w:rPr>
          <w:rFonts w:ascii="Arial" w:cs="Arial" w:eastAsia="Arial" w:hAnsi="Arial"/>
          <w:sz w:val="16"/>
          <w:szCs w:val="16"/>
          <w:color w:val="auto"/>
        </w:rPr>
        <w:t>.</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ind w:firstLine="972"/>
        <w:spacing w:after="0" w:line="284"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on or after the date the Company consummates the Business Combination, the Company proposes to file a Registration Statement on Form S-3 under the Securities Act with respect to an offering of equity securities of the Company, or securities or other obligations exercisable or exchangeable for, or convertible into equity securities of the Company, for its own account or for the account of stockholders of the Company (or by the Company and by the stockholders of the Company including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subsection 2.3.4</w:t>
      </w:r>
      <w:r>
        <w:rPr>
          <w:rFonts w:ascii="Arial" w:cs="Arial" w:eastAsia="Arial" w:hAnsi="Arial"/>
          <w:sz w:val="16"/>
          <w:szCs w:val="16"/>
          <w:color w:val="auto"/>
        </w:rPr>
        <w:t xml:space="preserve"> hereof), other than a Registration Statement (or any registered offering with respect thereto) (i) filed in connection with any employee share option or other benefit plan on Form S-8 (or other successor registration statement form thereof), (ii) pursuant to a Registration Statement on Form S-4 (or other successor registration statement form thereof or similar form that relates to a transaction subject to Rule 145 under the Securities Act or any successor rule thereto), (iii) for an offering of debt that is convertible into equity securities of the Company, (iv) for an exchange offer or offering of securities solely to the Company’s existing stockholders, (v) for a dividend reinvestment plan, (vi) for a rights offering, (vii) for the exercise of any warrants, (viii) for a Block Trade, (ix) for an equity line of credit, or (x) for an at-the-market offering of securities, then the Company shall give written notice of such proposed filing to all of the Holders of Registrable Securities and the holders of other equity securities that the Company is obligated to register in a Registration (collectively, the “</w:t>
      </w:r>
      <w:r>
        <w:rPr>
          <w:rFonts w:ascii="Arial" w:cs="Arial" w:eastAsia="Arial" w:hAnsi="Arial"/>
          <w:sz w:val="16"/>
          <w:szCs w:val="16"/>
          <w:b w:val="1"/>
          <w:bCs w:val="1"/>
          <w:i w:val="1"/>
          <w:iCs w:val="1"/>
          <w:color w:val="auto"/>
        </w:rPr>
        <w:t>Other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Holders</w:t>
      </w:r>
      <w:r>
        <w:rPr>
          <w:rFonts w:ascii="Arial" w:cs="Arial" w:eastAsia="Arial" w:hAnsi="Arial"/>
          <w:sz w:val="16"/>
          <w:szCs w:val="16"/>
          <w:color w:val="auto"/>
        </w:rPr>
        <w:t>”) pursuant to separate written contractual piggy-back registration rights, as soon as reasonably practicable but not less than five (5) Business Days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the anticipated filing date of such Registration Statement, or, in the case of an Underwritten Offering pursuant to a Shelf Registration, the anticipated filing of the applicable “red herring” prospectus or prospectus supplement, which notice shall (A) describe the amount and type of securities to be included in such offering, the intended method(s) of distribution, and the name of the proposed managing Underwriter or Underwriters, if any and if known, in such offering, and (B) offer to all of the Holders of Registrable Securities the opportunity to include in such registered offering such number of Registrable Securities as such Holders may request in writing within five (5) days after receipt of such written notice (such Registration a “</w:t>
      </w:r>
      <w:r>
        <w:rPr>
          <w:rFonts w:ascii="Arial" w:cs="Arial" w:eastAsia="Arial" w:hAnsi="Arial"/>
          <w:sz w:val="16"/>
          <w:szCs w:val="16"/>
          <w:b w:val="1"/>
          <w:bCs w:val="1"/>
          <w:i w:val="1"/>
          <w:iCs w:val="1"/>
          <w:color w:val="auto"/>
        </w:rPr>
        <w:t>Piggyback 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Holder agrees that the fact that such a notice has been delivered shall constitute material non-public confidential information. Subject to </w:t>
      </w:r>
      <w:r>
        <w:rPr>
          <w:rFonts w:ascii="Arial" w:cs="Arial" w:eastAsia="Arial" w:hAnsi="Arial"/>
          <w:sz w:val="16"/>
          <w:szCs w:val="16"/>
          <w:u w:val="single" w:color="auto"/>
          <w:color w:val="auto"/>
        </w:rPr>
        <w:t>subsection 2.2.2</w:t>
      </w:r>
      <w:r>
        <w:rPr>
          <w:rFonts w:ascii="Arial" w:cs="Arial" w:eastAsia="Arial" w:hAnsi="Arial"/>
          <w:sz w:val="16"/>
          <w:szCs w:val="16"/>
          <w:color w:val="auto"/>
        </w:rPr>
        <w:t xml:space="preserve">, the Company shall, in good faith, cause such Registrable Securities and the securities of any Other Holders, to be included in such Piggyback Registration and shall use commercially reasonable efforts to cause the managing Underwriter or Underwriters of a proposed Underwritten Offering to permit the Registrable Securities requested by the Holders or Other Holders, as applicable, pursuant to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shall enter into an underwriting agreement in customary form with the Underwriter or Underwriters selected for such Underwritten Offering by the Company and shall execute a customary lock-up agreement in favor of the Underwriter or Underwriters (in each case on substantially the same terms and conditions as all such Holders participating in such Underwritten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ind w:firstLine="972"/>
        <w:spacing w:after="0" w:line="254"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Reduction of Piggyback Registration</w:t>
      </w:r>
      <w:r>
        <w:rPr>
          <w:rFonts w:ascii="Arial" w:cs="Arial" w:eastAsia="Arial" w:hAnsi="Arial"/>
          <w:sz w:val="18"/>
          <w:szCs w:val="18"/>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shares of Common Stock or other equity securities that the Company desires to sell, taken together with (i) the shares of Common Stock, if any, as to which Registration has been demanded pursuant to separate written contractual arrangements with any Other Holders, (ii) the Registrable Securities as to which Registration has been requested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and (iii) the shares of Common Stock, if any, as to which Registration has been requested pursuant to separate written contractual piggy-back registration rights of Other Holders, exceeds the Maximum Number of Securities, then:</w:t>
      </w:r>
    </w:p>
    <w:p>
      <w:pPr>
        <w:spacing w:after="0" w:line="195" w:lineRule="exact"/>
        <w:rPr>
          <w:sz w:val="20"/>
          <w:szCs w:val="20"/>
          <w:color w:val="auto"/>
        </w:rPr>
      </w:pPr>
    </w:p>
    <w:p>
      <w:pPr>
        <w:ind w:right="20" w:firstLine="1304"/>
        <w:spacing w:after="0" w:line="290" w:lineRule="auto"/>
        <w:tabs>
          <w:tab w:leader="none" w:pos="1541"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If the Registration is initiated and undertaken for the Company’s account, the Company shall include in any such Registration (i) first, the Common Stock or other equity securities that the Company desires to sell, which can be sold without exceeding the Maximum Number of Securities and; (ii) second, to the extent that the Maximum Number of Securities has not been reached under the foregoing clause (i),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and the Common Stock, if any, as to which Registration has been requested by any Other Holders pursuant to separate written contractual piggy-back registration rights (pro rata based on the respective number of Registrable Securities or shares of Common Stock that such Holder or Other Holder, as applicable, has requested be included in such Piggyback Registration relative to the total number of Registrable Securities and shares of Common Stock that all Holders and Other Holders have requested be included in such Piggyback Registration), which can be sold without exceeding the Maximum Number of Securities;</w:t>
      </w:r>
    </w:p>
    <w:p>
      <w:pPr>
        <w:spacing w:after="0" w:line="165" w:lineRule="exact"/>
        <w:rPr>
          <w:rFonts w:ascii="Arial" w:cs="Arial" w:eastAsia="Arial" w:hAnsi="Arial"/>
          <w:sz w:val="16"/>
          <w:szCs w:val="16"/>
          <w:color w:val="auto"/>
        </w:rPr>
      </w:pPr>
    </w:p>
    <w:p>
      <w:pPr>
        <w:ind w:firstLine="1304"/>
        <w:spacing w:after="0" w:line="284" w:lineRule="auto"/>
        <w:tabs>
          <w:tab w:leader="none" w:pos="1551"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If the Registration is not initiated and undertaken for the Company’s account and is pursuant to a request by persons or entities other than the Holders of Registrable Securities, then the Company shall include in any such Registration (i) first, the Common Stock or other equity securities, if any, of such requesting persons or entities, other than the Holders of Registrable Securities, which can be sold without exceeding the Maximum Number of Securities; (ii)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(pro rata based on the respective number of Registrable Securities that such Holder has requested be included in such Piggyback Registration relative to the total number of Registrable Securities that all Holders have requested be included in such Piggyback Registration), which can be sold without exceeding the Maximum Number of Securities;</w:t>
      </w:r>
    </w:p>
    <w:p>
      <w:pPr>
        <w:spacing w:after="0" w:line="2" w:lineRule="exact"/>
        <w:rPr>
          <w:rFonts w:ascii="Arial" w:cs="Arial" w:eastAsia="Arial" w:hAnsi="Arial"/>
          <w:sz w:val="16"/>
          <w:szCs w:val="16"/>
          <w:color w:val="auto"/>
        </w:rPr>
      </w:pPr>
    </w:p>
    <w:p>
      <w:pPr>
        <w:ind w:right="20" w:firstLine="8"/>
        <w:spacing w:after="0" w:line="269" w:lineRule="auto"/>
        <w:tabs>
          <w:tab w:leader="none" w:pos="31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third, to the extent that the Maximum Number of Securities has not been reached under the foregoing clauses (i) and (ii), the Common Stock or other equity securities that the Company desires to sell, which can be sold without exceeding the Maximum Number of Securities; and (iv) fourth, to the extent that the Maximum Number of Securities has not been reached under the foregoing clauses (i), (ii) and (iii), the Common Stock or other equity securities for the account of any other persons or entities that the Company is obligated to register pursuant to separate written contractual arrangements with such other person or entity (pro rata based on the shares of Common Stock that such other person or entity, as applicable, has requested be included in such Piggyback Registration relative to the total number of shares of Common Stock that such other persons or entities have requested be included in such Piggyback Registration), which can be sold without exceeding the Maximum Number of Securities.</w:t>
      </w:r>
    </w:p>
    <w:p>
      <w:pPr>
        <w:spacing w:after="0" w:line="180" w:lineRule="exact"/>
        <w:rPr>
          <w:sz w:val="20"/>
          <w:szCs w:val="20"/>
          <w:color w:val="auto"/>
        </w:rPr>
      </w:pPr>
    </w:p>
    <w:p>
      <w:pPr>
        <w:ind w:right="120" w:firstLine="972"/>
        <w:spacing w:after="0" w:line="270"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u w:val="single" w:color="auto"/>
          <w:color w:val="auto"/>
        </w:rPr>
        <w:t>Piggyback Registration Withdrawal</w:t>
      </w:r>
      <w:r>
        <w:rPr>
          <w:rFonts w:ascii="Arial" w:cs="Arial" w:eastAsia="Arial" w:hAnsi="Arial"/>
          <w:sz w:val="17"/>
          <w:szCs w:val="17"/>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7"/>
          <w:szCs w:val="17"/>
          <w:u w:val="single" w:color="auto"/>
          <w:color w:val="auto"/>
        </w:rPr>
        <w:t>subsection 2.2.3</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3" w:name="page94"/>
    <w:bookmarkEnd w:id="93"/>
    <w:p>
      <w:pPr>
        <w:jc w:val="both"/>
        <w:ind w:right="120" w:firstLine="972"/>
        <w:spacing w:after="0" w:line="263"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or Underwritten Shelf Takedown effected under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2.3.4</w:t>
      </w:r>
      <w:r>
        <w:rPr>
          <w:rFonts w:ascii="Arial" w:cs="Arial" w:eastAsia="Arial" w:hAnsi="Arial"/>
          <w:sz w:val="18"/>
          <w:szCs w:val="18"/>
          <w:color w:val="auto"/>
        </w:rPr>
        <w:t xml:space="preserve"> hereof.</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Shelf Registrations</w:t>
      </w:r>
      <w:r>
        <w:rPr>
          <w:rFonts w:ascii="Arial" w:cs="Arial" w:eastAsia="Arial" w:hAnsi="Arial"/>
          <w:sz w:val="18"/>
          <w:szCs w:val="18"/>
          <w:color w:val="auto"/>
        </w:rPr>
        <w:t>.</w:t>
      </w:r>
    </w:p>
    <w:p>
      <w:pPr>
        <w:spacing w:after="0" w:line="225" w:lineRule="exact"/>
        <w:rPr>
          <w:sz w:val="20"/>
          <w:szCs w:val="20"/>
          <w:color w:val="auto"/>
        </w:rPr>
      </w:pPr>
    </w:p>
    <w:p>
      <w:pPr>
        <w:ind w:firstLine="972"/>
        <w:spacing w:after="0" w:line="286"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Initial Shelf Registration</w:t>
      </w:r>
      <w:r>
        <w:rPr>
          <w:rFonts w:ascii="Arial" w:cs="Arial" w:eastAsia="Arial" w:hAnsi="Arial"/>
          <w:sz w:val="16"/>
          <w:szCs w:val="16"/>
          <w:color w:val="auto"/>
        </w:rPr>
        <w:t>. The Company shall file with the Commission within forty-five (45) days of the Closing, and use commercially reasonable efforts to cause to be declared effective as soon as reasonably practicable thereafter, a Registration Statement for a Shelf Registration on Form S-1 (the “</w:t>
      </w:r>
      <w:r>
        <w:rPr>
          <w:rFonts w:ascii="Arial" w:cs="Arial" w:eastAsia="Arial" w:hAnsi="Arial"/>
          <w:sz w:val="16"/>
          <w:szCs w:val="16"/>
          <w:b w:val="1"/>
          <w:bCs w:val="1"/>
          <w:i w:val="1"/>
          <w:iCs w:val="1"/>
          <w:color w:val="auto"/>
        </w:rPr>
        <w:t>Form S-1 Shelf</w:t>
      </w:r>
      <w:r>
        <w:rPr>
          <w:rFonts w:ascii="Arial" w:cs="Arial" w:eastAsia="Arial" w:hAnsi="Arial"/>
          <w:sz w:val="16"/>
          <w:szCs w:val="16"/>
          <w:color w:val="auto"/>
        </w:rPr>
        <w:t>”) or, if the Company is eligible to use a Registration Statement on Form S-3, a Shelf Registration on Form S-3 (the “</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Shelf</w:t>
      </w:r>
      <w:r>
        <w:rPr>
          <w:rFonts w:ascii="Arial" w:cs="Arial" w:eastAsia="Arial" w:hAnsi="Arial"/>
          <w:sz w:val="16"/>
          <w:szCs w:val="16"/>
          <w:color w:val="auto"/>
        </w:rPr>
        <w:t>”), in each case, covering the resale of all the Registrable Securities (determined as of two (2) Business Days prior to such filing) on a delayed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continuous basis. Such Shelf shall provide for the resale of the Registrable Securities included therein pursuant to any method or combination of methods legally available to, and requested by, any Holder named therein. The Company shall use its commercially reasonable efforts to maintain a Shelf in accordance with the terms of this Agreement, and shall use its commercially reasonable efforts to prepare and file with the Commission such amendments, including post-effective amendments, and supplements as may be necessary to keep a Shelf continuously effective, available for use and in compliance with the provisions of the Securities Act until such time as there are no longer any Registrable Securities, subject to Section 3.4 hereof. In the event the Company files a Form S-1 Shelf, the Company shall use its commercially reasonable efforts to convert the Form S-1 Shelf (and any Subsequent Shelf Registration) to a Form S-3 Shelf as soon as practicable after the Company is eligible to use Form S-3, or any similar short form registration. Notwithstanding anything to the contrary herein, to the extent there is an active Form S-3 Shelf under this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covering a Holder’s or Holders’ Registrable Securities, and such Holder or Holders qualify as Demanding Holders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wish to request an Underwritten Offering, such Underwritten Offering shall follow the procedures of </w:t>
      </w:r>
      <w:r>
        <w:rPr>
          <w:rFonts w:ascii="Arial" w:cs="Arial" w:eastAsia="Arial" w:hAnsi="Arial"/>
          <w:sz w:val="16"/>
          <w:szCs w:val="16"/>
          <w:u w:val="single" w:color="auto"/>
          <w:color w:val="auto"/>
        </w:rPr>
        <w:t>subsection 2.3.4</w:t>
      </w:r>
      <w:r>
        <w:rPr>
          <w:rFonts w:ascii="Arial" w:cs="Arial" w:eastAsia="Arial" w:hAnsi="Arial"/>
          <w:sz w:val="16"/>
          <w:szCs w:val="16"/>
          <w:color w:val="auto"/>
        </w:rPr>
        <w:t>. The Company shall have the right to remove any persons no longer holding Registrable Securities from the Shelf or any other shelf registration statement by means of a post-effective amendment.</w:t>
      </w:r>
    </w:p>
    <w:p>
      <w:pPr>
        <w:spacing w:after="0" w:line="167" w:lineRule="exact"/>
        <w:rPr>
          <w:sz w:val="20"/>
          <w:szCs w:val="20"/>
          <w:color w:val="auto"/>
        </w:rPr>
      </w:pPr>
    </w:p>
    <w:p>
      <w:pPr>
        <w:ind w:firstLine="972"/>
        <w:spacing w:after="0" w:line="285"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on or after the expiration of the Lock-up Period applicable to the Registrable Securities of a Holder, to the extent that its Registrable Securities are not covered by an effective Shelf, request in writing that the Company, pursuant to Rule 415 under the Securities Act (or any successor rule promulgated thereafter by the Commission), register the resale of any or all of their Registrable Securities on Form S-3 or any similar short form registration statement that may be available at such time (“</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xml:space="preserve">”), or if the Company is a well-known seasoned issuer (as defined in Rule 405 under the Securities Act) on an automatic shelf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five (5) days after the receipt by the Holder of the notice from the Company. As soon as reasonably practicable thereafter, but not more than fifteen (15) days after the Company’s initial receipt of such written request for a Registration on Form S-3, the Company shall use commercially reasonable efforts to file a Form S-3 to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and shall use commercially reasonable efforts to cause such Form S-3 to be declared effective as soon as reasonably practicable after its initial filing;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be obligated to effect a Registration pursuant to this </w:t>
      </w:r>
      <w:r>
        <w:rPr>
          <w:rFonts w:ascii="Arial" w:cs="Arial" w:eastAsia="Arial" w:hAnsi="Arial"/>
          <w:sz w:val="16"/>
          <w:szCs w:val="16"/>
          <w:u w:val="single" w:color="auto"/>
          <w:color w:val="auto"/>
        </w:rPr>
        <w:t>subsection 2.3.2</w:t>
      </w:r>
      <w:r>
        <w:rPr>
          <w:rFonts w:ascii="Arial" w:cs="Arial" w:eastAsia="Arial" w:hAnsi="Arial"/>
          <w:sz w:val="16"/>
          <w:szCs w:val="16"/>
          <w:color w:val="auto"/>
        </w:rPr>
        <w:t xml:space="preserve"> hereof only if (i) Form S-3 is available for such Registration; and (ii) the Holders of Registrable Securities, together with the Holders of any other equity securities of the Company entitled to inclusion in such Registration, propose to sell Registrable Securities and such other equity securities (if any) with a total offering price to the public reasonably expected to exceed, in the aggregate, $20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4" w:name="page95"/>
    <w:bookmarkEnd w:id="94"/>
    <w:p>
      <w:pPr>
        <w:ind w:right="20" w:firstLine="972"/>
        <w:spacing w:after="0" w:line="285"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Subsequent Shelf Registration</w:t>
      </w:r>
      <w:r>
        <w:rPr>
          <w:rFonts w:ascii="Arial" w:cs="Arial" w:eastAsia="Arial" w:hAnsi="Arial"/>
          <w:sz w:val="16"/>
          <w:szCs w:val="16"/>
          <w:color w:val="auto"/>
        </w:rPr>
        <w:t xml:space="preserve">. If any Shelf ceases to be effective under the Securities Act for any reason at any time while Registrable Securities included thereon are still outstanding, the Company shall, subject to </w:t>
      </w:r>
      <w:r>
        <w:rPr>
          <w:rFonts w:ascii="Arial" w:cs="Arial" w:eastAsia="Arial" w:hAnsi="Arial"/>
          <w:sz w:val="16"/>
          <w:szCs w:val="16"/>
          <w:u w:val="single" w:color="auto"/>
          <w:color w:val="auto"/>
        </w:rPr>
        <w:t>Section 3.4</w:t>
      </w:r>
      <w:r>
        <w:rPr>
          <w:rFonts w:ascii="Arial" w:cs="Arial" w:eastAsia="Arial" w:hAnsi="Arial"/>
          <w:sz w:val="16"/>
          <w:szCs w:val="16"/>
          <w:color w:val="auto"/>
        </w:rPr>
        <w:t>, use its commercially reasonable efforts to as promptly as is reasonably practicable cause such Shelf to again become effective under the Securities Act (including obtaining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 “</w:t>
      </w:r>
      <w:r>
        <w:rPr>
          <w:rFonts w:ascii="Arial" w:cs="Arial" w:eastAsia="Arial" w:hAnsi="Arial"/>
          <w:sz w:val="16"/>
          <w:szCs w:val="16"/>
          <w:b w:val="1"/>
          <w:bCs w:val="1"/>
          <w:i w:val="1"/>
          <w:iCs w:val="1"/>
          <w:color w:val="auto"/>
        </w:rPr>
        <w:t>Subsequent Shelf Registration”</w:t>
      </w:r>
      <w:r>
        <w:rPr>
          <w:rFonts w:ascii="Arial" w:cs="Arial" w:eastAsia="Arial" w:hAnsi="Arial"/>
          <w:sz w:val="16"/>
          <w:szCs w:val="16"/>
          <w:color w:val="auto"/>
        </w:rPr>
        <w:t xml:space="preserve">) registering the resale of all Registrable Securities from time to time, and pursuant to any method or combination of methods legally available to, and reasonably requested by, any Holder named therein. If a Subsequent Shelf Registration is filed, the Company shall use its commercially reasonable efforts to (i) cause such Subsequent Shelf Registration to become effective under the Securities Act as promptly as is reasonably practicable after the filing thereof and (ii) keep such Subsequent Shelf Registration continuously effective, available for use to permit Holders named therein to sell their Registrable Securities included therein and in compliance with the provisions of the Securities Act until such time as there are no longer any Registrable Securities included thereon. Any such Subsequent Shelf Registration shall be on Form S-3, or any similar short form registration, to the extent that the Company is eligible to use such form. Without limiting the foregoing provisions of this Section 2.3.3, 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a Shelf (including by means of a post-effective amendment) or a Subsequent Shelf Registration and cause the same to be declared effective as soon as practicable after such filing and such Shelf or Subsequent Shelf Registration shall be subject to the terms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shall only be required to cause such Registrable Securities to be so covered twice annually after inquiry of the Holders.</w:t>
      </w:r>
    </w:p>
    <w:p>
      <w:pPr>
        <w:spacing w:after="0" w:line="174" w:lineRule="exact"/>
        <w:rPr>
          <w:sz w:val="20"/>
          <w:szCs w:val="20"/>
          <w:color w:val="auto"/>
        </w:rPr>
      </w:pPr>
    </w:p>
    <w:p>
      <w:pPr>
        <w:ind w:firstLine="972"/>
        <w:spacing w:after="0" w:line="267" w:lineRule="auto"/>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u w:val="single" w:color="auto"/>
          <w:color w:val="auto"/>
        </w:rPr>
        <w:t>Underwritten Shelf Takedown</w:t>
      </w:r>
      <w:r>
        <w:rPr>
          <w:rFonts w:ascii="Arial" w:cs="Arial" w:eastAsia="Arial" w:hAnsi="Arial"/>
          <w:sz w:val="17"/>
          <w:szCs w:val="17"/>
          <w:color w:val="auto"/>
        </w:rPr>
        <w:t>. At any time and from time to time after a Form S-3 Shelf has been declared effective by the Commission, any Demanding Holder (the “</w:t>
      </w:r>
      <w:r>
        <w:rPr>
          <w:rFonts w:ascii="Arial" w:cs="Arial" w:eastAsia="Arial" w:hAnsi="Arial"/>
          <w:sz w:val="17"/>
          <w:szCs w:val="17"/>
          <w:b w:val="1"/>
          <w:bCs w:val="1"/>
          <w:i w:val="1"/>
          <w:iCs w:val="1"/>
          <w:color w:val="auto"/>
        </w:rPr>
        <w:t>Takedown Demanding Holders</w:t>
      </w:r>
      <w:r>
        <w:rPr>
          <w:rFonts w:ascii="Arial" w:cs="Arial" w:eastAsia="Arial" w:hAnsi="Arial"/>
          <w:sz w:val="17"/>
          <w:szCs w:val="17"/>
          <w:color w:val="auto"/>
        </w:rPr>
        <w:t>”) may request to sell all or any portion of its Registrable Securities in an underwritten offering that is registered pursuant to the Form S-3 Shelf (each, an “</w:t>
      </w:r>
      <w:r>
        <w:rPr>
          <w:rFonts w:ascii="Arial" w:cs="Arial" w:eastAsia="Arial" w:hAnsi="Arial"/>
          <w:sz w:val="17"/>
          <w:szCs w:val="17"/>
          <w:b w:val="1"/>
          <w:bCs w:val="1"/>
          <w:i w:val="1"/>
          <w:iCs w:val="1"/>
          <w:color w:val="auto"/>
        </w:rPr>
        <w:t>Underwritten Shelf Takedown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only be obligated to effect an Underwritten Shelf Takedown if such offering shall include Registrable Securities with a total offering price (including piggyback securities and before deduction of underwriting discounts) reasonably expected to exceed, in the aggregate, $20 million (the “</w:t>
      </w:r>
      <w:r>
        <w:rPr>
          <w:rFonts w:ascii="Arial" w:cs="Arial" w:eastAsia="Arial" w:hAnsi="Arial"/>
          <w:sz w:val="17"/>
          <w:szCs w:val="17"/>
          <w:b w:val="1"/>
          <w:bCs w:val="1"/>
          <w:i w:val="1"/>
          <w:iCs w:val="1"/>
          <w:color w:val="auto"/>
        </w:rPr>
        <w:t>Minimum Takedown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Threshold</w:t>
      </w:r>
      <w:r>
        <w:rPr>
          <w:rFonts w:ascii="Arial" w:cs="Arial" w:eastAsia="Arial" w:hAnsi="Arial"/>
          <w:sz w:val="17"/>
          <w:szCs w:val="17"/>
          <w:color w:val="auto"/>
        </w:rPr>
        <w:t>”). All requests for Underwritten Shelf Takedowns shall be made by giving written notice to the Company at least five (5) Business Days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The Company shall include in any Underwritten Shelf Takedown the securities requested to be included by any Holder (each a “</w:t>
      </w:r>
      <w:r>
        <w:rPr>
          <w:rFonts w:ascii="Arial" w:cs="Arial" w:eastAsia="Arial" w:hAnsi="Arial"/>
          <w:sz w:val="17"/>
          <w:szCs w:val="17"/>
          <w:b w:val="1"/>
          <w:bCs w:val="1"/>
          <w:i w:val="1"/>
          <w:iCs w:val="1"/>
          <w:color w:val="auto"/>
        </w:rPr>
        <w:t>Takedown Requesting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at least two (2) Business Days prior to the public announcement of such Underwritten Shelf Takedown pursuant to the piggyback registration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rights of such Holder set forth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herein. The Takedown Demanding Holders holding a majority-in-interest of the Registrable Securities proposed to be sold in the underwritten offering shall have the right to select the underwriter(s) for such offering, subject to the Company’s prior approval which shall not be unreasonably withheld, conditioned or delayed. The Demanding Holders may demand an aggregate of not more than four (4) Underwritten Shelf Takedowns pursuant to this Agreement (of which the Sponsor Holders may demand not more than two (2)), and the Company is not obligated to effect (x) more than two (2) Underwritten Shelf Takedowns per year (provided, that, the Sponsor Holders may demand not more than one (1) Underwritten Shelf Takedowns per year) or (y) an Underwritten Shelf Takedown within sixty (60) days after the closing of a prior Underwritten Shelf Takedown. The Company shall use its commercially reasonable efforts to effect such Underwritten Shelf Takedowns, including the filing of any prospectus supplement or any post-effective amendments and otherwise taking any action necessary to include therein all disclosure and language deemed necessary or advisable by the Demanding Holder to effect such Underwritten Shelf Takedown. For purposes of clarity, any Registration effected pursuant to this </w:t>
      </w:r>
      <w:r>
        <w:rPr>
          <w:rFonts w:ascii="Arial" w:cs="Arial" w:eastAsia="Arial" w:hAnsi="Arial"/>
          <w:sz w:val="17"/>
          <w:szCs w:val="17"/>
          <w:u w:val="single" w:color="auto"/>
          <w:color w:val="auto"/>
        </w:rPr>
        <w:t>subsection 2.3.4</w:t>
      </w:r>
      <w:r>
        <w:rPr>
          <w:rFonts w:ascii="Arial" w:cs="Arial" w:eastAsia="Arial" w:hAnsi="Arial"/>
          <w:sz w:val="17"/>
          <w:szCs w:val="17"/>
          <w:color w:val="auto"/>
        </w:rPr>
        <w:t xml:space="preserve"> shall not be counted as a Registration pursuant to a Demand Registration effected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 or Block Trade or Other Coordinated Offering effected under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5" w:name="page96"/>
    <w:bookmarkEnd w:id="95"/>
    <w:p>
      <w:pPr>
        <w:ind w:firstLine="972"/>
        <w:spacing w:after="0" w:line="268" w:lineRule="auto"/>
        <w:rPr>
          <w:sz w:val="20"/>
          <w:szCs w:val="20"/>
          <w:color w:val="auto"/>
        </w:rPr>
      </w:pPr>
      <w:r>
        <w:rPr>
          <w:rFonts w:ascii="Arial" w:cs="Arial" w:eastAsia="Arial" w:hAnsi="Arial"/>
          <w:sz w:val="17"/>
          <w:szCs w:val="17"/>
          <w:color w:val="auto"/>
        </w:rPr>
        <w:t xml:space="preserve">2.3.5 </w:t>
      </w:r>
      <w:r>
        <w:rPr>
          <w:rFonts w:ascii="Arial" w:cs="Arial" w:eastAsia="Arial" w:hAnsi="Arial"/>
          <w:sz w:val="17"/>
          <w:szCs w:val="17"/>
          <w:u w:val="single" w:color="auto"/>
          <w:color w:val="auto"/>
        </w:rPr>
        <w:t>Reduction of Underwritten Shelf Takedown</w:t>
      </w:r>
      <w:r>
        <w:rPr>
          <w:rFonts w:ascii="Arial" w:cs="Arial" w:eastAsia="Arial" w:hAnsi="Arial"/>
          <w:sz w:val="17"/>
          <w:szCs w:val="17"/>
          <w:color w:val="auto"/>
        </w:rPr>
        <w:t>. If the managing Underwriters in an Underwritten Shelf Takedown, in good faith, advises the Company, the Takedown Demanding Holders and the Takedown Requesting Holders (if any) in writing that the dollar amount or number of Registrable Securities that the Takedown Demanding Holders and the Takedown Requesting Holders (if any) desire to sell, taken together with all other Common Stock or other equity securities that the Company desires to sell, exceeds the Maximum Number of Securities, then the Company shall include in such Underwritten Shelf Takedown, as follows: (i) first, the Registrable Securities of the Takedown Demanding Holders that can be sold without exceeding the Maximum Number of Securities; (ii) second, to the extent that the Maximum Number of Securities has not been reached under the foregoing clause (i), the Common Stock or other equity securities of the Takedown Requesting Holders, if any, that can be sold without exceeding the Maximum Number of Securities determined pro rata based on the respective number of shares of Common Stock or other equity securities that each Takedown Requesting Holder has so requested to be included in such Underwritten Shelf Takedown; (iii) third, to the extent that the Maximum Number of Securities has not been reached under the foregoing clauses (i) and (ii), the Common Stock or other equity securities that the Company desires to sell and that can be sold without exceeding the Maximum Number of Securities, and (iv) fourth, to the extent that the Maximum Number of Securities has not been reached under the foregoing clauses (i), (ii) and (iii), the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84" w:lineRule="exact"/>
        <w:rPr>
          <w:sz w:val="20"/>
          <w:szCs w:val="20"/>
          <w:color w:val="auto"/>
        </w:rPr>
      </w:pPr>
    </w:p>
    <w:p>
      <w:pPr>
        <w:ind w:right="20" w:firstLine="972"/>
        <w:spacing w:after="0" w:line="291" w:lineRule="auto"/>
        <w:rPr>
          <w:sz w:val="20"/>
          <w:szCs w:val="20"/>
          <w:color w:val="auto"/>
        </w:rPr>
      </w:pPr>
      <w:r>
        <w:rPr>
          <w:rFonts w:ascii="Arial" w:cs="Arial" w:eastAsia="Arial" w:hAnsi="Arial"/>
          <w:sz w:val="16"/>
          <w:szCs w:val="16"/>
          <w:color w:val="auto"/>
        </w:rPr>
        <w:t xml:space="preserve">2.3.6 </w:t>
      </w:r>
      <w:r>
        <w:rPr>
          <w:rFonts w:ascii="Arial" w:cs="Arial" w:eastAsia="Arial" w:hAnsi="Arial"/>
          <w:sz w:val="16"/>
          <w:szCs w:val="16"/>
          <w:u w:val="single" w:color="auto"/>
          <w:color w:val="auto"/>
        </w:rPr>
        <w:t>Underwritten Shelf Takedown Withdrawal</w:t>
      </w:r>
      <w:r>
        <w:rPr>
          <w:rFonts w:ascii="Arial" w:cs="Arial" w:eastAsia="Arial" w:hAnsi="Arial"/>
          <w:sz w:val="16"/>
          <w:szCs w:val="16"/>
          <w:color w:val="auto"/>
        </w:rPr>
        <w:t xml:space="preserve">. A Takedown Demanding Holder shall have the right to withdraw from an Underwritten Shelf Takedown for any or no reason whatsoever upon written notification to the Company and the Underwriters (if any) of its intention to withdraw from such Underwritten Shelf Takedown prior to the public announcement of such Underwritten Shelf Takedown;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Takedown Demanding Holder delivers a written notification to the Company and the Underwriters (if any) of its intention to withdraw from such Underwritten Shelf Takedown, the Company shall not be required to continue such Underwritten Shelf Takedown unless the Minimum Takedown Threshold would still be satisfied by the Registrable Securities proposed to be sold. Notwithstanding anything to the contrary in this Agreement, the Company shall be responsible for the Registration Expenses incurred in connection with an Underwritten Shelf Takedown prior to a withdrawal under this </w:t>
      </w:r>
      <w:r>
        <w:rPr>
          <w:rFonts w:ascii="Arial" w:cs="Arial" w:eastAsia="Arial" w:hAnsi="Arial"/>
          <w:sz w:val="16"/>
          <w:szCs w:val="16"/>
          <w:u w:val="single" w:color="auto"/>
          <w:color w:val="auto"/>
        </w:rPr>
        <w:t>subsection 2.3.6</w:t>
      </w:r>
      <w:r>
        <w:rPr>
          <w:rFonts w:ascii="Arial" w:cs="Arial" w:eastAsia="Arial" w:hAnsi="Arial"/>
          <w:sz w:val="16"/>
          <w:szCs w:val="16"/>
          <w:color w:val="auto"/>
        </w:rPr>
        <w:t>.</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Restrictions on Registration Rights</w:t>
      </w:r>
      <w:r>
        <w:rPr>
          <w:rFonts w:ascii="Arial" w:cs="Arial" w:eastAsia="Arial" w:hAnsi="Arial"/>
          <w:sz w:val="17"/>
          <w:szCs w:val="17"/>
          <w:color w:val="auto"/>
        </w:rPr>
        <w:t xml:space="preserve">. If (i)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and it continues to actively employ, in good faith, all commercially reasonable efforts to cause the applicable Registration Statement to be declared effective; (ii) the Holders have requested an Underwritten Registration and the Company and the Holders are unable to obtain the commitment of underwriters to firmly underwrite the offer; or (iii)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defer its obligation in this manner more than two (2) times in any 12-month period.</w:t>
      </w:r>
    </w:p>
    <w:p>
      <w:pPr>
        <w:spacing w:after="0" w:line="18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Market Stand-off</w:t>
      </w:r>
      <w:r>
        <w:rPr>
          <w:rFonts w:ascii="Arial" w:cs="Arial" w:eastAsia="Arial" w:hAnsi="Arial"/>
          <w:sz w:val="17"/>
          <w:szCs w:val="17"/>
          <w:color w:val="auto"/>
        </w:rPr>
        <w:t>. In connection with any Underwritten Offering of equity securities of the Company in which a Holder participates, if requested by the managing Underwriters, such Holder agrees that it shall not Transfer any shares of Common Stock or other equity securities of the Company (other than those included in such offering pursuant to this Agreement), without the prior written consent of the Company, during the ninety (90)-day period (or such shorter time agreed to by the managing Underwriters) beginning on the date of pricing of such offering, except as expressly permitted by such lock-up agreement or in the event the managing Underwriters otherwise agree by written consent and further agrees to execute a customary lock-up agreement in favor of the Underwriters to such effect (in each case on substantially the same terms and conditions as all such Holders) (a “</w:t>
      </w:r>
      <w:r>
        <w:rPr>
          <w:rFonts w:ascii="Arial" w:cs="Arial" w:eastAsia="Arial" w:hAnsi="Arial"/>
          <w:sz w:val="17"/>
          <w:szCs w:val="17"/>
          <w:b w:val="1"/>
          <w:bCs w:val="1"/>
          <w:i w:val="1"/>
          <w:iCs w:val="1"/>
          <w:color w:val="auto"/>
        </w:rPr>
        <w:t>Lock-Up</w:t>
      </w:r>
      <w:r>
        <w:rPr>
          <w:rFonts w:ascii="Arial" w:cs="Arial" w:eastAsia="Arial" w:hAnsi="Arial"/>
          <w:sz w:val="17"/>
          <w:szCs w:val="17"/>
          <w:color w:val="auto"/>
        </w:rPr>
        <w:t>”). Notwithstanding the foregoing, any release of a Lock-Up by Underwriters shall only be effective if made on a pro rata basis, including with respect to management and employees, and any Lock-Up with Underwriters shall contain a clause to this effect. Each of the Holders that is a director or officer of the Company shall execute and deliver any “lock-up” agreement reasonably requested by the managing underwriter of such Underwritten Offering, but only to the extent as is required generally of any executive officers or directors by such managing 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6" w:name="page97"/>
    <w:bookmarkEnd w:id="96"/>
    <w:p>
      <w:pPr>
        <w:ind w:left="34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Block Trades; Other Coordinated Offerings</w:t>
      </w:r>
      <w:r>
        <w:rPr>
          <w:rFonts w:ascii="Arial" w:cs="Arial" w:eastAsia="Arial" w:hAnsi="Arial"/>
          <w:sz w:val="18"/>
          <w:szCs w:val="18"/>
          <w:color w:val="auto"/>
        </w:rPr>
        <w:t>.</w:t>
      </w:r>
    </w:p>
    <w:p>
      <w:pPr>
        <w:spacing w:after="0" w:line="225" w:lineRule="exact"/>
        <w:rPr>
          <w:sz w:val="20"/>
          <w:szCs w:val="20"/>
          <w:color w:val="auto"/>
        </w:rPr>
      </w:pPr>
    </w:p>
    <w:p>
      <w:pPr>
        <w:ind w:right="200" w:firstLine="324"/>
        <w:spacing w:after="0" w:line="286" w:lineRule="auto"/>
        <w:rPr>
          <w:sz w:val="20"/>
          <w:szCs w:val="20"/>
          <w:color w:val="auto"/>
        </w:rPr>
      </w:pPr>
      <w:r>
        <w:rPr>
          <w:rFonts w:ascii="Arial" w:cs="Arial" w:eastAsia="Arial" w:hAnsi="Arial"/>
          <w:sz w:val="16"/>
          <w:szCs w:val="16"/>
          <w:color w:val="auto"/>
        </w:rPr>
        <w:t xml:space="preserve">2.6.1 Notwithstanding any other provision of Article II, but subject to </w:t>
      </w:r>
      <w:r>
        <w:rPr>
          <w:rFonts w:ascii="Arial" w:cs="Arial" w:eastAsia="Arial" w:hAnsi="Arial"/>
          <w:sz w:val="16"/>
          <w:szCs w:val="16"/>
          <w:u w:val="single" w:color="auto"/>
          <w:color w:val="auto"/>
        </w:rPr>
        <w:t>Sections 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3.4</w:t>
      </w:r>
      <w:r>
        <w:rPr>
          <w:rFonts w:ascii="Arial" w:cs="Arial" w:eastAsia="Arial" w:hAnsi="Arial"/>
          <w:sz w:val="16"/>
          <w:szCs w:val="16"/>
          <w:color w:val="auto"/>
        </w:rPr>
        <w:t>, at any time and from time to time when an effective S-3 Shelf is on file with the Commission, if a Demanding Holder wishes to engage in (a) an underwritten registered offering not involving a “roadshow,” an offer commonly known as a “block trade” (a “</w:t>
      </w:r>
      <w:r>
        <w:rPr>
          <w:rFonts w:ascii="Arial" w:cs="Arial" w:eastAsia="Arial" w:hAnsi="Arial"/>
          <w:sz w:val="16"/>
          <w:szCs w:val="16"/>
          <w:b w:val="1"/>
          <w:bCs w:val="1"/>
          <w:i w:val="1"/>
          <w:iCs w:val="1"/>
          <w:color w:val="auto"/>
        </w:rPr>
        <w:t>Block Trade</w:t>
      </w:r>
      <w:r>
        <w:rPr>
          <w:rFonts w:ascii="Arial" w:cs="Arial" w:eastAsia="Arial" w:hAnsi="Arial"/>
          <w:sz w:val="16"/>
          <w:szCs w:val="16"/>
          <w:color w:val="auto"/>
        </w:rPr>
        <w:t>”) or (b) an “at the market” or similar registered offering through a broker, sales agent or distribution agent, whether as agent or principal, (an “</w:t>
      </w:r>
      <w:r>
        <w:rPr>
          <w:rFonts w:ascii="Arial" w:cs="Arial" w:eastAsia="Arial" w:hAnsi="Arial"/>
          <w:sz w:val="16"/>
          <w:szCs w:val="16"/>
          <w:b w:val="1"/>
          <w:bCs w:val="1"/>
          <w:i w:val="1"/>
          <w:iCs w:val="1"/>
          <w:color w:val="auto"/>
        </w:rPr>
        <w:t>Other Coordinated Offering</w:t>
      </w:r>
      <w:r>
        <w:rPr>
          <w:rFonts w:ascii="Arial" w:cs="Arial" w:eastAsia="Arial" w:hAnsi="Arial"/>
          <w:sz w:val="16"/>
          <w:szCs w:val="16"/>
          <w:color w:val="auto"/>
        </w:rPr>
        <w:t>”), in each case, with an anticipated aggregate offering price of, either</w:t>
      </w:r>
    </w:p>
    <w:p>
      <w:pPr>
        <w:spacing w:after="0" w:line="1" w:lineRule="exact"/>
        <w:rPr>
          <w:sz w:val="20"/>
          <w:szCs w:val="20"/>
          <w:color w:val="auto"/>
        </w:rPr>
      </w:pPr>
    </w:p>
    <w:p>
      <w:pPr>
        <w:ind w:firstLine="8"/>
        <w:spacing w:after="0" w:line="252"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at least $20 million or (y) all remaining Registrable Securities held by the Demanding Holder, then such Demanding Holder only needs to notify the Company of the Block Trade or Other Coordinated Offering at least five (5) Business Days prior to the day such offering is to commence and the Company shall as expeditiously as possible use its commercially reasonable efforts to facilitate such Block Trade or Other Coordinated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Demanding Holders representing a majority-in-interest of the Registrable Securities wishing to engage in the Block Trade or Other Coordinated Offering shall use commercially reasonable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w:t>
      </w:r>
    </w:p>
    <w:p>
      <w:pPr>
        <w:spacing w:after="0" w:line="192"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2.6.2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the Company, the Underwriter or Underwriters (if any) and any brokers, sales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Section 2.6.2.</w:t>
      </w:r>
    </w:p>
    <w:p>
      <w:pPr>
        <w:spacing w:after="0" w:line="19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2.6.3 Notwithstanding anything to the contrary in this Agreement, Section 2.2 shall not apply to a Block Trade or Other Coordinated Offering initiated by a Demanding Holder pursuant to this Agreement.</w:t>
      </w:r>
    </w:p>
    <w:p>
      <w:pPr>
        <w:spacing w:after="0" w:line="17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2.6.4 The Demanding Holders in a Block Trade or Other Coordinated Offering shall have the right to select the Underwriters and any brokers, sales agents or placement agents (if any) for such Block Trade or Other Coordinated Offering.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2.6.5 A Demanding Holder may demand no more than two (2) Block Trades or Other Coordinated Offerings pursuant to this Section 2.6 in any twelve</w:t>
      </w:r>
    </w:p>
    <w:p>
      <w:pPr>
        <w:spacing w:after="0" w:line="46" w:lineRule="exact"/>
        <w:rPr>
          <w:sz w:val="20"/>
          <w:szCs w:val="20"/>
          <w:color w:val="auto"/>
        </w:rPr>
      </w:pPr>
    </w:p>
    <w:p>
      <w:pPr>
        <w:ind w:right="20" w:firstLine="8"/>
        <w:spacing w:after="0" w:line="323" w:lineRule="auto"/>
        <w:tabs>
          <w:tab w:leader="none" w:pos="345" w:val="left"/>
        </w:tabs>
        <w:numPr>
          <w:ilvl w:val="0"/>
          <w:numId w:val="59"/>
        </w:numPr>
        <w:rPr>
          <w:rFonts w:ascii="Arial" w:cs="Arial" w:eastAsia="Arial" w:hAnsi="Arial"/>
          <w:sz w:val="16"/>
          <w:szCs w:val="16"/>
          <w:color w:val="auto"/>
        </w:rPr>
      </w:pPr>
      <w:r>
        <w:rPr>
          <w:rFonts w:ascii="Arial" w:cs="Arial" w:eastAsia="Arial" w:hAnsi="Arial"/>
          <w:sz w:val="16"/>
          <w:szCs w:val="16"/>
          <w:color w:val="auto"/>
        </w:rPr>
        <w:t>month period. For the avoidance of doubt, any Block Trade or Other Coordinated Offering effected pursuant to this Section 2.6 shall not be counted as a demand for a Demand Registration pursuant to Section 2.1 hereof or an Underwritten Shelf Takedown pursuant to subsection 2.3.4 hereof.</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COMPANY PROCEDURES</w:t>
      </w:r>
    </w:p>
    <w:p>
      <w:pPr>
        <w:spacing w:after="0" w:line="21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 Procedures</w:t>
      </w:r>
      <w:r>
        <w:rPr>
          <w:rFonts w:ascii="Arial" w:cs="Arial" w:eastAsia="Arial" w:hAnsi="Arial"/>
          <w:sz w:val="18"/>
          <w:szCs w:val="18"/>
          <w:color w:val="auto"/>
        </w:rPr>
        <w:t>. If at any time on or after the date of this Agreement the Company is required to effect the Registration of Registrable Securities, subject to applicable law and any regulations promulgated by any securities exchange on which the Company’s equity securities are then listed, each as interpreted by the Company with the advice of its counsel, the Company shall use its commercially reasonable efforts to effect such Registration to permit the sale of such Registrable Securities in accordance with the intended plan of distribution thereof, and pursuant thereto the Company shall, as expeditiously as possible:</w:t>
      </w:r>
    </w:p>
    <w:p>
      <w:pPr>
        <w:spacing w:after="0" w:line="188" w:lineRule="exact"/>
        <w:rPr>
          <w:sz w:val="20"/>
          <w:szCs w:val="20"/>
          <w:color w:val="auto"/>
        </w:rPr>
      </w:pPr>
    </w:p>
    <w:p>
      <w:pPr>
        <w:ind w:right="520" w:firstLine="972"/>
        <w:spacing w:after="0" w:line="263" w:lineRule="auto"/>
        <w:rPr>
          <w:sz w:val="20"/>
          <w:szCs w:val="20"/>
          <w:color w:val="auto"/>
        </w:rPr>
      </w:pPr>
      <w:r>
        <w:rPr>
          <w:rFonts w:ascii="Arial" w:cs="Arial" w:eastAsia="Arial" w:hAnsi="Arial"/>
          <w:sz w:val="18"/>
          <w:szCs w:val="18"/>
          <w:color w:val="auto"/>
        </w:rPr>
        <w:t>3.1.1 prepare and file with the Commission as soon as reasonably practicable a Registration Statement with respect to such Registrable Securities and use its commercially reasonable efforts to cause such Registration Statement to be declared effective and remain effective until all Registrable Securities covered by such Registration Statement have been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7" w:name="page98"/>
    <w:bookmarkEnd w:id="97"/>
    <w:p>
      <w:pPr>
        <w:ind w:firstLine="972"/>
        <w:spacing w:after="0" w:line="272" w:lineRule="auto"/>
        <w:rPr>
          <w:sz w:val="20"/>
          <w:szCs w:val="20"/>
          <w:color w:val="auto"/>
        </w:rPr>
      </w:pPr>
      <w:r>
        <w:rPr>
          <w:rFonts w:ascii="Arial" w:cs="Arial" w:eastAsia="Arial" w:hAnsi="Arial"/>
          <w:sz w:val="17"/>
          <w:szCs w:val="17"/>
          <w:color w:val="auto"/>
        </w:rPr>
        <w:t>3.1.2 prepare and file with the Commission such amendments and post-effective amendments to the Registration Statement, and such supplements to the Prospectus, as may be (i) requested by a Holder if additional selling securityholders that are such Holder’s pledgee, donees, transferees, assignees, successors, designees, successors-in-interest and others who later come to hold any of Holder’s interest in the Registrable Securities other than through a public sale are required to be included in a supplement to the Prospectus or (ii)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77" w:lineRule="exact"/>
        <w:rPr>
          <w:sz w:val="20"/>
          <w:szCs w:val="20"/>
          <w:color w:val="auto"/>
        </w:rPr>
      </w:pPr>
    </w:p>
    <w:p>
      <w:pPr>
        <w:ind w:right="60" w:firstLine="972"/>
        <w:spacing w:after="0" w:line="269" w:lineRule="auto"/>
        <w:rPr>
          <w:sz w:val="20"/>
          <w:szCs w:val="20"/>
          <w:color w:val="auto"/>
        </w:rPr>
      </w:pPr>
      <w:r>
        <w:rPr>
          <w:rFonts w:ascii="Arial" w:cs="Arial" w:eastAsia="Arial" w:hAnsi="Arial"/>
          <w:sz w:val="17"/>
          <w:szCs w:val="17"/>
          <w:color w:val="auto"/>
        </w:rPr>
        <w:t xml:space="preserve">3.1.3 prior to any public offering of Registrable Securities, use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5" w:lineRule="exact"/>
        <w:rPr>
          <w:sz w:val="20"/>
          <w:szCs w:val="20"/>
          <w:color w:val="auto"/>
        </w:rPr>
      </w:pPr>
    </w:p>
    <w:p>
      <w:pPr>
        <w:ind w:right="100" w:firstLine="972"/>
        <w:spacing w:after="0" w:line="277" w:lineRule="auto"/>
        <w:rPr>
          <w:sz w:val="20"/>
          <w:szCs w:val="20"/>
          <w:color w:val="auto"/>
        </w:rPr>
      </w:pPr>
      <w:r>
        <w:rPr>
          <w:rFonts w:ascii="Arial" w:cs="Arial" w:eastAsia="Arial" w:hAnsi="Arial"/>
          <w:sz w:val="18"/>
          <w:szCs w:val="18"/>
          <w:color w:val="auto"/>
        </w:rPr>
        <w:t>3.1.4 cause all such Registrable Securities to be listed on each securities exchange or automated quotation system on which similar securities issued by the Company are then listed;</w:t>
      </w:r>
    </w:p>
    <w:p>
      <w:pPr>
        <w:spacing w:after="0" w:line="170"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3.1.5 provide a transfer agent or warrant agent, as applicable, and registrar for all such Registrable Securities no later than the effective date of such Registration Statement;</w:t>
      </w:r>
    </w:p>
    <w:p>
      <w:pPr>
        <w:spacing w:after="0" w:line="170" w:lineRule="exact"/>
        <w:rPr>
          <w:sz w:val="20"/>
          <w:szCs w:val="20"/>
          <w:color w:val="auto"/>
        </w:rPr>
      </w:pPr>
    </w:p>
    <w:p>
      <w:pPr>
        <w:ind w:right="40" w:firstLine="972"/>
        <w:spacing w:after="0" w:line="259" w:lineRule="auto"/>
        <w:rPr>
          <w:sz w:val="20"/>
          <w:szCs w:val="20"/>
          <w:color w:val="auto"/>
        </w:rPr>
      </w:pPr>
      <w:r>
        <w:rPr>
          <w:rFonts w:ascii="Arial" w:cs="Arial" w:eastAsia="Arial" w:hAnsi="Arial"/>
          <w:sz w:val="18"/>
          <w:szCs w:val="18"/>
          <w:color w:val="auto"/>
        </w:rPr>
        <w:t>3.1.6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87" w:lineRule="exact"/>
        <w:rPr>
          <w:sz w:val="20"/>
          <w:szCs w:val="20"/>
          <w:color w:val="auto"/>
        </w:rPr>
      </w:pPr>
    </w:p>
    <w:p>
      <w:pPr>
        <w:ind w:right="60" w:firstLine="972"/>
        <w:spacing w:after="0" w:line="263" w:lineRule="auto"/>
        <w:rPr>
          <w:sz w:val="20"/>
          <w:szCs w:val="20"/>
          <w:color w:val="auto"/>
        </w:rPr>
      </w:pPr>
      <w:r>
        <w:rPr>
          <w:rFonts w:ascii="Arial" w:cs="Arial" w:eastAsia="Arial" w:hAnsi="Arial"/>
          <w:sz w:val="18"/>
          <w:szCs w:val="18"/>
          <w:color w:val="auto"/>
        </w:rPr>
        <w:t xml:space="preserve">3.1.7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4" w:lineRule="exact"/>
        <w:rPr>
          <w:sz w:val="20"/>
          <w:szCs w:val="20"/>
          <w:color w:val="auto"/>
        </w:rPr>
      </w:pPr>
    </w:p>
    <w:p>
      <w:pPr>
        <w:ind w:firstLine="972"/>
        <w:spacing w:after="0" w:line="291" w:lineRule="auto"/>
        <w:rPr>
          <w:sz w:val="20"/>
          <w:szCs w:val="20"/>
          <w:color w:val="auto"/>
        </w:rPr>
      </w:pPr>
      <w:r>
        <w:rPr>
          <w:rFonts w:ascii="Arial" w:cs="Arial" w:eastAsia="Arial" w:hAnsi="Arial"/>
          <w:sz w:val="16"/>
          <w:szCs w:val="16"/>
          <w:color w:val="auto"/>
        </w:rPr>
        <w:t xml:space="preserve">3.1.8 permit a representative of the Holders (such representative to be selected by a majority of the participating Holders), the Underwriters, if any, and any attorney or accountant retained by such Holders or Underwriter to participate, other than as set forth in the definition of “Registration Expenses,”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representatives or Underwriters enter into a confidentiality agreement, in form and substance reasonably satisfactory to the Company, prior to the release or disclosure of any such information;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Holders, Underwriters, and their legal counsel must provide any comments promptly (and in any event with five (5) Business Days) after receipt of such Registration Statement;</w:t>
      </w:r>
    </w:p>
    <w:p>
      <w:pPr>
        <w:spacing w:after="0" w:line="166" w:lineRule="exact"/>
        <w:rPr>
          <w:sz w:val="20"/>
          <w:szCs w:val="20"/>
          <w:color w:val="auto"/>
        </w:rPr>
      </w:pPr>
    </w:p>
    <w:p>
      <w:pPr>
        <w:ind w:right="320" w:firstLine="972"/>
        <w:spacing w:after="0" w:line="263" w:lineRule="auto"/>
        <w:rPr>
          <w:sz w:val="20"/>
          <w:szCs w:val="20"/>
          <w:color w:val="auto"/>
        </w:rPr>
      </w:pPr>
      <w:r>
        <w:rPr>
          <w:rFonts w:ascii="Arial" w:cs="Arial" w:eastAsia="Arial" w:hAnsi="Arial"/>
          <w:sz w:val="18"/>
          <w:szCs w:val="18"/>
          <w:color w:val="auto"/>
        </w:rPr>
        <w:t>3.1.9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the managing 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8" w:name="page99"/>
    <w:bookmarkEnd w:id="98"/>
    <w:p>
      <w:pPr>
        <w:ind w:firstLine="972"/>
        <w:spacing w:after="0" w:line="257" w:lineRule="auto"/>
        <w:rPr>
          <w:sz w:val="20"/>
          <w:szCs w:val="20"/>
          <w:color w:val="auto"/>
        </w:rPr>
      </w:pPr>
      <w:r>
        <w:rPr>
          <w:rFonts w:ascii="Arial" w:cs="Arial" w:eastAsia="Arial" w:hAnsi="Arial"/>
          <w:sz w:val="18"/>
          <w:szCs w:val="18"/>
          <w:color w:val="auto"/>
        </w:rPr>
        <w:t>3.1.10 on the date the Registrable Securities are delivered for sale pursuant to such Registration, obtain an opinion, dated such date, of counsel representing the Company for the purposes of such Registration, addressed to the placement agent or sales agent, if any, and the Underwriters, if any, covering such legal matters with respect to the Registration in respect of which such opinion is being given as the placement agent, sales agent, or Underwriter may reasonably request and as are customarily included in such opinions and negative assurance letters, and reasonably satisfactory to the Company;</w:t>
      </w:r>
    </w:p>
    <w:p>
      <w:pPr>
        <w:spacing w:after="0" w:line="188" w:lineRule="exact"/>
        <w:rPr>
          <w:sz w:val="20"/>
          <w:szCs w:val="20"/>
          <w:color w:val="auto"/>
        </w:rPr>
      </w:pPr>
    </w:p>
    <w:p>
      <w:pPr>
        <w:ind w:right="600" w:firstLine="972"/>
        <w:spacing w:after="0" w:line="277" w:lineRule="auto"/>
        <w:rPr>
          <w:sz w:val="20"/>
          <w:szCs w:val="20"/>
          <w:color w:val="auto"/>
        </w:rPr>
      </w:pPr>
      <w:r>
        <w:rPr>
          <w:rFonts w:ascii="Arial" w:cs="Arial" w:eastAsia="Arial" w:hAnsi="Arial"/>
          <w:sz w:val="18"/>
          <w:szCs w:val="18"/>
          <w:color w:val="auto"/>
        </w:rPr>
        <w:t>3.1.11 in the event of any Underwritten Offering, enter into and perform its obligations under an underwriting agreement, in usual and customary form, with the managing Underwriter of such offering;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3.1.12 make available to its security holders, as soon as reasonably practicable, an earnings statement covering the period of at least twelve</w:t>
      </w:r>
    </w:p>
    <w:p>
      <w:pPr>
        <w:spacing w:after="0" w:line="46" w:lineRule="exact"/>
        <w:rPr>
          <w:sz w:val="20"/>
          <w:szCs w:val="20"/>
          <w:color w:val="auto"/>
        </w:rPr>
      </w:pPr>
    </w:p>
    <w:p>
      <w:pPr>
        <w:ind w:right="240" w:firstLine="8"/>
        <w:spacing w:after="0" w:line="323" w:lineRule="auto"/>
        <w:tabs>
          <w:tab w:leader="none" w:pos="345" w:val="left"/>
        </w:tabs>
        <w:numPr>
          <w:ilvl w:val="0"/>
          <w:numId w:val="60"/>
        </w:numPr>
        <w:rPr>
          <w:rFonts w:ascii="Arial" w:cs="Arial" w:eastAsia="Arial" w:hAnsi="Arial"/>
          <w:sz w:val="16"/>
          <w:szCs w:val="16"/>
          <w:color w:val="auto"/>
        </w:rPr>
      </w:pPr>
      <w:r>
        <w:rPr>
          <w:rFonts w:ascii="Arial" w:cs="Arial" w:eastAsia="Arial" w:hAnsi="Arial"/>
          <w:sz w:val="16"/>
          <w:szCs w:val="16"/>
          <w:color w:val="auto"/>
        </w:rPr>
        <w:t>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38" w:lineRule="exact"/>
        <w:rPr>
          <w:sz w:val="20"/>
          <w:szCs w:val="20"/>
          <w:color w:val="auto"/>
        </w:rPr>
      </w:pPr>
    </w:p>
    <w:p>
      <w:pPr>
        <w:jc w:val="both"/>
        <w:ind w:right="140" w:firstLine="972"/>
        <w:spacing w:after="0" w:line="263" w:lineRule="auto"/>
        <w:rPr>
          <w:sz w:val="20"/>
          <w:szCs w:val="20"/>
          <w:color w:val="auto"/>
        </w:rPr>
      </w:pPr>
      <w:r>
        <w:rPr>
          <w:rFonts w:ascii="Arial" w:cs="Arial" w:eastAsia="Arial" w:hAnsi="Arial"/>
          <w:sz w:val="18"/>
          <w:szCs w:val="18"/>
          <w:color w:val="auto"/>
        </w:rPr>
        <w:t>3.1.13 if the Registration involves the Registration of Registrable Securities involving gross proceeds reasonably expected to be in excess of $25 million, use its reasonable efforts to make available senior executives of the Company to participate in customary “road show” presentations that may be reasonably requested by the Underwriter in any Underwritten Offering; and</w:t>
      </w:r>
    </w:p>
    <w:p>
      <w:pPr>
        <w:spacing w:after="0" w:line="184"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3.1.14 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7"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Requirements for Participation in Underwritten Offerings</w:t>
      </w:r>
      <w:r>
        <w:rPr>
          <w:rFonts w:ascii="Arial" w:cs="Arial" w:eastAsia="Arial" w:hAnsi="Arial"/>
          <w:sz w:val="16"/>
          <w:szCs w:val="16"/>
          <w:color w:val="auto"/>
        </w:rPr>
        <w:t xml:space="preserve">. Notwithstanding anything in this Agreement to the contrary, if any Holder does not provide the Company with its requested Holder Information, the Company may exclude such Holder’s Registrable Securities from the applicable Registration Statement or Prospectus if the Company determines in good faith that such information is necessary to effect the Registration and such Holder continues thereafter to withhold such information.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 The exclusion of a Holder’s Registrable Securities as a result of this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shall not affect the Registration of the other Registrable Securities to be included in such Registration. The representations, warranties and covenants of the Company in any underwriting agreement which are made to or for the benefit of any Underwriters, to the extent applicable, shall also be made to and for the benefit of Holders holding Registrable Securities included in such Registration Statement. No Holder holding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ind w:right="60" w:firstLine="324"/>
        <w:spacing w:after="0" w:line="28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Suspension of Sales; Adverse Disclosure</w:t>
      </w:r>
      <w:r>
        <w:rPr>
          <w:rFonts w:ascii="Arial" w:cs="Arial" w:eastAsia="Arial" w:hAnsi="Arial"/>
          <w:sz w:val="16"/>
          <w:szCs w:val="16"/>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consecutive days or ninety (90) days in any rolling 12-month period,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16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Reporting Obligations</w:t>
      </w:r>
      <w:r>
        <w:rPr>
          <w:rFonts w:ascii="Arial" w:cs="Arial" w:eastAsia="Arial" w:hAnsi="Arial"/>
          <w:sz w:val="18"/>
          <w:szCs w:val="18"/>
          <w:color w:val="auto"/>
        </w:rPr>
        <w:t>. As long as any Holder shall own Registrable Securities, the Company, at all times while it shall be a reporting company under the Exchange Act, covenants to use commercially reasonable efforts to: (i) make and keep public information available, as those terms are understood and defined in Rule 144 and (ii) file timely (or obtain extensions in respect thereof and file within the applicable grace period) all reports required to be filed by the Company after the date hereof pursuant to Sections 13(a) or 15(d) of the Exchange Act.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reasonably requested legal opinions. Upon the request of any Holder, the Company shall deliver to such Holder a written certification of a duly authorized officer as to whether it has complied with such requirements.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AND CONTRIBUTION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180" w:firstLine="972"/>
        <w:spacing w:after="0" w:line="271" w:lineRule="auto"/>
        <w:rPr>
          <w:sz w:val="20"/>
          <w:szCs w:val="20"/>
          <w:color w:val="auto"/>
        </w:rPr>
      </w:pPr>
      <w:r>
        <w:rPr>
          <w:rFonts w:ascii="Arial" w:cs="Arial" w:eastAsia="Arial" w:hAnsi="Arial"/>
          <w:sz w:val="17"/>
          <w:szCs w:val="17"/>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or on behalf of such Holder expressly for use therein. The Company shall indemnify the Underwriters, their officers and directors and each person who controls such Underwriters (within the meaning of the Securities Act) to the same extent as provided in the foregoing sentence with respect to the indemnification of the Holder.</w:t>
      </w:r>
    </w:p>
    <w:p>
      <w:pPr>
        <w:spacing w:after="0" w:line="178" w:lineRule="exact"/>
        <w:rPr>
          <w:sz w:val="20"/>
          <w:szCs w:val="20"/>
          <w:color w:val="auto"/>
        </w:rPr>
      </w:pPr>
    </w:p>
    <w:p>
      <w:pPr>
        <w:ind w:right="60" w:firstLine="972"/>
        <w:spacing w:after="0" w:line="287" w:lineRule="auto"/>
        <w:rPr>
          <w:sz w:val="20"/>
          <w:szCs w:val="20"/>
          <w:color w:val="auto"/>
        </w:rPr>
      </w:pPr>
      <w:r>
        <w:rPr>
          <w:rFonts w:ascii="Arial" w:cs="Arial" w:eastAsia="Arial" w:hAnsi="Arial"/>
          <w:sz w:val="16"/>
          <w:szCs w:val="16"/>
          <w:color w:val="auto"/>
        </w:rPr>
        <w:t>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(the “</w:t>
      </w:r>
      <w:r>
        <w:rPr>
          <w:rFonts w:ascii="Arial" w:cs="Arial" w:eastAsia="Arial" w:hAnsi="Arial"/>
          <w:sz w:val="16"/>
          <w:szCs w:val="16"/>
          <w:b w:val="1"/>
          <w:bCs w:val="1"/>
          <w:i w:val="1"/>
          <w:iCs w:val="1"/>
          <w:color w:val="auto"/>
        </w:rPr>
        <w:t>Holder Information</w:t>
      </w:r>
      <w:r>
        <w:rPr>
          <w:rFonts w:ascii="Arial" w:cs="Arial" w:eastAsia="Arial" w:hAnsi="Arial"/>
          <w:sz w:val="16"/>
          <w:szCs w:val="16"/>
          <w:color w:val="auto"/>
        </w:rPr>
        <w:t xml:space="preserve">”) and, to the extent permitted by law, shall indemnify the Company, its directors and officers and agents and each person who controls the Company (within the meaning of the Securities Act) against any losses, claims, damages, liabilities and expenses (including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to indemnify shall be several, not joint and several, among such Holders of Registrable Securities, and the liability of each such Holder of Registrable Securities shall be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0" w:name="page101"/>
    <w:bookmarkEnd w:id="100"/>
    <w:p>
      <w:pPr>
        <w:ind w:right="20" w:firstLine="972"/>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the defense of any such claim or any such litigation)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6" w:lineRule="exact"/>
        <w:rPr>
          <w:sz w:val="20"/>
          <w:szCs w:val="20"/>
          <w:color w:val="auto"/>
        </w:rPr>
      </w:pPr>
    </w:p>
    <w:p>
      <w:pPr>
        <w:ind w:firstLine="972"/>
        <w:spacing w:after="0" w:line="285" w:lineRule="auto"/>
        <w:rPr>
          <w:sz w:val="20"/>
          <w:szCs w:val="20"/>
          <w:color w:val="auto"/>
        </w:rPr>
      </w:pPr>
      <w:r>
        <w:rPr>
          <w:rFonts w:ascii="Arial" w:cs="Arial" w:eastAsia="Arial" w:hAnsi="Arial"/>
          <w:sz w:val="16"/>
          <w:szCs w:val="16"/>
          <w:color w:val="auto"/>
        </w:rPr>
        <w:t xml:space="preserve">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4.1.4</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4.1.1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4.1.4</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4.1.4</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4.1.4</w:t>
      </w:r>
      <w:r>
        <w:rPr>
          <w:rFonts w:ascii="Arial" w:cs="Arial" w:eastAsia="Arial" w:hAnsi="Arial"/>
          <w:sz w:val="16"/>
          <w:szCs w:val="16"/>
          <w:color w:val="auto"/>
        </w:rPr>
        <w:t xml:space="preserve"> from any person who was not guilty of such fraudulent misrepresentation.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Notices</w:t>
      </w:r>
      <w:r>
        <w:rPr>
          <w:rFonts w:ascii="Arial" w:cs="Arial" w:eastAsia="Arial" w:hAnsi="Arial"/>
          <w:sz w:val="16"/>
          <w:szCs w:val="16"/>
          <w:color w:val="auto"/>
        </w:rPr>
        <w:t>.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email or facsimile. Each notice or communication that is mailed, delivered, or transmitted in the manner</w:t>
      </w:r>
    </w:p>
    <w:p>
      <w:pPr>
        <w:spacing w:after="0" w:line="2"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described above shall be deemed sufficiently given, served, sent, and received, in the case of mailed notices, on the third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Business Day following the date on which it is mailed and, in the case of notices delivered by courier service, hand delivery, email,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TriSalus Life Sciences, Inc. c/o Chief Financial Officer, 6272 W 91st Ave, Westminster, Colorado, with a copy to Cooley LLP, c/o Matthew Browne, 10265 Science Center Drive, San Diego, California 92121-1117,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ind w:left="3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Assignment; No Third Party Beneficiaries</w:t>
      </w:r>
      <w:r>
        <w:rPr>
          <w:rFonts w:ascii="Arial" w:cs="Arial" w:eastAsia="Arial" w:hAnsi="Arial"/>
          <w:sz w:val="18"/>
          <w:szCs w:val="18"/>
          <w:color w:val="auto"/>
        </w:rPr>
        <w:t>.</w:t>
      </w:r>
    </w:p>
    <w:p>
      <w:pPr>
        <w:spacing w:after="0" w:line="225" w:lineRule="exact"/>
        <w:rPr>
          <w:sz w:val="20"/>
          <w:szCs w:val="20"/>
          <w:color w:val="auto"/>
        </w:rPr>
      </w:pPr>
    </w:p>
    <w:p>
      <w:pPr>
        <w:ind w:right="140" w:firstLine="972"/>
        <w:spacing w:after="0" w:line="277" w:lineRule="auto"/>
        <w:rPr>
          <w:sz w:val="20"/>
          <w:szCs w:val="20"/>
          <w:color w:val="auto"/>
        </w:rPr>
      </w:pPr>
      <w:r>
        <w:rPr>
          <w:rFonts w:ascii="Arial" w:cs="Arial" w:eastAsia="Arial" w:hAnsi="Arial"/>
          <w:sz w:val="18"/>
          <w:szCs w:val="18"/>
          <w:color w:val="auto"/>
        </w:rPr>
        <w:t>5.2.1 This Agreement and the rights, duties and obligations of the Company hereunder may not be assigned or delegated by the Company in whole or in part.</w:t>
      </w:r>
    </w:p>
    <w:p>
      <w:pPr>
        <w:spacing w:after="0" w:line="170" w:lineRule="exact"/>
        <w:rPr>
          <w:sz w:val="20"/>
          <w:szCs w:val="20"/>
          <w:color w:val="auto"/>
        </w:rPr>
      </w:pPr>
    </w:p>
    <w:p>
      <w:pPr>
        <w:ind w:firstLine="972"/>
        <w:spacing w:after="0" w:line="273" w:lineRule="auto"/>
        <w:rPr>
          <w:sz w:val="20"/>
          <w:szCs w:val="20"/>
          <w:color w:val="auto"/>
        </w:rPr>
      </w:pPr>
      <w:r>
        <w:rPr>
          <w:rFonts w:ascii="Arial" w:cs="Arial" w:eastAsia="Arial" w:hAnsi="Arial"/>
          <w:sz w:val="17"/>
          <w:szCs w:val="17"/>
          <w:color w:val="auto"/>
        </w:rPr>
        <w:t xml:space="preserve">5.2.2 No Holder may assign or delegate such Holder’s rights, duties or obligations under this Agreement, in whole or in part, except in connection with a transfer of Registrable Securities by such Holder to a Permitted Transferee upon receipt by the Company of (a) written notice from such Holder stating the name and address of the transferee and identifying the number of Registrable Securities with respect to which rights under this Agreement are being transferred and the nature of the rights so transferred, and (b) a written agreement from such Permitted Transferee agreeing to become bound by the transfer restrictions set forth in this Agreement. A Permitted Transferee of Registrable Securities who satisfies the conditions set forth in this </w:t>
      </w:r>
      <w:r>
        <w:rPr>
          <w:rFonts w:ascii="Arial" w:cs="Arial" w:eastAsia="Arial" w:hAnsi="Arial"/>
          <w:sz w:val="17"/>
          <w:szCs w:val="17"/>
          <w:u w:val="single" w:color="auto"/>
          <w:color w:val="auto"/>
        </w:rPr>
        <w:t>subsection 5.2.2</w:t>
      </w:r>
      <w:r>
        <w:rPr>
          <w:rFonts w:ascii="Arial" w:cs="Arial" w:eastAsia="Arial" w:hAnsi="Arial"/>
          <w:sz w:val="17"/>
          <w:szCs w:val="17"/>
          <w:color w:val="auto"/>
        </w:rPr>
        <w:t>. shall henceforth be a “Holder” for purposes of this Agreement.</w:t>
      </w:r>
    </w:p>
    <w:p>
      <w:pPr>
        <w:spacing w:after="0" w:line="178" w:lineRule="exact"/>
        <w:rPr>
          <w:sz w:val="20"/>
          <w:szCs w:val="20"/>
          <w:color w:val="auto"/>
        </w:rPr>
      </w:pPr>
    </w:p>
    <w:p>
      <w:pPr>
        <w:ind w:right="200" w:firstLine="972"/>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70" w:lineRule="exact"/>
        <w:rPr>
          <w:sz w:val="20"/>
          <w:szCs w:val="20"/>
          <w:color w:val="auto"/>
        </w:rPr>
      </w:pPr>
    </w:p>
    <w:p>
      <w:pPr>
        <w:ind w:right="60" w:firstLine="972"/>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170" w:lineRule="exact"/>
        <w:rPr>
          <w:sz w:val="20"/>
          <w:szCs w:val="20"/>
          <w:color w:val="auto"/>
        </w:rPr>
      </w:pPr>
    </w:p>
    <w:p>
      <w:pPr>
        <w:ind w:firstLine="972"/>
        <w:spacing w:after="0" w:line="257" w:lineRule="auto"/>
        <w:rPr>
          <w:sz w:val="20"/>
          <w:szCs w:val="20"/>
          <w:color w:val="auto"/>
        </w:rPr>
      </w:pPr>
      <w:r>
        <w:rPr>
          <w:rFonts w:ascii="Arial" w:cs="Arial" w:eastAsia="Arial" w:hAnsi="Arial"/>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multiple counterparts (including facsimile, PDF, DocuSign or similarly executed counterparts), each of which shall be deemed an original, and all of which together shall constitute the same instrument, but only one of which need be produced.</w:t>
      </w:r>
    </w:p>
    <w:p>
      <w:pPr>
        <w:spacing w:after="0" w:line="12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The law of the State of Delaware shall govern (a) all claims or matters related to or arising from this Agreement (including any tort or non-contractual claims) and (b) any questions concerning the construction, interpretation, validity and enforceability of this Agreement, and the performance of the obligations imposed by this Agreement, in each case without giving effect to any choice of law or conflict of law rules or provisions (whether of the State of Delaware or any other jurisdiction) that would cause the application of the law of any jurisdiction other than the State of Delaware.</w:t>
      </w:r>
    </w:p>
    <w:p>
      <w:pPr>
        <w:spacing w:after="0" w:line="15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Venue</w:t>
      </w:r>
      <w:r>
        <w:rPr>
          <w:rFonts w:ascii="Arial" w:cs="Arial" w:eastAsia="Arial" w:hAnsi="Arial"/>
          <w:sz w:val="18"/>
          <w:szCs w:val="18"/>
          <w:color w:val="auto"/>
        </w:rPr>
        <w:t xml:space="preserve">. Each party hereto submits to the exclusive jurisdiction of first, the Court of Chancery of the State of Delaware or if such court declines jurisdiction, then to any court of the State of Delaware or the Federal District Court for the District of Delaware, in any Action arising out of or relating to this Agreement, agrees that all claims in respect of the Action shall be heard and determined in any such court and agrees not to bring any Action arising out of or relating to this Agreement in any other courts. Nothing in this </w:t>
      </w:r>
      <w:r>
        <w:rPr>
          <w:rFonts w:ascii="Arial" w:cs="Arial" w:eastAsia="Arial" w:hAnsi="Arial"/>
          <w:sz w:val="18"/>
          <w:szCs w:val="18"/>
          <w:u w:val="single" w:color="auto"/>
          <w:color w:val="auto"/>
        </w:rPr>
        <w:t>Section 5.5</w:t>
      </w:r>
      <w:r>
        <w:rPr>
          <w:rFonts w:ascii="Arial" w:cs="Arial" w:eastAsia="Arial" w:hAnsi="Arial"/>
          <w:sz w:val="18"/>
          <w:szCs w:val="18"/>
          <w:color w:val="auto"/>
        </w:rPr>
        <w:t>, however, shall affect the right of any party to serve legal process in any other manner permitted by law or at equity. Each party hereto agrees that a final judgment in any Action so brought shall be conclusive and may be enforced by suit on the judgment or in any other manner provided by law or at equity. EACH PARTY HERETO HEREBY IRREVOCABLY WAIVES ALL RIGHTS TO TRIAL BY JURY IN ANY ACTION BROUGHT TO RESOLVE ANY DISPUTE BETWEEN OR AMONG ANY OF THE PARTIES (WHETHER ARISING IN CONTRACT, TORT OR OTHERWISE) ARISING OUT OF, CONNECTED WITH, RELATED OR INCIDENTAL TO THIS AGREEMENT, THE TRANSACTIONS OR THE RELATIONSHIPS ESTABLISHED AMONG THE PARTIES UNDER THIS AGREEMENT. EACH PARTY FURTHER WARRANTS AND REPRESENTS THAT SUCH PARTY HAS REVIEWED THIS WAIVER WITH ITS LEGAL COUNSEL, AND THAT SUCH PARTY KNOWINGLY AND VOLUNTARILY WAIVES ITS JURY TRIAL RIGHTS FOLLOWING CONSULTATION WITH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02" w:name="page103"/>
    <w:bookmarkEnd w:id="102"/>
    <w:p>
      <w:pPr>
        <w:ind w:right="60" w:firstLine="324"/>
        <w:spacing w:after="0" w:line="287"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Amendments and Modifications</w:t>
      </w:r>
      <w:r>
        <w:rPr>
          <w:rFonts w:ascii="Arial" w:cs="Arial" w:eastAsia="Arial" w:hAnsi="Arial"/>
          <w:sz w:val="16"/>
          <w:szCs w:val="16"/>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any amendment hereto or waiver hereof that adversely affects one Holder, solely in his, her or its capacity as a holder of the Registrable Securities, in a manner that is materially different from the other Holders (in such capacity) shall require the consent of the Holder so affected;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provision that has terminated with respect to a party shall not require any consent of such party (and such party’s Registrable Securities shall not be considered in computing any percentages) with respect to amending or modifying such provision. Each Holder agrees that any waiver, amendment or modification effected in accordance with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be binding on all Holders and their successors and assigns.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72"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terminate upon the earlier of (a) with respect to any Holder on the date that such Holder no longer holds any Registrable Securities; (b) with respect to any Holder (other than any Sponsor Holder who at the Closing was issued Registrable Securities subject to price-based vesting, a “</w:t>
      </w:r>
      <w:r>
        <w:rPr>
          <w:rFonts w:ascii="Arial" w:cs="Arial" w:eastAsia="Arial" w:hAnsi="Arial"/>
          <w:sz w:val="16"/>
          <w:szCs w:val="16"/>
          <w:b w:val="1"/>
          <w:bCs w:val="1"/>
          <w:i w:val="1"/>
          <w:iCs w:val="1"/>
          <w:color w:val="auto"/>
        </w:rPr>
        <w:t>Vesting Sponsor Holder</w:t>
      </w:r>
      <w:r>
        <w:rPr>
          <w:rFonts w:ascii="Arial" w:cs="Arial" w:eastAsia="Arial" w:hAnsi="Arial"/>
          <w:sz w:val="16"/>
          <w:szCs w:val="16"/>
          <w:color w:val="auto"/>
        </w:rPr>
        <w:t>”) on the date that is three (3) years after the Closing; and (c) with respect to a Vesting Sponsor Holder that at the time of vesting continues to hold at least 1% of the aggregate amount of shares of Common Stock that constitute Registrable Securities (including shares underlying equity awards, warrants or other equity instruments convertible or exercisable into shares of Common Stock) immediately following the Closing, the earlier of (A) one (1) year after the price-based vesting condition is met (but in no event less than three (3) years after the Closing) and (B) six</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 years after the Closing; provided that, in all respects, the provisions of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survive any termination with respect to any such Holder.</w:t>
      </w:r>
    </w:p>
    <w:p>
      <w:pPr>
        <w:spacing w:after="0" w:line="222"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6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Qualified Additional Holders</w:t>
      </w:r>
      <w:r>
        <w:rPr>
          <w:rFonts w:ascii="Arial" w:cs="Arial" w:eastAsia="Arial" w:hAnsi="Arial"/>
          <w:sz w:val="17"/>
          <w:szCs w:val="17"/>
          <w:color w:val="auto"/>
        </w:rPr>
        <w:t>. In the event that after the date of this Agreement, the Company wishes to provide any Qualified Additional Holders registration rights as contemplated by this Agreement, then the Company shall cause such Qualified Additional Holder to become a party to this Agreement by executing a joinder agreement in the form attached hereto as Exhibit A, agreeing to be bound by and subject to the terms of this Agreement as a Holder and thereafter such Qualified Additional Holder shall be deemed a Holder for all purposes under this Agreement.</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Holder Information</w:t>
      </w:r>
      <w:r>
        <w:rPr>
          <w:rFonts w:ascii="Arial" w:cs="Arial" w:eastAsia="Arial" w:hAnsi="Arial"/>
          <w:sz w:val="18"/>
          <w:szCs w:val="18"/>
          <w:color w:val="auto"/>
        </w:rPr>
        <w:t>. Each Holder agrees, if requested in writing, to represent to the Company the total number of Registrable Securities held by such Holder in order for the Company to make determinations hereunder.</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Opt-Out Requests</w:t>
      </w:r>
      <w:r>
        <w:rPr>
          <w:rFonts w:ascii="Arial" w:cs="Arial" w:eastAsia="Arial" w:hAnsi="Arial"/>
          <w:sz w:val="17"/>
          <w:szCs w:val="17"/>
          <w:color w:val="auto"/>
        </w:rPr>
        <w:t>. Each Holder shall have the right, at any time and from time to time (including after receiving information regarding any potential public offering), to elect to not receive any notice that the Company or any other Holders otherwise are required to deliver pursuant to this Agreement by delivering to the Company a written statement signed by such Holder that it does not want to receive any notices hereunder (an “</w:t>
      </w:r>
      <w:r>
        <w:rPr>
          <w:rFonts w:ascii="Arial" w:cs="Arial" w:eastAsia="Arial" w:hAnsi="Arial"/>
          <w:sz w:val="17"/>
          <w:szCs w:val="17"/>
          <w:b w:val="1"/>
          <w:bCs w:val="1"/>
          <w:i w:val="1"/>
          <w:iCs w:val="1"/>
          <w:color w:val="auto"/>
        </w:rPr>
        <w:t>Opt-Out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Request</w:t>
      </w:r>
      <w:r>
        <w:rPr>
          <w:rFonts w:ascii="Arial" w:cs="Arial" w:eastAsia="Arial" w:hAnsi="Arial"/>
          <w:sz w:val="17"/>
          <w:szCs w:val="17"/>
          <w:color w:val="auto"/>
        </w:rPr>
        <w:t>”); in which case and notwithstanding anything to the contrary in this Agreement the Company and other Holders shall not be required to, and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not, deliver any notice or other information required to be provided to Holders hereunder to the extent that the Company or such other Holders reasonably expect would result in a Holder acquiring material non-public information within the meaning of Regulation FD promulgated under the Exchange Act. An Opt-Out Request may state a date on which it expires or, if no such date is specified, shall remain in effect indefinitely. A Holder who previously has given the Company an Opt-Out Request may revoke such request at any time, and there shall be no limit on the ability of a Holder to issue and revoke subsequent Opt-Out Requests;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Holder shall use commercially reasonable efforts to minimize the administrative burden on the Company arising in connection with any such Opt-Out Requests.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written above.</w:t>
      </w:r>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TRISALUS LIFE SCIENCES, INC.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 /s/ Christopher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14605</wp:posOffset>
            </wp:positionV>
            <wp:extent cx="33432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Dewey</w:t>
      </w:r>
    </w:p>
    <w:p>
      <w:pPr>
        <w:spacing w:after="0" w:line="23"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HOLDERS:</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MEDTECH ACQUISITION SPONSOR LLC,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 /s/ Christopher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14605</wp:posOffset>
            </wp:positionV>
            <wp:extent cx="33432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Dewey</w:t>
      </w:r>
    </w:p>
    <w:p>
      <w:pPr>
        <w:spacing w:after="0" w:line="23"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443230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99"/>
          </w:cols>
          <w:pgMar w:left="660" w:top="904" w:right="1440"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written above.</w:t>
      </w:r>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HOLDER:</w:t>
      </w:r>
    </w:p>
    <w:p>
      <w:pPr>
        <w:spacing w:after="0" w:line="22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14605</wp:posOffset>
            </wp:positionV>
            <wp:extent cx="33515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443230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99"/>
          </w:cols>
          <w:pgMar w:left="660" w:top="904" w:right="1440"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Form of Joinder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06" w:name="page107"/>
    <w:bookmarkEnd w:id="106"/>
    <w:p>
      <w:pPr>
        <w:jc w:val="center"/>
        <w:ind w:right="-119"/>
        <w:spacing w:after="0"/>
        <w:rPr>
          <w:sz w:val="20"/>
          <w:szCs w:val="20"/>
          <w:color w:val="auto"/>
        </w:rPr>
      </w:pPr>
      <w:r>
        <w:rPr>
          <w:rFonts w:ascii="Arial" w:cs="Arial" w:eastAsia="Arial" w:hAnsi="Arial"/>
          <w:sz w:val="18"/>
          <w:szCs w:val="18"/>
          <w:b w:val="1"/>
          <w:bCs w:val="1"/>
          <w:color w:val="auto"/>
        </w:rPr>
        <w:t>FORM OF JOINDER TO AMENDED AND RESTATED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 AGREEMENT</w:t>
      </w:r>
    </w:p>
    <w:p>
      <w:pPr>
        <w:spacing w:after="0" w:line="207" w:lineRule="exact"/>
        <w:rPr>
          <w:sz w:val="20"/>
          <w:szCs w:val="20"/>
          <w:color w:val="auto"/>
        </w:rPr>
      </w:pPr>
    </w:p>
    <w:p>
      <w:pPr>
        <w:ind w:left="5760" w:hanging="827"/>
        <w:spacing w:after="0"/>
        <w:tabs>
          <w:tab w:leader="none" w:pos="57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20</w:t>
      </w:r>
      <w:r>
        <w:rPr>
          <w:rFonts w:ascii="Arial" w:cs="Arial" w:eastAsia="Arial" w:hAnsi="Arial"/>
          <w:sz w:val="18"/>
          <w:szCs w:val="18"/>
          <w:color w:val="auto"/>
        </w:rPr>
        <w:t>[●]</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Reference is made to that certain Amended and Restated Registration Rights Agreement (as may be amended and/or restated from time to time, the “</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dated as of August 10, 2023, by and among TriSalus Life Sciences,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MedTech Acquisition Sponsor LLC, a Delaware limited liability company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certain former stockholders of TriSalus Operating Life Sciences, Inc., a Delaware corporation (formerly known as TriSalus Life Sciences, Inc. (“</w:t>
      </w:r>
      <w:r>
        <w:rPr>
          <w:rFonts w:ascii="Arial" w:cs="Arial" w:eastAsia="Arial" w:hAnsi="Arial"/>
          <w:sz w:val="18"/>
          <w:szCs w:val="18"/>
          <w:b w:val="1"/>
          <w:bCs w:val="1"/>
          <w:i w:val="1"/>
          <w:iCs w:val="1"/>
          <w:color w:val="auto"/>
        </w:rPr>
        <w:t>Legacy TriSalus</w:t>
      </w:r>
      <w:r>
        <w:rPr>
          <w:rFonts w:ascii="Arial" w:cs="Arial" w:eastAsia="Arial" w:hAnsi="Arial"/>
          <w:sz w:val="18"/>
          <w:szCs w:val="18"/>
          <w:color w:val="auto"/>
        </w:rPr>
        <w:t>”)), and all members of the Sponsor listed under Holder on the signature page thereto. Capitalized terms used but not otherwise defined herein shall have the meanings ascribed to such terms in the Registration Rights Agreement.</w:t>
      </w:r>
    </w:p>
    <w:p>
      <w:pPr>
        <w:spacing w:after="0" w:line="192"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undersigned hereby agrees to and does become party to the Registration Rights Agreement as a Holder thereunder. This Joinder shall serve as a counterpart signature page to the Registration Rights Agreement and by executing below the undersigned is deemed to have executed the Registration Rights Agreement with the same force and effect as if originally named a party thereto.</w:t>
      </w:r>
    </w:p>
    <w:p>
      <w:pPr>
        <w:spacing w:after="0" w:line="18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This Joinder may be executed in multiple counterparts, including by means of facsimile or electronic signature, each of which shall be deemed an original, but all of which together shall constitute the same instrument.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right"/>
        <w:ind w:left="640"/>
        <w:spacing w:after="0" w:line="266" w:lineRule="auto"/>
        <w:rPr>
          <w:sz w:val="20"/>
          <w:szCs w:val="20"/>
          <w:color w:val="auto"/>
        </w:rPr>
      </w:pPr>
      <w:r>
        <w:rPr>
          <w:rFonts w:ascii="Arial" w:cs="Arial" w:eastAsia="Arial" w:hAnsi="Arial"/>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176" w:lineRule="exact"/>
        <w:rPr>
          <w:sz w:val="20"/>
          <w:szCs w:val="20"/>
          <w:color w:val="auto"/>
        </w:rPr>
      </w:pPr>
    </w:p>
    <w:p>
      <w:pPr>
        <w:ind w:left="4460"/>
        <w:spacing w:after="0"/>
        <w:rPr>
          <w:sz w:val="20"/>
          <w:szCs w:val="20"/>
          <w:color w:val="auto"/>
        </w:rPr>
      </w:pPr>
      <w:r>
        <w:rPr>
          <w:rFonts w:ascii="Arial" w:cs="Arial" w:eastAsia="Arial" w:hAnsi="Arial"/>
          <w:sz w:val="18"/>
          <w:szCs w:val="18"/>
          <w:b w:val="1"/>
          <w:bCs w:val="1"/>
          <w:u w:val="single" w:color="auto"/>
          <w:color w:val="auto"/>
        </w:rPr>
        <w:t>TRISALUS LIFE SCIENCES</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u w:val="single" w:color="auto"/>
          <w:color w:val="auto"/>
        </w:rPr>
        <w:t>AT-WILL EMPLOYMENT, CONFIDENTIAL INFORMATION,</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b w:val="1"/>
          <w:bCs w:val="1"/>
          <w:u w:val="single" w:color="auto"/>
          <w:color w:val="auto"/>
        </w:rPr>
        <w:t>INVENTION ASSIGNMENT AND ARBITRATION AGREEMENT</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a condition of my employment with TriSalus Life Sciences, Inc. (the “</w:t>
      </w:r>
      <w:r>
        <w:rPr>
          <w:rFonts w:ascii="Arial" w:cs="Arial" w:eastAsia="Arial" w:hAnsi="Arial"/>
          <w:sz w:val="18"/>
          <w:szCs w:val="18"/>
          <w:b w:val="1"/>
          <w:bCs w:val="1"/>
          <w:color w:val="auto"/>
        </w:rPr>
        <w:t>Company</w:t>
      </w:r>
      <w:r>
        <w:rPr>
          <w:rFonts w:ascii="Arial" w:cs="Arial" w:eastAsia="Arial" w:hAnsi="Arial"/>
          <w:sz w:val="18"/>
          <w:szCs w:val="18"/>
          <w:color w:val="auto"/>
        </w:rPr>
        <w:t>”), and in consideration of my employment with the Company, my receipt of the compensation now and hereafter paid to me by Company, and the Company’s agreement to provide me with access to Company Confidential Information (as defined below). I agree to the following provisions of this At-Will Employment, Confidential Information, Invention Assignment, and Arbitration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during the course of my employment, I will have access to and knowledge of Company’s trade secrets and Company Confidential Information in accordance with Colo. Rev. Stat. §8-2-113 and/or proprietary technology relating to Company’s products, services, and business, and to have contact with, learn about, provide services to, and establish relationships with customers and business partners of Company.</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Company maintains a technically skilled workforce by conducting specialized in-house training and development of employees which is vital to maintain a competitive operation; and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it is of material benefit to me to participate in on the job training and receive additional training and knowledge provided by Company and it is of material benefit to reasonably restrict the use of said training in a competitive marketplace and to restrict the disclosure of Company’s trade secrets and Confidential Information with a nondisclosure and non-competition agreement both of which are reasonable in terms of scope, geography and duration.</w:t>
      </w:r>
    </w:p>
    <w:p>
      <w:pPr>
        <w:spacing w:after="0" w:line="183"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AT-WILL EMPLOYMENT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 UNDERSTAND AND ACKNOWLEDGE THAT MY EMPLOYMENT WITH THE COMPANY IS FOR NO SPECIFIED TERM AND CONSTITUTES “AT-WILL” EMPLOYMENT. I ALSO UNDERSTAND THAT ANY REPRESENTATION TO THE CONTRARY IS UNAUTHORIZED AND NOT VALID UNLESS IN WRITING AND SIGNED BY THE PRESIDENT OR CEO OF THE COMPANY. ACCORDINGLY, I ACKNOWLEDGE THAT MY EMPLOYMENT RELATIONSHIP MAY BE TERMINATED AT ANY TIME, WITH OR WITHOUT GOOD CAUSE OR FOR ANY OR NO CAUSE, AT MY OPTION OR AT THE OPTION OF THE COMPANY, WITH OR WITHOUT NOTICE. I FURTHER ACKNOWLEDGE THAT THE COMPANY MAY MODIFY JOB TITLES, SALARIES, AND BENEFITS FROM TIME TO TIME AS IT DEEMS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ind w:left="644" w:hanging="644"/>
        <w:spacing w:after="0"/>
        <w:tabs>
          <w:tab w:leader="none" w:pos="644"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5" w:lineRule="exact"/>
        <w:rPr>
          <w:rFonts w:ascii="Arial" w:cs="Arial" w:eastAsia="Arial" w:hAnsi="Arial"/>
          <w:sz w:val="18"/>
          <w:szCs w:val="18"/>
          <w:b w:val="1"/>
          <w:bCs w:val="1"/>
          <w:color w:val="auto"/>
        </w:rPr>
      </w:pPr>
    </w:p>
    <w:p>
      <w:pPr>
        <w:jc w:val="both"/>
        <w:ind w:left="-656" w:firstLine="1304"/>
        <w:spacing w:after="0" w:line="285" w:lineRule="auto"/>
        <w:tabs>
          <w:tab w:leader="none" w:pos="1395"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Definition of Company Confidential Information</w:t>
      </w:r>
      <w:r>
        <w:rPr>
          <w:rFonts w:ascii="Arial" w:cs="Arial" w:eastAsia="Arial" w:hAnsi="Arial"/>
          <w:sz w:val="16"/>
          <w:szCs w:val="16"/>
          <w:color w:val="auto"/>
        </w:rPr>
        <w:t>. I understand that “</w:t>
      </w:r>
      <w:r>
        <w:rPr>
          <w:rFonts w:ascii="Arial" w:cs="Arial" w:eastAsia="Arial" w:hAnsi="Arial"/>
          <w:sz w:val="16"/>
          <w:szCs w:val="16"/>
          <w:b w:val="1"/>
          <w:bCs w:val="1"/>
          <w:color w:val="auto"/>
        </w:rPr>
        <w:t>Company Confidential Information</w:t>
      </w:r>
      <w:r>
        <w:rPr>
          <w:rFonts w:ascii="Arial" w:cs="Arial" w:eastAsia="Arial" w:hAnsi="Arial"/>
          <w:sz w:val="16"/>
          <w:szCs w:val="16"/>
          <w:color w:val="auto"/>
        </w:rPr>
        <w:t>” means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any and all combinations of individual items of information) that the Company has or will develop, acquire, create, compile, discover or own, that has value in or to the Company’s business which is not generally known and which the Company wishes to maintain as confidential. Company Confidential Information includes both information disclosed by the Company to me, and information developed or learned by me during the course of my employment with the Company. Company Confidential Information also includes all information of which the unauthorized disclosure could be detrimental to the interests of the Company, whether or not such information is identified as Company Confidential Information. By example, and without limitation, Company Confidential Information includes any and all non-public information that relates to the actual or anticipated business and/or products, research or development of the Company, or to the Company’s technical data, trade secrets, or know-how, including, but not limited to, research, product plans, or other information regarding the Company’s products or services and markets therefor, customer lists and customers (including, but not limited to, customers of the Company on which I called or with which I may become acquainted during the term of my employment), software, developments, inventions, discoveries, ideas, processes, formulas, technology, designs, drawings, engineering, hardware configuration information, marketing, finances, and other business information disclosed by the Company either directly or indirectly in writing, orally or by drawings or inspection of premises, parts, equipment, or other Company property. Notwithstanding the foregoing, Company Confidential Information shall not include any such information which I can establish (i) was publicly known or made generally available prior to the time of disclosure by the Company to me; (ii) becomes publicly known or made generally available after disclosure by the Company to me through no wrongful action or omission by me; or (iii) is in my rightful possession, without confidentiality obligations, at the time of disclosure by the Company as shown by my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 I understand that nothing in this Agreement is intended to limit employees’ rights to discuss the terms, wages, and working conditions of their employment, as protected by applicable law.</w:t>
      </w:r>
    </w:p>
    <w:p>
      <w:pPr>
        <w:spacing w:after="0" w:line="172" w:lineRule="exact"/>
        <w:rPr>
          <w:rFonts w:ascii="Arial" w:cs="Arial" w:eastAsia="Arial" w:hAnsi="Arial"/>
          <w:sz w:val="16"/>
          <w:szCs w:val="16"/>
          <w:color w:val="auto"/>
        </w:rPr>
      </w:pPr>
    </w:p>
    <w:p>
      <w:pPr>
        <w:jc w:val="both"/>
        <w:ind w:left="-656" w:firstLine="1304"/>
        <w:spacing w:after="0" w:line="269" w:lineRule="auto"/>
        <w:tabs>
          <w:tab w:leader="none" w:pos="1615" w:val="left"/>
        </w:tabs>
        <w:numPr>
          <w:ilvl w:val="1"/>
          <w:numId w:val="63"/>
        </w:numPr>
        <w:rPr>
          <w:rFonts w:ascii="Arial" w:cs="Arial" w:eastAsia="Arial" w:hAnsi="Arial"/>
          <w:sz w:val="17"/>
          <w:szCs w:val="17"/>
          <w:color w:val="auto"/>
        </w:rPr>
      </w:pPr>
      <w:r>
        <w:rPr>
          <w:rFonts w:ascii="Arial" w:cs="Arial" w:eastAsia="Arial" w:hAnsi="Arial"/>
          <w:sz w:val="17"/>
          <w:szCs w:val="17"/>
          <w:i w:val="1"/>
          <w:iCs w:val="1"/>
          <w:color w:val="auto"/>
        </w:rPr>
        <w:t>Nonuse and Nondisclosure</w:t>
      </w:r>
      <w:r>
        <w:rPr>
          <w:rFonts w:ascii="Arial" w:cs="Arial" w:eastAsia="Arial" w:hAnsi="Arial"/>
          <w:sz w:val="17"/>
          <w:szCs w:val="17"/>
          <w:color w:val="auto"/>
        </w:rPr>
        <w:t>. I agree that during and after my employment with the Company, I will hold in the strictest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confidence and take all reasonable precautions to prevent any unauthorized use or disclosure of Company Confidential Information. I will not (i) use Company Confidential Information for any purpose whatsoever other than for the benefit of the Company in the course of my employment, or (ii) disclose Company Confidential Information to any third party without the prior written authorization of the President, CEO, or the Board of Directors of the Company. Prior to disclosure, when compelled by applicable law, I shall provide prior written notice to the President, CEO, and General Counsel of the Company (as applicable). I agree that I obtain no title to any Company Confidential Information, and that the Company retains all Confidential Information as the sole property of the Company. I understand that my unauthorized use, threat of use or disclosure of Company Confidential Information during my employment may lead to disciplinary action, up to and including, immediate termination and legal action by the Company. I understand that my obligations under this </w:t>
      </w:r>
      <w:r>
        <w:rPr>
          <w:rFonts w:ascii="Arial" w:cs="Arial" w:eastAsia="Arial" w:hAnsi="Arial"/>
          <w:sz w:val="17"/>
          <w:szCs w:val="17"/>
          <w:b w:val="1"/>
          <w:bCs w:val="1"/>
          <w:color w:val="auto"/>
        </w:rPr>
        <w:t>Section 2.B</w:t>
      </w:r>
      <w:r>
        <w:rPr>
          <w:rFonts w:ascii="Arial" w:cs="Arial" w:eastAsia="Arial" w:hAnsi="Arial"/>
          <w:sz w:val="17"/>
          <w:szCs w:val="17"/>
          <w:color w:val="auto"/>
        </w:rPr>
        <w:t xml:space="preserve"> shall continue after termination of my employment and also that nothing in this Agreement prevents me from engaging in protected activity, as described in </w:t>
      </w:r>
      <w:r>
        <w:rPr>
          <w:rFonts w:ascii="Arial" w:cs="Arial" w:eastAsia="Arial" w:hAnsi="Arial"/>
          <w:sz w:val="17"/>
          <w:szCs w:val="17"/>
          <w:b w:val="1"/>
          <w:bCs w:val="1"/>
          <w:color w:val="auto"/>
        </w:rPr>
        <w:t>Section 14</w:t>
      </w:r>
      <w:r>
        <w:rPr>
          <w:rFonts w:ascii="Arial" w:cs="Arial" w:eastAsia="Arial" w:hAnsi="Arial"/>
          <w:sz w:val="17"/>
          <w:szCs w:val="17"/>
          <w:color w:val="auto"/>
        </w:rPr>
        <w:t xml:space="preserve"> below.</w:t>
      </w:r>
    </w:p>
    <w:p>
      <w:pPr>
        <w:spacing w:after="0" w:line="185" w:lineRule="exact"/>
        <w:rPr>
          <w:rFonts w:ascii="Arial" w:cs="Arial" w:eastAsia="Arial" w:hAnsi="Arial"/>
          <w:sz w:val="17"/>
          <w:szCs w:val="17"/>
          <w:color w:val="auto"/>
        </w:rPr>
      </w:pPr>
    </w:p>
    <w:p>
      <w:pPr>
        <w:jc w:val="both"/>
        <w:ind w:left="-656" w:firstLine="1304"/>
        <w:spacing w:after="0" w:line="275" w:lineRule="auto"/>
        <w:tabs>
          <w:tab w:leader="none" w:pos="1412" w:val="left"/>
        </w:tabs>
        <w:numPr>
          <w:ilvl w:val="1"/>
          <w:numId w:val="63"/>
        </w:numPr>
        <w:rPr>
          <w:rFonts w:ascii="Arial" w:cs="Arial" w:eastAsia="Arial" w:hAnsi="Arial"/>
          <w:sz w:val="17"/>
          <w:szCs w:val="17"/>
          <w:color w:val="auto"/>
        </w:rPr>
      </w:pPr>
      <w:r>
        <w:rPr>
          <w:rFonts w:ascii="Arial" w:cs="Arial" w:eastAsia="Arial" w:hAnsi="Arial"/>
          <w:sz w:val="17"/>
          <w:szCs w:val="17"/>
          <w:i w:val="1"/>
          <w:iCs w:val="1"/>
          <w:color w:val="auto"/>
        </w:rPr>
        <w:t>Former Employer Confidential Information</w:t>
      </w:r>
      <w:r>
        <w:rPr>
          <w:rFonts w:ascii="Arial" w:cs="Arial" w:eastAsia="Arial" w:hAnsi="Arial"/>
          <w:sz w:val="17"/>
          <w:szCs w:val="17"/>
          <w:color w:val="auto"/>
        </w:rPr>
        <w:t>. I agree that during my employment with the Company, I will not improperly use,</w:t>
      </w:r>
      <w:r>
        <w:rPr>
          <w:rFonts w:ascii="Arial" w:cs="Arial" w:eastAsia="Arial" w:hAnsi="Arial"/>
          <w:sz w:val="17"/>
          <w:szCs w:val="17"/>
          <w:i w:val="1"/>
          <w:iCs w:val="1"/>
          <w:color w:val="auto"/>
        </w:rPr>
        <w:t xml:space="preserve"> </w:t>
      </w:r>
      <w:r>
        <w:rPr>
          <w:rFonts w:ascii="Arial" w:cs="Arial" w:eastAsia="Arial" w:hAnsi="Arial"/>
          <w:sz w:val="17"/>
          <w:szCs w:val="17"/>
          <w:color w:val="auto"/>
        </w:rPr>
        <w:t>disclose, or induce the Company to use any proprietary information or trade secrets of any former employer or other person or entity with which I have an obligation to keep such proprietary information or trade secrets in confidence. I further agree that I will not bring onto the Company’s premises or transfer onto the Company’s technology systems any unpublished document, proprietary information, or trade secrets belonging to any such third party unless disclosure to, and use by, the Company has been consented to, in writing, by such third party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412115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9" w:name="page110"/>
    <w:bookmarkEnd w:id="109"/>
    <w:p>
      <w:pPr>
        <w:jc w:val="both"/>
        <w:ind w:left="-656" w:firstLine="1304"/>
        <w:spacing w:after="0" w:line="268" w:lineRule="auto"/>
        <w:tabs>
          <w:tab w:leader="none" w:pos="1530" w:val="left"/>
        </w:tabs>
        <w:numPr>
          <w:ilvl w:val="1"/>
          <w:numId w:val="64"/>
        </w:numPr>
        <w:rPr>
          <w:rFonts w:ascii="Arial" w:cs="Arial" w:eastAsia="Arial" w:hAnsi="Arial"/>
          <w:sz w:val="17"/>
          <w:szCs w:val="17"/>
          <w:color w:val="auto"/>
        </w:rPr>
      </w:pPr>
      <w:r>
        <w:rPr>
          <w:rFonts w:ascii="Arial" w:cs="Arial" w:eastAsia="Arial" w:hAnsi="Arial"/>
          <w:sz w:val="17"/>
          <w:szCs w:val="17"/>
          <w:i w:val="1"/>
          <w:iCs w:val="1"/>
          <w:color w:val="auto"/>
        </w:rPr>
        <w:t>Third Party Information</w:t>
      </w:r>
      <w:r>
        <w:rPr>
          <w:rFonts w:ascii="Arial" w:cs="Arial" w:eastAsia="Arial" w:hAnsi="Arial"/>
          <w:sz w:val="17"/>
          <w:szCs w:val="17"/>
          <w:color w:val="auto"/>
        </w:rPr>
        <w:t>. I recognize that the Company has received, and in the future may receive, from third parties (for</w:t>
      </w:r>
      <w:r>
        <w:rPr>
          <w:rFonts w:ascii="Arial" w:cs="Arial" w:eastAsia="Arial" w:hAnsi="Arial"/>
          <w:sz w:val="17"/>
          <w:szCs w:val="17"/>
          <w:i w:val="1"/>
          <w:iCs w:val="1"/>
          <w:color w:val="auto"/>
        </w:rPr>
        <w:t xml:space="preserve"> </w:t>
      </w:r>
      <w:r>
        <w:rPr>
          <w:rFonts w:ascii="Arial" w:cs="Arial" w:eastAsia="Arial" w:hAnsi="Arial"/>
          <w:sz w:val="17"/>
          <w:szCs w:val="17"/>
          <w:color w:val="auto"/>
        </w:rPr>
        <w:t>example, customers, suppliers, licensors, licensees, partners, and collaborators) as well as its subsidiaries and affiliates (“</w:t>
      </w:r>
      <w:r>
        <w:rPr>
          <w:rFonts w:ascii="Arial" w:cs="Arial" w:eastAsia="Arial" w:hAnsi="Arial"/>
          <w:sz w:val="17"/>
          <w:szCs w:val="17"/>
          <w:b w:val="1"/>
          <w:bCs w:val="1"/>
          <w:color w:val="auto"/>
        </w:rPr>
        <w:t>Associated Third Parties</w:t>
      </w:r>
      <w:r>
        <w:rPr>
          <w:rFonts w:ascii="Arial" w:cs="Arial" w:eastAsia="Arial" w:hAnsi="Arial"/>
          <w:sz w:val="17"/>
          <w:szCs w:val="17"/>
          <w:color w:val="auto"/>
        </w:rPr>
        <w:t>”), information which the Company is required to maintain and treat as confidential or proprietary information of such Associated Third Parties (“</w:t>
      </w:r>
      <w:r>
        <w:rPr>
          <w:rFonts w:ascii="Arial" w:cs="Arial" w:eastAsia="Arial" w:hAnsi="Arial"/>
          <w:sz w:val="17"/>
          <w:szCs w:val="17"/>
          <w:b w:val="1"/>
          <w:bCs w:val="1"/>
          <w:color w:val="auto"/>
        </w:rPr>
        <w:t>Associated</w:t>
      </w:r>
      <w:r>
        <w:rPr>
          <w:rFonts w:ascii="Arial" w:cs="Arial" w:eastAsia="Arial" w:hAnsi="Arial"/>
          <w:sz w:val="17"/>
          <w:szCs w:val="17"/>
          <w:color w:val="auto"/>
        </w:rPr>
        <w:t xml:space="preserve"> </w:t>
      </w:r>
      <w:r>
        <w:rPr>
          <w:rFonts w:ascii="Arial" w:cs="Arial" w:eastAsia="Arial" w:hAnsi="Arial"/>
          <w:sz w:val="17"/>
          <w:szCs w:val="17"/>
          <w:b w:val="1"/>
          <w:bCs w:val="1"/>
          <w:color w:val="auto"/>
        </w:rPr>
        <w:t>Third Party Confidential Information</w:t>
      </w:r>
      <w:r>
        <w:rPr>
          <w:rFonts w:ascii="Arial" w:cs="Arial" w:eastAsia="Arial" w:hAnsi="Arial"/>
          <w:sz w:val="17"/>
          <w:szCs w:val="17"/>
          <w:color w:val="auto"/>
        </w:rPr>
        <w:t>”), and I agree to use such Associated Third Party Confidential Information only as directed by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to not use or disclose such Associated Third Party Confidential Information in a manner that would violate the Company’s obligations to such Associated Third Parties. By way of example, Associated Third Party Confidential Information may include the habits or practices of Associated Third Parties, the technology of Associated Third Parties, requirements of Associated Third Parties, and information related to the business conducted between the Company and such Associated Third Parties. I agree at all times during my employment with the Company and thereafter, that I owe the Company and its Associated Third Parties a duty to hold all such Associated Third Party Confidential Information in the strictest confidence, and not to use it or to disclose it to any person, firm, corporation, or other third party except as necessary in carrying out my work for the Company consistent with the Company’s agreement with such Associated Third Parties. I further agree to comply with any and all Company policies and guidelines that may be adopted from time to time regarding Associated Third Parties and Associated Third Party Confidential Information. I understand that my unauthorized use or disclosure of Associated Third Party Confidential Information or violation of any Company policies during my employment may lead to disciplinary action, up to and including, immediate termination and legal action by the Company.</w:t>
      </w:r>
    </w:p>
    <w:p>
      <w:pPr>
        <w:spacing w:after="0" w:line="180" w:lineRule="exact"/>
        <w:rPr>
          <w:rFonts w:ascii="Arial" w:cs="Arial" w:eastAsia="Arial" w:hAnsi="Arial"/>
          <w:sz w:val="17"/>
          <w:szCs w:val="17"/>
          <w:color w:val="auto"/>
        </w:rPr>
      </w:pPr>
    </w:p>
    <w:p>
      <w:pPr>
        <w:ind w:left="644" w:hanging="644"/>
        <w:spacing w:after="0"/>
        <w:tabs>
          <w:tab w:leader="none" w:pos="644"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OWNERSHIP</w:t>
      </w:r>
    </w:p>
    <w:p>
      <w:pPr>
        <w:spacing w:after="0" w:line="229" w:lineRule="exact"/>
        <w:rPr>
          <w:rFonts w:ascii="Arial" w:cs="Arial" w:eastAsia="Arial" w:hAnsi="Arial"/>
          <w:sz w:val="18"/>
          <w:szCs w:val="18"/>
          <w:b w:val="1"/>
          <w:bCs w:val="1"/>
          <w:color w:val="auto"/>
        </w:rPr>
      </w:pPr>
    </w:p>
    <w:p>
      <w:pPr>
        <w:jc w:val="both"/>
        <w:ind w:left="-656" w:firstLine="1304"/>
        <w:spacing w:after="0" w:line="286" w:lineRule="auto"/>
        <w:tabs>
          <w:tab w:leader="none" w:pos="1463" w:val="left"/>
        </w:tabs>
        <w:numPr>
          <w:ilvl w:val="1"/>
          <w:numId w:val="65"/>
        </w:numPr>
        <w:rPr>
          <w:rFonts w:ascii="Arial" w:cs="Arial" w:eastAsia="Arial" w:hAnsi="Arial"/>
          <w:sz w:val="16"/>
          <w:szCs w:val="16"/>
          <w:color w:val="auto"/>
        </w:rPr>
      </w:pPr>
      <w:r>
        <w:rPr>
          <w:rFonts w:ascii="Arial" w:cs="Arial" w:eastAsia="Arial" w:hAnsi="Arial"/>
          <w:sz w:val="16"/>
          <w:szCs w:val="16"/>
          <w:i w:val="1"/>
          <w:iCs w:val="1"/>
          <w:color w:val="auto"/>
        </w:rPr>
        <w:t>Assignment of Inventions</w:t>
      </w:r>
      <w:r>
        <w:rPr>
          <w:rFonts w:ascii="Arial" w:cs="Arial" w:eastAsia="Arial" w:hAnsi="Arial"/>
          <w:sz w:val="16"/>
          <w:szCs w:val="16"/>
          <w:color w:val="auto"/>
        </w:rPr>
        <w:t>. As between the Company and myself, I agree that all right, title, and interest in and to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copyrightable material, notes, records, drawings, designs, logos, inventions, improvements, developments, discoveries, ideas and trade secrets conceived, discovered, authored, invented, developed or reduced to practice by me, solely or in collaboration with others, during the period of time I am in the employ of the Company (including during my off-duty hours), or with the use of Company’s equipment, supplies, facilities, or Company Confidential Information, and any copyrights, patents, trade secrets, mask work rights or other intellectual property rights relating to the foregoing, except as provided in </w:t>
      </w:r>
      <w:r>
        <w:rPr>
          <w:rFonts w:ascii="Arial" w:cs="Arial" w:eastAsia="Arial" w:hAnsi="Arial"/>
          <w:sz w:val="16"/>
          <w:szCs w:val="16"/>
          <w:b w:val="1"/>
          <w:bCs w:val="1"/>
          <w:color w:val="auto"/>
        </w:rPr>
        <w:t>Section 3.G</w:t>
      </w:r>
      <w:r>
        <w:rPr>
          <w:rFonts w:ascii="Arial" w:cs="Arial" w:eastAsia="Arial" w:hAnsi="Arial"/>
          <w:sz w:val="16"/>
          <w:szCs w:val="16"/>
          <w:color w:val="auto"/>
        </w:rPr>
        <w:t xml:space="preserve"> below (collectively, “</w:t>
      </w:r>
      <w:r>
        <w:rPr>
          <w:rFonts w:ascii="Arial" w:cs="Arial" w:eastAsia="Arial" w:hAnsi="Arial"/>
          <w:sz w:val="16"/>
          <w:szCs w:val="16"/>
          <w:b w:val="1"/>
          <w:bCs w:val="1"/>
          <w:color w:val="auto"/>
        </w:rPr>
        <w:t>Inventions</w:t>
      </w:r>
      <w:r>
        <w:rPr>
          <w:rFonts w:ascii="Arial" w:cs="Arial" w:eastAsia="Arial" w:hAnsi="Arial"/>
          <w:sz w:val="16"/>
          <w:szCs w:val="16"/>
          <w:color w:val="auto"/>
        </w:rPr>
        <w:t>”), are the sole property of the Company. I also agree to promptly make full written disclosure to the Company of any Inventions, and to deliver and assign and hereby irrevocably assign fully to the Company all of my right, title and interest in and to Inventions. I agree that this assignment includes a present conveyance to the Company of ownership of Inventions that are not yet in existence. I further acknowledge that all original works of authorship that are made by me (solely or jointly with others) within the scope of and during the period of my employment with the Company and that are protectable by copyright are “works made for hire,” as that term is defined in the United States Copyright Act. I understand and agree that the decision whether or not to commercialize or market any Inventions is within the Company’s sole discretion and for the Company’s sole benefit, and that no royalty or other consideration will be due to me as a result of the Company’s efforts to commercialize or market any such Inventions. I agree that I will abide by the Company Protocols as provided to me to document and track all projects I am working on while employed at the Company.</w:t>
      </w:r>
    </w:p>
    <w:p>
      <w:pPr>
        <w:spacing w:after="0" w:line="173" w:lineRule="exact"/>
        <w:rPr>
          <w:rFonts w:ascii="Arial" w:cs="Arial" w:eastAsia="Arial" w:hAnsi="Arial"/>
          <w:sz w:val="16"/>
          <w:szCs w:val="16"/>
          <w:color w:val="auto"/>
        </w:rPr>
      </w:pPr>
    </w:p>
    <w:p>
      <w:pPr>
        <w:jc w:val="both"/>
        <w:ind w:left="-656" w:firstLine="1304"/>
        <w:spacing w:after="0" w:line="287" w:lineRule="auto"/>
        <w:tabs>
          <w:tab w:leader="none" w:pos="1426" w:val="left"/>
        </w:tabs>
        <w:numPr>
          <w:ilvl w:val="1"/>
          <w:numId w:val="65"/>
        </w:numPr>
        <w:rPr>
          <w:rFonts w:ascii="Arial" w:cs="Arial" w:eastAsia="Arial" w:hAnsi="Arial"/>
          <w:sz w:val="16"/>
          <w:szCs w:val="16"/>
          <w:color w:val="auto"/>
        </w:rPr>
      </w:pPr>
      <w:r>
        <w:rPr>
          <w:rFonts w:ascii="Arial" w:cs="Arial" w:eastAsia="Arial" w:hAnsi="Arial"/>
          <w:sz w:val="16"/>
          <w:szCs w:val="16"/>
          <w:i w:val="1"/>
          <w:iCs w:val="1"/>
          <w:color w:val="auto"/>
        </w:rPr>
        <w:t>Pre-Existing Materials</w:t>
      </w:r>
      <w:r>
        <w:rPr>
          <w:rFonts w:ascii="Arial" w:cs="Arial" w:eastAsia="Arial" w:hAnsi="Arial"/>
          <w:sz w:val="16"/>
          <w:szCs w:val="16"/>
          <w:color w:val="auto"/>
        </w:rPr>
        <w:t>. I will inform the Company in writing before incorporating any inventions, discoveries, ideas, original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works of authorship, developments, improvements, trade secrets and other proprietary information or intellectual property rights owned by me or in which I have an interest prior to, or separate from, my employment with the Company </w:t>
      </w:r>
      <w:r>
        <w:rPr>
          <w:rFonts w:ascii="Arial" w:cs="Arial" w:eastAsia="Arial" w:hAnsi="Arial"/>
          <w:sz w:val="16"/>
          <w:szCs w:val="16"/>
          <w:b w:val="1"/>
          <w:bCs w:val="1"/>
          <w:color w:val="auto"/>
        </w:rPr>
        <w:t>(</w:t>
      </w:r>
      <w:r>
        <w:rPr>
          <w:rFonts w:ascii="Arial" w:cs="Arial" w:eastAsia="Arial" w:hAnsi="Arial"/>
          <w:sz w:val="16"/>
          <w:szCs w:val="16"/>
          <w:color w:val="auto"/>
        </w:rPr>
        <w:t xml:space="preserve">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w:t>
      </w:r>
      <w:r>
        <w:rPr>
          <w:rFonts w:ascii="Arial" w:cs="Arial" w:eastAsia="Arial" w:hAnsi="Arial"/>
          <w:sz w:val="16"/>
          <w:szCs w:val="16"/>
          <w:b w:val="1"/>
          <w:bCs w:val="1"/>
          <w:color w:val="auto"/>
        </w:rPr>
        <w:t>Prior Inventions</w:t>
      </w:r>
      <w:r>
        <w:rPr>
          <w:rFonts w:ascii="Arial" w:cs="Arial" w:eastAsia="Arial" w:hAnsi="Arial"/>
          <w:sz w:val="16"/>
          <w:szCs w:val="16"/>
          <w:color w:val="auto"/>
        </w:rPr>
        <w:t xml:space="preserve">”) into any Invention or otherwise utilizing any Prior Invention in the course of my employment with the Company;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incorporated or utilized Prior Inventions, without restriction, including, without limitation, as part of, or in connection with, such Invention, and to practice any method related thereto. I will not incorporate any inventions, discoveries, ideas, original works of authorship, developments, improvements, trade secrets and other proprietary information or intellectual property rights owned by any third party into any Invention without the Company’s prior written permission. I have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a list describing all Prior Inventions that relate to the Company’s current or anticipated business, products, or research and development or, if no such list is attached, I represent and warrant that there are no such Prior Inventions. Furthermore, I represent and warrant that if any Prior Inventions are included on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they will not materially affect my ability to perform all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407035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0" w:name="page111"/>
    <w:bookmarkEnd w:id="110"/>
    <w:p>
      <w:pPr>
        <w:jc w:val="both"/>
        <w:ind w:left="-1120" w:firstLine="1304"/>
        <w:spacing w:after="0" w:line="301" w:lineRule="auto"/>
        <w:tabs>
          <w:tab w:leader="none" w:pos="894"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Moral Rights</w:t>
      </w:r>
      <w:r>
        <w:rPr>
          <w:rFonts w:ascii="Arial" w:cs="Arial" w:eastAsia="Arial" w:hAnsi="Arial"/>
          <w:sz w:val="16"/>
          <w:szCs w:val="16"/>
          <w:color w:val="auto"/>
        </w:rPr>
        <w:t>. Any assignment to the Company of Inventions includes all rights of attribution, paternity, integrity, modification,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and withdrawal, and any other rights throughout the world that may be known as or referred to as “moral rights,” “artist’s rights,” “droit moral,” or the like (collectively, “</w:t>
      </w:r>
      <w:r>
        <w:rPr>
          <w:rFonts w:ascii="Arial" w:cs="Arial" w:eastAsia="Arial" w:hAnsi="Arial"/>
          <w:sz w:val="16"/>
          <w:szCs w:val="16"/>
          <w:b w:val="1"/>
          <w:bCs w:val="1"/>
          <w:color w:val="auto"/>
        </w:rPr>
        <w:t>Moral Rights</w:t>
      </w:r>
      <w:r>
        <w:rPr>
          <w:rFonts w:ascii="Arial" w:cs="Arial" w:eastAsia="Arial" w:hAnsi="Arial"/>
          <w:sz w:val="16"/>
          <w:szCs w:val="16"/>
          <w:color w:val="auto"/>
        </w:rPr>
        <w:t>”). To the extent that Moral Rights cannot be assigned under applicable law, I hereby waive and agree not to enforce any and all Moral Rights, including, without limitation, any limitation on subsequent modification, to the extent permitted under applicable law.</w:t>
      </w:r>
    </w:p>
    <w:p>
      <w:pPr>
        <w:spacing w:after="0" w:line="157" w:lineRule="exact"/>
        <w:rPr>
          <w:rFonts w:ascii="Arial" w:cs="Arial" w:eastAsia="Arial" w:hAnsi="Arial"/>
          <w:sz w:val="16"/>
          <w:szCs w:val="16"/>
          <w:color w:val="auto"/>
        </w:rPr>
      </w:pPr>
    </w:p>
    <w:p>
      <w:pPr>
        <w:jc w:val="both"/>
        <w:ind w:left="-1120" w:firstLine="1304"/>
        <w:spacing w:after="0" w:line="259" w:lineRule="auto"/>
        <w:tabs>
          <w:tab w:leader="none" w:pos="120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Maintenance of Records</w:t>
      </w:r>
      <w:r>
        <w:rPr>
          <w:rFonts w:ascii="Arial" w:cs="Arial" w:eastAsia="Arial" w:hAnsi="Arial"/>
          <w:sz w:val="18"/>
          <w:szCs w:val="18"/>
          <w:color w:val="auto"/>
        </w:rPr>
        <w:t>. I agree to keep and maintain adequate, current, accurate, and authentic written records of all</w:t>
      </w:r>
      <w:r>
        <w:rPr>
          <w:rFonts w:ascii="Arial" w:cs="Arial" w:eastAsia="Arial" w:hAnsi="Arial"/>
          <w:sz w:val="18"/>
          <w:szCs w:val="18"/>
          <w:i w:val="1"/>
          <w:iCs w:val="1"/>
          <w:color w:val="auto"/>
        </w:rPr>
        <w:t xml:space="preserve"> </w:t>
      </w:r>
      <w:r>
        <w:rPr>
          <w:rFonts w:ascii="Arial" w:cs="Arial" w:eastAsia="Arial" w:hAnsi="Arial"/>
          <w:sz w:val="18"/>
          <w:szCs w:val="18"/>
          <w:color w:val="auto"/>
        </w:rPr>
        <w:t>Inventions made by me (solely or jointly with others) during the term of my employment with the Company. The records will be in the form of notes, sketches, drawings, electronic files, reports, or any other format that may be specified by the Company. As between the Company and myself, the records are and will be available to and remain the sole property of the Company at all times.</w:t>
      </w:r>
    </w:p>
    <w:p>
      <w:pPr>
        <w:spacing w:after="0" w:line="186" w:lineRule="exact"/>
        <w:rPr>
          <w:rFonts w:ascii="Arial" w:cs="Arial" w:eastAsia="Arial" w:hAnsi="Arial"/>
          <w:sz w:val="18"/>
          <w:szCs w:val="18"/>
          <w:color w:val="auto"/>
        </w:rPr>
      </w:pPr>
    </w:p>
    <w:p>
      <w:pPr>
        <w:jc w:val="both"/>
        <w:ind w:left="-1120" w:firstLine="1304"/>
        <w:spacing w:after="0" w:line="272" w:lineRule="auto"/>
        <w:tabs>
          <w:tab w:leader="none" w:pos="871"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Further Assurances</w:t>
      </w:r>
      <w:r>
        <w:rPr>
          <w:rFonts w:ascii="Arial" w:cs="Arial" w:eastAsia="Arial" w:hAnsi="Arial"/>
          <w:sz w:val="17"/>
          <w:szCs w:val="17"/>
          <w:color w:val="auto"/>
        </w:rPr>
        <w:t>. I agree to assist the Company, or its designee, at the Company’s expense, in every proper way to secure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Company’s rights in the Inventions in any and all countries, including the disclosure to the Company of all pertinent information and data with respect thereto, the execution of all applications, specifications, oaths, assignments, and all other instruments that the Company shall deem proper or necessary in order to apply for, register, obtain, maintain, defend, and enforce such rights, and in order to deliver, assign and convey to the Company, its successors, assigns, and nominees the sole and exclusive rights, title, and interest in and to all Inventions, and testifying in a suit or other proceeding relating to such Inventions. I agree to reasonably cooperate in any matter brought by or against the Company that I have personal knowledge, if needed. I further agree that my obligations under this </w:t>
      </w:r>
      <w:r>
        <w:rPr>
          <w:rFonts w:ascii="Arial" w:cs="Arial" w:eastAsia="Arial" w:hAnsi="Arial"/>
          <w:sz w:val="17"/>
          <w:szCs w:val="17"/>
          <w:b w:val="1"/>
          <w:bCs w:val="1"/>
          <w:color w:val="auto"/>
        </w:rPr>
        <w:t>Section 3.E</w:t>
      </w:r>
      <w:r>
        <w:rPr>
          <w:rFonts w:ascii="Arial" w:cs="Arial" w:eastAsia="Arial" w:hAnsi="Arial"/>
          <w:sz w:val="17"/>
          <w:szCs w:val="17"/>
          <w:color w:val="auto"/>
        </w:rPr>
        <w:t xml:space="preserve"> shall continue after the termination of this Agreement.</w:t>
      </w:r>
    </w:p>
    <w:p>
      <w:pPr>
        <w:spacing w:after="0" w:line="177" w:lineRule="exact"/>
        <w:rPr>
          <w:rFonts w:ascii="Arial" w:cs="Arial" w:eastAsia="Arial" w:hAnsi="Arial"/>
          <w:sz w:val="17"/>
          <w:szCs w:val="17"/>
          <w:color w:val="auto"/>
        </w:rPr>
      </w:pPr>
    </w:p>
    <w:p>
      <w:pPr>
        <w:jc w:val="both"/>
        <w:ind w:left="-1120" w:firstLine="1304"/>
        <w:spacing w:after="0" w:line="25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Attorney-in-Fact</w:t>
      </w:r>
      <w:r>
        <w:rPr>
          <w:rFonts w:ascii="Arial" w:cs="Arial" w:eastAsia="Arial" w:hAnsi="Arial"/>
          <w:sz w:val="18"/>
          <w:szCs w:val="18"/>
          <w:color w:val="auto"/>
        </w:rPr>
        <w:t>. I agree that, if the Company is unable because of my unavailability, mental or physical incapacity, or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reason to secure my signature with respect to any Inventions, including, without limitation, for the purpose of applying for or pursuing any application for any United States or foreign patents or mask work or copyright registrations covering the Inventions assigned to the Company in </w:t>
      </w:r>
      <w:r>
        <w:rPr>
          <w:rFonts w:ascii="Arial" w:cs="Arial" w:eastAsia="Arial" w:hAnsi="Arial"/>
          <w:sz w:val="18"/>
          <w:szCs w:val="18"/>
          <w:b w:val="1"/>
          <w:bCs w:val="1"/>
          <w:color w:val="auto"/>
        </w:rPr>
        <w:t>Section 3.A</w:t>
      </w:r>
      <w:r>
        <w:rPr>
          <w:rFonts w:ascii="Arial" w:cs="Arial" w:eastAsia="Arial" w:hAnsi="Arial"/>
          <w:sz w:val="18"/>
          <w:szCs w:val="18"/>
          <w:color w:val="auto"/>
        </w:rPr>
        <w:t>, then I hereby irrevocably designate and appoint the Company and its duly authorized officers and agents as my agent and attorney-in-fact, to</w:t>
      </w:r>
      <w:r>
        <w:rPr>
          <w:rFonts w:ascii="Arial" w:cs="Arial" w:eastAsia="Arial" w:hAnsi="Arial"/>
          <w:sz w:val="18"/>
          <w:szCs w:val="18"/>
          <w:b w:val="1"/>
          <w:bCs w:val="1"/>
          <w:color w:val="auto"/>
        </w:rPr>
        <w:t xml:space="preserve"> </w:t>
      </w:r>
      <w:r>
        <w:rPr>
          <w:rFonts w:ascii="Arial" w:cs="Arial" w:eastAsia="Arial" w:hAnsi="Arial"/>
          <w:sz w:val="18"/>
          <w:szCs w:val="18"/>
          <w:color w:val="auto"/>
        </w:rPr>
        <w:t>act for and on my behalf to execute and file any papers and oaths, and to do all other lawfully permitted acts with respect to such Inventions to further the prosecution and issuance of patents, copyright and mask work registrations with the same legal force and effect as if executed by me. This power of attorney shall be deemed coupled with an interest, and shall be irrevocable.</w:t>
      </w:r>
    </w:p>
    <w:p>
      <w:pPr>
        <w:spacing w:after="0" w:line="194" w:lineRule="exact"/>
        <w:rPr>
          <w:rFonts w:ascii="Arial" w:cs="Arial" w:eastAsia="Arial" w:hAnsi="Arial"/>
          <w:sz w:val="18"/>
          <w:szCs w:val="18"/>
          <w:color w:val="auto"/>
        </w:rPr>
      </w:pPr>
    </w:p>
    <w:p>
      <w:pPr>
        <w:jc w:val="both"/>
        <w:ind w:left="-1120" w:firstLine="1304"/>
        <w:spacing w:after="0" w:line="253" w:lineRule="auto"/>
        <w:tabs>
          <w:tab w:leader="none" w:pos="143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Exception to Assignments</w:t>
      </w:r>
      <w:r>
        <w:rPr>
          <w:rFonts w:ascii="Arial" w:cs="Arial" w:eastAsia="Arial" w:hAnsi="Arial"/>
          <w:sz w:val="18"/>
          <w:szCs w:val="18"/>
          <w:color w:val="auto"/>
        </w:rPr>
        <w:t>. I UNDERSTAND THAT THE PROVISIONS OF THIS AGREEMENT REQUIRING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ASSIGNMENT OF INVENTIONS (AS DEFINED ABOVE) TO THE COMPANY DO NOT APPLY TO ANY INVENTION THAT I HAVE DEVELOPED ENTIRELY ON MY OWN TIME WITHOUT USING THE COMPANY’S EQUIPMENT, SUPPLIES, FACILITIES, TRADE SECRET INFORMATION OR COMPANY CONFIDENTIAL INFORMATION, EXCEPT FOR THOSE OTHER INVENTIONS THAT EITHER (I) RELATE AT THE TIME OF CONCEPTION OR REDUCTION TO PRACTICE OF SUCH OTHER INVENTION TO THE COMPANY’S BUSINESS, OR ACTUAL OR DEMONSTRABLY ANTICIPATED RESEARCH OR DEVELOPMENT OF THE COMPANY OR (II) RESULT FROM ANY WORK THAT I PERFORMED FOR THE COMPANY. I WILL ADVISE THE COMPANY PROMPTLY IN WRITING OF ANY INVENTIONS THAT I BELIEVE CONSTITUTES AN OTHER INVENTION AND IS NOT OTHERWISE DISCLOSED ON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TO PERMIT A DETERMINATION OF OWNERSHIP BY THE COMPANY. ANY SUCH DISCLOSURE WILL BE RECEIVED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425450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1" w:name="page112"/>
    <w:bookmarkEnd w:id="111"/>
    <w:p>
      <w:pPr>
        <w:ind w:left="644" w:hanging="644"/>
        <w:spacing w:after="0"/>
        <w:tabs>
          <w:tab w:leader="none" w:pos="644"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CONFLICTING OBLIGATIONS</w:t>
      </w:r>
    </w:p>
    <w:p>
      <w:pPr>
        <w:spacing w:after="0" w:line="229" w:lineRule="exact"/>
        <w:rPr>
          <w:rFonts w:ascii="Arial" w:cs="Arial" w:eastAsia="Arial" w:hAnsi="Arial"/>
          <w:sz w:val="18"/>
          <w:szCs w:val="18"/>
          <w:b w:val="1"/>
          <w:bCs w:val="1"/>
          <w:color w:val="auto"/>
        </w:rPr>
      </w:pPr>
    </w:p>
    <w:p>
      <w:pPr>
        <w:jc w:val="both"/>
        <w:ind w:left="-656" w:firstLine="1304"/>
        <w:spacing w:after="0" w:line="311" w:lineRule="auto"/>
        <w:tabs>
          <w:tab w:leader="none" w:pos="1422" w:val="left"/>
        </w:tabs>
        <w:numPr>
          <w:ilvl w:val="1"/>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Current Obligations. </w:t>
      </w:r>
      <w:r>
        <w:rPr>
          <w:rFonts w:ascii="Arial" w:cs="Arial" w:eastAsia="Arial" w:hAnsi="Arial"/>
          <w:sz w:val="16"/>
          <w:szCs w:val="16"/>
          <w:color w:val="auto"/>
        </w:rPr>
        <w:t>I agree that during the term of my employment with the Company, I will not engage in or undertake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employment, occupation, consulting relationship, or commitment that is directly related to the business in which the Company is now involved or becomes involved or has plans to become involved, nor will I engage in any other activities that conflict with my obligations to the Company.</w:t>
      </w:r>
    </w:p>
    <w:p>
      <w:pPr>
        <w:spacing w:after="0" w:line="144" w:lineRule="exact"/>
        <w:rPr>
          <w:rFonts w:ascii="Arial" w:cs="Arial" w:eastAsia="Arial" w:hAnsi="Arial"/>
          <w:sz w:val="16"/>
          <w:szCs w:val="16"/>
          <w:color w:val="auto"/>
        </w:rPr>
      </w:pPr>
    </w:p>
    <w:p>
      <w:pPr>
        <w:jc w:val="both"/>
        <w:ind w:left="-656" w:firstLine="1304"/>
        <w:spacing w:after="0" w:line="269" w:lineRule="auto"/>
        <w:tabs>
          <w:tab w:leader="none" w:pos="1466" w:val="left"/>
        </w:tabs>
        <w:numPr>
          <w:ilvl w:val="1"/>
          <w:numId w:val="67"/>
        </w:numPr>
        <w:rPr>
          <w:rFonts w:ascii="Arial" w:cs="Arial" w:eastAsia="Arial" w:hAnsi="Arial"/>
          <w:sz w:val="17"/>
          <w:szCs w:val="17"/>
          <w:color w:val="auto"/>
        </w:rPr>
      </w:pPr>
      <w:r>
        <w:rPr>
          <w:rFonts w:ascii="Arial" w:cs="Arial" w:eastAsia="Arial" w:hAnsi="Arial"/>
          <w:sz w:val="17"/>
          <w:szCs w:val="17"/>
          <w:i w:val="1"/>
          <w:iCs w:val="1"/>
          <w:color w:val="auto"/>
        </w:rPr>
        <w:t>Prior Relationships</w:t>
      </w:r>
      <w:r>
        <w:rPr>
          <w:rFonts w:ascii="Arial" w:cs="Arial" w:eastAsia="Arial" w:hAnsi="Arial"/>
          <w:sz w:val="17"/>
          <w:szCs w:val="17"/>
          <w:color w:val="auto"/>
        </w:rPr>
        <w:t>. Without limiting</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4.A</w:t>
      </w:r>
      <w:r>
        <w:rPr>
          <w:rFonts w:ascii="Arial" w:cs="Arial" w:eastAsia="Arial" w:hAnsi="Arial"/>
          <w:sz w:val="17"/>
          <w:szCs w:val="17"/>
          <w:color w:val="auto"/>
        </w:rPr>
        <w:t>, I represent and warrant that I have no other agreements, relationships, or</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to any other person or entity that conflict with the provisions of this Agreement, my obligations to the Company under this Agreement, or my ability to become employed and perform the services for which I am being hired by the Company. I further agree that if I have signed a confidentiality agreement or similar type of agreement with any former employer or other entity, I will comply with the terms of any such agreement to the extent that its terms are lawful under applicable law. I represent and warrant that after undertaking a careful search (including searches of my computers, cell phones, electronic devices, and documents), I have returned all property and confidential information belonging to all prior employers (and/or other third parties I have performed services for in accordance with the terms of my applicable agreement). Moreover, I agree to fully indemnify the Company, its directors, officers, agents, employees, investors, shareholders, administrators, affiliates, divisions, subsidiaries, predecessor and successor corporations, and assigns for all verdicts, judgments, settlements, and other losses incurred by any of them resulting from my breach of my obligations under any agreement with a third party to which I am a party or obligation to which I am bound, as well as any reasonable attorneys’ fees and costs if the plaintiff is the prevailing party in such an action, except as prohibited by law.</w:t>
      </w:r>
    </w:p>
    <w:p>
      <w:pPr>
        <w:spacing w:after="0" w:line="181" w:lineRule="exact"/>
        <w:rPr>
          <w:rFonts w:ascii="Arial" w:cs="Arial" w:eastAsia="Arial" w:hAnsi="Arial"/>
          <w:sz w:val="17"/>
          <w:szCs w:val="17"/>
          <w:color w:val="auto"/>
        </w:rPr>
      </w:pPr>
    </w:p>
    <w:p>
      <w:pPr>
        <w:ind w:left="644" w:hanging="644"/>
        <w:spacing w:after="0"/>
        <w:tabs>
          <w:tab w:leader="none" w:pos="644"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RETURN OF COMPANY MATERIALS</w:t>
      </w:r>
    </w:p>
    <w:p>
      <w:pPr>
        <w:spacing w:after="0" w:line="225" w:lineRule="exact"/>
        <w:rPr>
          <w:rFonts w:ascii="Arial" w:cs="Arial" w:eastAsia="Arial" w:hAnsi="Arial"/>
          <w:sz w:val="18"/>
          <w:szCs w:val="18"/>
          <w:b w:val="1"/>
          <w:bCs w:val="1"/>
          <w:color w:val="auto"/>
        </w:rPr>
      </w:pPr>
    </w:p>
    <w:p>
      <w:pPr>
        <w:jc w:val="both"/>
        <w:ind w:left="-656" w:firstLine="1304"/>
        <w:spacing w:after="0" w:line="258" w:lineRule="auto"/>
        <w:tabs>
          <w:tab w:leader="none" w:pos="1449"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Electronic Media Equipment and Electronic Media Systems. </w:t>
      </w:r>
      <w:r>
        <w:rPr>
          <w:rFonts w:ascii="Arial" w:cs="Arial" w:eastAsia="Arial" w:hAnsi="Arial"/>
          <w:sz w:val="18"/>
          <w:szCs w:val="18"/>
          <w:color w:val="auto"/>
        </w:rPr>
        <w:t>I understand that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“Electronic Media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includes, but is not limited to, computers, external storage devices, thumb drives, mobile devices (including, but not limited to, smart phones, tablets, and e-readers), telephone equipment, and other electronic media devices. I understand that </w:t>
      </w:r>
      <w:r>
        <w:rPr>
          <w:rFonts w:ascii="Arial" w:cs="Arial" w:eastAsia="Arial" w:hAnsi="Arial"/>
          <w:sz w:val="18"/>
          <w:szCs w:val="18"/>
          <w:b w:val="1"/>
          <w:bCs w:val="1"/>
          <w:color w:val="auto"/>
        </w:rPr>
        <w:t>“Electronic Media Systems”</w:t>
      </w:r>
      <w:r>
        <w:rPr>
          <w:rFonts w:ascii="Arial" w:cs="Arial" w:eastAsia="Arial" w:hAnsi="Arial"/>
          <w:sz w:val="18"/>
          <w:szCs w:val="18"/>
          <w:color w:val="auto"/>
        </w:rPr>
        <w:t xml:space="preserve"> includes, but is not limited to, computer servers, messaging and email systems or accounts, applications for computers or mobile devices, and web-based services (including cloud-based information storage accounts).</w:t>
      </w:r>
    </w:p>
    <w:p>
      <w:pPr>
        <w:spacing w:after="0" w:line="187" w:lineRule="exact"/>
        <w:rPr>
          <w:rFonts w:ascii="Arial" w:cs="Arial" w:eastAsia="Arial" w:hAnsi="Arial"/>
          <w:sz w:val="18"/>
          <w:szCs w:val="18"/>
          <w:color w:val="auto"/>
        </w:rPr>
      </w:pPr>
    </w:p>
    <w:p>
      <w:pPr>
        <w:jc w:val="both"/>
        <w:ind w:left="-656" w:firstLine="1304"/>
        <w:spacing w:after="0" w:line="269" w:lineRule="auto"/>
        <w:tabs>
          <w:tab w:leader="none" w:pos="1453" w:val="left"/>
        </w:tabs>
        <w:numPr>
          <w:ilvl w:val="1"/>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Return of Company Property. </w:t>
      </w:r>
      <w:r>
        <w:rPr>
          <w:rFonts w:ascii="Arial" w:cs="Arial" w:eastAsia="Arial" w:hAnsi="Arial"/>
          <w:sz w:val="17"/>
          <w:szCs w:val="17"/>
          <w:color w:val="auto"/>
        </w:rPr>
        <w:t>I understand that anything that I created or worked on for the Company while working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belongs solely to the Company and that I cannot remove, retain, or use such information without the Company’s express written permission. Accordingly, upon separation from employment with the Company or upon the Company’s request at any other time, I will immediately deliver to the Company, and will not keep in my possession, recreate, or deliver to anyone else, any and all Company property, including, but not limited to, Company Confidential Information, Associated Third Party Confidential Information, all Company equipment including all Company Electronic Media Equipment, all tangible embodiments of the Inventions, all electronically stored information and passwords to access such information, Company credit cards, records, data, notes, notebooks, reports, files, proposals, lists, correspondence, specifications, drawings, blueprints, sketches, materials, photographs, charts, any other documents and property, and reproductions of any of the foregoing items including, without limitation, those records maintained pursuant to </w:t>
      </w:r>
      <w:r>
        <w:rPr>
          <w:rFonts w:ascii="Arial" w:cs="Arial" w:eastAsia="Arial" w:hAnsi="Arial"/>
          <w:sz w:val="17"/>
          <w:szCs w:val="17"/>
          <w:b w:val="1"/>
          <w:bCs w:val="1"/>
          <w:color w:val="auto"/>
        </w:rPr>
        <w:t>Section 3.D</w:t>
      </w:r>
      <w:r>
        <w:rPr>
          <w:rFonts w:ascii="Arial" w:cs="Arial" w:eastAsia="Arial" w:hAnsi="Arial"/>
          <w:sz w:val="17"/>
          <w:szCs w:val="17"/>
          <w:color w:val="auto"/>
        </w:rPr>
        <w:t>. Notwithstanding the foregoing, I understand that I am allowed to keep a copy of the Company’s employee handbook and personnel records</w:t>
      </w:r>
      <w:r>
        <w:rPr>
          <w:rFonts w:ascii="Arial" w:cs="Arial" w:eastAsia="Arial" w:hAnsi="Arial"/>
          <w:sz w:val="17"/>
          <w:szCs w:val="17"/>
          <w:b w:val="1"/>
          <w:bCs w:val="1"/>
          <w:color w:val="auto"/>
        </w:rPr>
        <w:t xml:space="preserve"> </w:t>
      </w:r>
      <w:r>
        <w:rPr>
          <w:rFonts w:ascii="Arial" w:cs="Arial" w:eastAsia="Arial" w:hAnsi="Arial"/>
          <w:sz w:val="17"/>
          <w:szCs w:val="17"/>
          <w:color w:val="auto"/>
        </w:rPr>
        <w:t>relating to my employment.</w:t>
      </w:r>
    </w:p>
    <w:p>
      <w:pPr>
        <w:spacing w:after="0" w:line="185" w:lineRule="exact"/>
        <w:rPr>
          <w:rFonts w:ascii="Arial" w:cs="Arial" w:eastAsia="Arial" w:hAnsi="Arial"/>
          <w:sz w:val="17"/>
          <w:szCs w:val="17"/>
          <w:color w:val="auto"/>
        </w:rPr>
      </w:pPr>
    </w:p>
    <w:p>
      <w:pPr>
        <w:jc w:val="both"/>
        <w:ind w:left="-656" w:firstLine="1304"/>
        <w:spacing w:after="0" w:line="263" w:lineRule="auto"/>
        <w:tabs>
          <w:tab w:leader="none" w:pos="1642"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Return of Company Information on Company Electronic Media Equipment. </w:t>
      </w:r>
      <w:r>
        <w:rPr>
          <w:rFonts w:ascii="Arial" w:cs="Arial" w:eastAsia="Arial" w:hAnsi="Arial"/>
          <w:sz w:val="18"/>
          <w:szCs w:val="18"/>
          <w:color w:val="auto"/>
        </w:rPr>
        <w:t>In connection with my obligation to return</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to the Company, I agree that I will not copy, delete, or alter any information, including personal information voluntarily created or stored, contained in Company Electronic Media Equipment before I return the information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2" w:name="page113"/>
    <w:bookmarkEnd w:id="112"/>
    <w:p>
      <w:pPr>
        <w:jc w:val="both"/>
        <w:ind w:firstLine="1304"/>
        <w:spacing w:after="0" w:line="254" w:lineRule="auto"/>
        <w:tabs>
          <w:tab w:leader="none" w:pos="2078"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Return of Company Information on Personal Electronic Media Equipment. </w:t>
      </w:r>
      <w:r>
        <w:rPr>
          <w:rFonts w:ascii="Arial" w:cs="Arial" w:eastAsia="Arial" w:hAnsi="Arial"/>
          <w:sz w:val="18"/>
          <w:szCs w:val="18"/>
          <w:color w:val="auto"/>
        </w:rPr>
        <w:t>In addition, if I have used any personal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Media Equipment or personal Electronic Media Systems to create, receive, store, review, prepare or transmit any Company information, including, but not limited to, Company Confidential Information, I agree to make a prompt and reasonable search for such information in good faith, including reviewing any personal Electronic Media Equipment or personal Electronic Media Systems to locate such information and, if I locate such information, I agree to notify the Company of that fact and then provide the Company with a computer-useable copy of all such Company information from those equipment and systems. I agree to cooperate reasonably with the Company to verify that the necessary copying is completed (including upon request providing a sworn declaration confirming the return of property and deletion of information), and, upon confirmation of compliance by the Company, I agree to delete and expunge all Company information.</w:t>
      </w:r>
    </w:p>
    <w:p>
      <w:pPr>
        <w:spacing w:after="0" w:line="191" w:lineRule="exact"/>
        <w:rPr>
          <w:rFonts w:ascii="Arial" w:cs="Arial" w:eastAsia="Arial" w:hAnsi="Arial"/>
          <w:sz w:val="18"/>
          <w:szCs w:val="18"/>
          <w:color w:val="auto"/>
        </w:rPr>
      </w:pPr>
    </w:p>
    <w:p>
      <w:pPr>
        <w:jc w:val="both"/>
        <w:ind w:firstLine="1304"/>
        <w:spacing w:after="0" w:line="291" w:lineRule="auto"/>
        <w:tabs>
          <w:tab w:leader="none" w:pos="2004"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No Expectation of Privacy in Company Property. </w:t>
      </w:r>
      <w:r>
        <w:rPr>
          <w:rFonts w:ascii="Arial" w:cs="Arial" w:eastAsia="Arial" w:hAnsi="Arial"/>
          <w:sz w:val="16"/>
          <w:szCs w:val="16"/>
          <w:color w:val="auto"/>
        </w:rPr>
        <w:t>I understand that I have no expectation of privacy in Company property, and I</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 that any Company property is subject to inspection by Company personnel at any time with or without further notice. As to any personal Electronic Media Equipment or personal Electronic Media Systems that I have used for Company purposes, I agree that the Company, at its sole discretion, may have reasonable access, as determined by the Company in good faith, to such personal Electronic Media Equipment or personal Electronic Media Systems to review, retrieve, destroy, or ensure the permanent deletion of Company information from such equipment or systems or to take such other actions necessary to protect the Company or Company property, as determined by the Company reasonably and in good faith. I also consent to an exit interview and an audit to confirm my compliance with this </w:t>
      </w:r>
      <w:r>
        <w:rPr>
          <w:rFonts w:ascii="Arial" w:cs="Arial" w:eastAsia="Arial" w:hAnsi="Arial"/>
          <w:sz w:val="16"/>
          <w:szCs w:val="16"/>
          <w:b w:val="1"/>
          <w:bCs w:val="1"/>
          <w:color w:val="auto"/>
        </w:rPr>
        <w:t>Section 5</w:t>
      </w:r>
      <w:r>
        <w:rPr>
          <w:rFonts w:ascii="Arial" w:cs="Arial" w:eastAsia="Arial" w:hAnsi="Arial"/>
          <w:sz w:val="16"/>
          <w:szCs w:val="16"/>
          <w:color w:val="auto"/>
        </w:rPr>
        <w:t xml:space="preserve">, and I will certify in writing that I have complied with the requirements of this </w:t>
      </w:r>
      <w:r>
        <w:rPr>
          <w:rFonts w:ascii="Arial" w:cs="Arial" w:eastAsia="Arial" w:hAnsi="Arial"/>
          <w:sz w:val="16"/>
          <w:szCs w:val="16"/>
          <w:b w:val="1"/>
          <w:bCs w:val="1"/>
          <w:color w:val="auto"/>
        </w:rPr>
        <w:t>Section 5</w:t>
      </w:r>
      <w:r>
        <w:rPr>
          <w:rFonts w:ascii="Arial" w:cs="Arial" w:eastAsia="Arial" w:hAnsi="Arial"/>
          <w:sz w:val="16"/>
          <w:szCs w:val="16"/>
          <w:color w:val="auto"/>
        </w:rPr>
        <w:t>.</w:t>
      </w:r>
    </w:p>
    <w:p>
      <w:pPr>
        <w:spacing w:after="0" w:line="162"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CERTIFICATION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Upon separation from employment with the Company, I agree to immediately sign and deliver to the Company the “Termination Certification”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w:t>
      </w:r>
    </w:p>
    <w:p>
      <w:pPr>
        <w:spacing w:after="0" w:line="166"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NOTIFICATION OF NEW EMPLOYER</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that I leave the employ of the Company, I hereby grant consent to notification by the Company to my new employer about my obligations under this Agreement. I also agree to keep the Company advised of my home and business address for a period of three (3) years after termination of my employment with the Company, so that the Company can contact me regarding my continuing obligations provided by this Agreement.</w:t>
      </w:r>
    </w:p>
    <w:p>
      <w:pPr>
        <w:spacing w:after="0" w:line="145" w:lineRule="exact"/>
        <w:rPr>
          <w:sz w:val="20"/>
          <w:szCs w:val="20"/>
          <w:color w:val="auto"/>
        </w:rPr>
      </w:pPr>
    </w:p>
    <w:p>
      <w:pPr>
        <w:ind w:left="1300" w:hanging="644"/>
        <w:spacing w:after="0"/>
        <w:tabs>
          <w:tab w:leader="none" w:pos="1300"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 NOT TO COMPETE AND NO SOLICITATION</w:t>
      </w:r>
    </w:p>
    <w:p>
      <w:pPr>
        <w:spacing w:after="0" w:line="229" w:lineRule="exact"/>
        <w:rPr>
          <w:rFonts w:ascii="Arial" w:cs="Arial" w:eastAsia="Arial" w:hAnsi="Arial"/>
          <w:sz w:val="18"/>
          <w:szCs w:val="18"/>
          <w:b w:val="1"/>
          <w:bCs w:val="1"/>
          <w:color w:val="auto"/>
        </w:rPr>
      </w:pPr>
    </w:p>
    <w:p>
      <w:pPr>
        <w:jc w:val="both"/>
        <w:ind w:firstLine="1296"/>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Covenant Not to Compete.</w:t>
      </w:r>
      <w:r>
        <w:rPr>
          <w:rFonts w:ascii="Arial" w:cs="Arial" w:eastAsia="Arial" w:hAnsi="Arial"/>
          <w:sz w:val="16"/>
          <w:szCs w:val="16"/>
          <w:color w:val="auto"/>
        </w:rPr>
        <w:t xml:space="preserve"> I agree that during the course of my employment and for a period of twelve (12) months immediately following the termination of my relationship with the Company for any reason, whether with or without cause, at the option either of the Company or myself, with or without notice, I will not, without the prior written consent of the Company: (i) serve as a partner, principal, licensor, licensee, employee, consultant, officer, director, manager, agent, affiliate, representative, advisor, promoter, associate, investor, or otherwise for (except for passive ownership of one percent (1%) or less of any entity whose securities have been registered under the Securities Act of 1933, as amended, or Section 12 of the Securities Exchange Act of 1934, as amended); (ii) directly or indirectly, own, purchase, organize or take preparatory steps for the organization of; or</w:t>
      </w:r>
    </w:p>
    <w:p>
      <w:pPr>
        <w:spacing w:after="0" w:line="4" w:lineRule="exact"/>
        <w:rPr>
          <w:rFonts w:ascii="Arial" w:cs="Arial" w:eastAsia="Arial" w:hAnsi="Arial"/>
          <w:sz w:val="18"/>
          <w:szCs w:val="18"/>
          <w:b w:val="1"/>
          <w:bCs w:val="1"/>
          <w:color w:val="auto"/>
        </w:rPr>
      </w:pPr>
    </w:p>
    <w:p>
      <w:pPr>
        <w:jc w:val="both"/>
        <w:ind w:firstLine="8"/>
        <w:spacing w:after="0" w:line="285" w:lineRule="auto"/>
        <w:tabs>
          <w:tab w:leader="none" w:pos="324" w:val="left"/>
        </w:tabs>
        <w:numPr>
          <w:ilvl w:val="0"/>
          <w:numId w:val="72"/>
        </w:numPr>
        <w:rPr>
          <w:rFonts w:ascii="Arial" w:cs="Arial" w:eastAsia="Arial" w:hAnsi="Arial"/>
          <w:sz w:val="16"/>
          <w:szCs w:val="16"/>
          <w:color w:val="auto"/>
        </w:rPr>
      </w:pPr>
      <w:r>
        <w:rPr>
          <w:rFonts w:ascii="Arial" w:cs="Arial" w:eastAsia="Arial" w:hAnsi="Arial"/>
          <w:sz w:val="16"/>
          <w:szCs w:val="16"/>
          <w:color w:val="auto"/>
        </w:rPr>
        <w:t>build, design, finance, acquire, lease, operate, manage, control, invest in, work or consult for or otherwise join, participate in or affiliate myself with, any business whose business, products or operations are in any respect involved in the Covered Business. For purposes of this Agreement, “</w:t>
      </w:r>
      <w:r>
        <w:rPr>
          <w:rFonts w:ascii="Arial" w:cs="Arial" w:eastAsia="Arial" w:hAnsi="Arial"/>
          <w:sz w:val="16"/>
          <w:szCs w:val="16"/>
          <w:b w:val="1"/>
          <w:bCs w:val="1"/>
          <w:color w:val="auto"/>
        </w:rPr>
        <w:t>Covered</w:t>
      </w:r>
      <w:r>
        <w:rPr>
          <w:rFonts w:ascii="Arial" w:cs="Arial" w:eastAsia="Arial" w:hAnsi="Arial"/>
          <w:sz w:val="16"/>
          <w:szCs w:val="16"/>
          <w:color w:val="auto"/>
        </w:rPr>
        <w:t xml:space="preserve"> </w:t>
      </w:r>
      <w:r>
        <w:rPr>
          <w:rFonts w:ascii="Arial" w:cs="Arial" w:eastAsia="Arial" w:hAnsi="Arial"/>
          <w:sz w:val="16"/>
          <w:szCs w:val="16"/>
          <w:b w:val="1"/>
          <w:bCs w:val="1"/>
          <w:color w:val="auto"/>
        </w:rPr>
        <w:t>Business</w:t>
      </w:r>
      <w:r>
        <w:rPr>
          <w:rFonts w:ascii="Arial" w:cs="Arial" w:eastAsia="Arial" w:hAnsi="Arial"/>
          <w:sz w:val="16"/>
          <w:szCs w:val="16"/>
          <w:color w:val="auto"/>
        </w:rPr>
        <w:t>” shall mean any business in which the Company is engaged or in which the Company has plans to be engaged, or any service that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or has plans to provide at the time of my departure, including without limitation, any business that is engaged in researching, designing, developing, manufacturing, marketing and/or sales of medical devices for regional delivery and therapeutics used in that delivery to treat solid tumors. The foregoing covenant shall cover my activities in every part of the Territory. For purposes of this Agreement, “</w:t>
      </w:r>
      <w:r>
        <w:rPr>
          <w:rFonts w:ascii="Arial" w:cs="Arial" w:eastAsia="Arial" w:hAnsi="Arial"/>
          <w:sz w:val="16"/>
          <w:szCs w:val="16"/>
          <w:b w:val="1"/>
          <w:bCs w:val="1"/>
          <w:color w:val="auto"/>
        </w:rPr>
        <w:t>Territory</w:t>
      </w:r>
      <w:r>
        <w:rPr>
          <w:rFonts w:ascii="Arial" w:cs="Arial" w:eastAsia="Arial" w:hAnsi="Arial"/>
          <w:sz w:val="16"/>
          <w:szCs w:val="16"/>
          <w:color w:val="auto"/>
        </w:rPr>
        <w:t>” shall mean: all counties in the state in which I primarily perform services for Company; (ii) all other states of the United States of America in which Company, with my involvement in some capacity, including, without limitation, my having knowledge of Company Confidential Information related thereto, provided goods or services, had customers, or otherwise conducted business at any time during the two-year period prior to the date of the termination of my relationship with Company; and (iii) any other countries (including China) from which Company provided goods or services, had customers, or otherwise conducted business, with my involvement in some capacity, including, without limitation, my having knowledge of Company Confidential Information related thereto, at any time during the two-year period prior to the date of the termination of my relationship with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jc w:val="both"/>
        <w:spacing w:after="0" w:line="286" w:lineRule="auto"/>
        <w:rPr>
          <w:sz w:val="20"/>
          <w:szCs w:val="20"/>
          <w:color w:val="auto"/>
        </w:rPr>
      </w:pPr>
      <w:r>
        <w:rPr>
          <w:rFonts w:ascii="Arial" w:cs="Arial" w:eastAsia="Arial" w:hAnsi="Arial"/>
          <w:sz w:val="17"/>
          <w:szCs w:val="17"/>
          <w:color w:val="auto"/>
        </w:rPr>
        <w:t>Should I obtain other employment during my employment with the Company or within six (6) months immediately following the termination of my relationship with the Company, I agree to provide written notification to the Company as to the name and address of my new employer, the position that I expect to hold, and a general description of my duties and responsibilities, at least three (3) business days prior to starting such employment.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 understand that the foregoing non-compete restriction is applicable to me only if my total annualized cash compensation meets or exceeds the greater of</w:t>
      </w:r>
    </w:p>
    <w:p>
      <w:pPr>
        <w:spacing w:after="0" w:line="46" w:lineRule="exact"/>
        <w:rPr>
          <w:sz w:val="20"/>
          <w:szCs w:val="20"/>
          <w:color w:val="auto"/>
        </w:rPr>
      </w:pPr>
    </w:p>
    <w:p>
      <w:pPr>
        <w:jc w:val="both"/>
        <w:ind w:firstLine="8"/>
        <w:spacing w:after="0" w:line="302" w:lineRule="auto"/>
        <w:tabs>
          <w:tab w:leader="none" w:pos="215" w:val="left"/>
        </w:tabs>
        <w:numPr>
          <w:ilvl w:val="0"/>
          <w:numId w:val="73"/>
        </w:numPr>
        <w:rPr>
          <w:rFonts w:ascii="Arial" w:cs="Arial" w:eastAsia="Arial" w:hAnsi="Arial"/>
          <w:sz w:val="16"/>
          <w:szCs w:val="16"/>
          <w:color w:val="auto"/>
        </w:rPr>
      </w:pPr>
      <w:r>
        <w:rPr>
          <w:rFonts w:ascii="Arial" w:cs="Arial" w:eastAsia="Arial" w:hAnsi="Arial"/>
          <w:sz w:val="16"/>
          <w:szCs w:val="16"/>
          <w:color w:val="auto"/>
        </w:rPr>
        <w:t>$101,250.00; or (ii) the compensation threshold established by the Colorado State Department of Labor and Employment (the “</w:t>
      </w:r>
      <w:r>
        <w:rPr>
          <w:rFonts w:ascii="Arial" w:cs="Arial" w:eastAsia="Arial" w:hAnsi="Arial"/>
          <w:sz w:val="16"/>
          <w:szCs w:val="16"/>
          <w:b w:val="1"/>
          <w:bCs w:val="1"/>
          <w:color w:val="auto"/>
        </w:rPr>
        <w:t>Colorado Non-Compete</w:t>
      </w:r>
      <w:r>
        <w:rPr>
          <w:rFonts w:ascii="Arial" w:cs="Arial" w:eastAsia="Arial" w:hAnsi="Arial"/>
          <w:sz w:val="16"/>
          <w:szCs w:val="16"/>
          <w:color w:val="auto"/>
        </w:rPr>
        <w:t xml:space="preserve"> </w:t>
      </w:r>
      <w:r>
        <w:rPr>
          <w:rFonts w:ascii="Arial" w:cs="Arial" w:eastAsia="Arial" w:hAnsi="Arial"/>
          <w:sz w:val="16"/>
          <w:szCs w:val="16"/>
          <w:b w:val="1"/>
          <w:bCs w:val="1"/>
          <w:color w:val="auto"/>
        </w:rPr>
        <w:t>Compensation Threshold</w:t>
      </w:r>
      <w:r>
        <w:rPr>
          <w:rFonts w:ascii="Arial" w:cs="Arial" w:eastAsia="Arial" w:hAnsi="Arial"/>
          <w:sz w:val="16"/>
          <w:szCs w:val="16"/>
          <w:color w:val="auto"/>
        </w:rPr>
        <w:t>”). For avoidance of doubt, if my annualized cash compensation does not meet or exceed the Colorado Non-Compete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Compensation Threshold as specified in Colo. Rev. Stat. Ann. §8-2-113(2)(b), I will not be subject to the restrictions contained in this </w:t>
      </w:r>
      <w:r>
        <w:rPr>
          <w:rFonts w:ascii="Arial" w:cs="Arial" w:eastAsia="Arial" w:hAnsi="Arial"/>
          <w:sz w:val="16"/>
          <w:szCs w:val="16"/>
          <w:b w:val="1"/>
          <w:bCs w:val="1"/>
          <w:color w:val="auto"/>
        </w:rPr>
        <w:t>Section 8(A)</w:t>
      </w:r>
      <w:r>
        <w:rPr>
          <w:rFonts w:ascii="Arial" w:cs="Arial" w:eastAsia="Arial" w:hAnsi="Arial"/>
          <w:sz w:val="16"/>
          <w:szCs w:val="16"/>
          <w:color w:val="auto"/>
        </w:rPr>
        <w:t>.</w:t>
      </w:r>
    </w:p>
    <w:p>
      <w:pPr>
        <w:spacing w:after="0" w:line="155" w:lineRule="exact"/>
        <w:rPr>
          <w:rFonts w:ascii="Arial" w:cs="Arial" w:eastAsia="Arial" w:hAnsi="Arial"/>
          <w:sz w:val="16"/>
          <w:szCs w:val="16"/>
          <w:color w:val="auto"/>
        </w:rPr>
      </w:pPr>
    </w:p>
    <w:p>
      <w:pPr>
        <w:ind w:left="1620" w:hanging="316"/>
        <w:spacing w:after="0"/>
        <w:tabs>
          <w:tab w:leader="none" w:pos="1620"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No Solicitation.</w:t>
      </w:r>
    </w:p>
    <w:p>
      <w:pPr>
        <w:spacing w:after="0" w:line="225" w:lineRule="exact"/>
        <w:rPr>
          <w:rFonts w:ascii="Arial" w:cs="Arial" w:eastAsia="Arial" w:hAnsi="Arial"/>
          <w:sz w:val="18"/>
          <w:szCs w:val="18"/>
          <w:color w:val="auto"/>
        </w:rPr>
      </w:pPr>
    </w:p>
    <w:p>
      <w:pPr>
        <w:jc w:val="both"/>
        <w:ind w:firstLine="1952"/>
        <w:spacing w:after="0" w:line="267" w:lineRule="auto"/>
        <w:tabs>
          <w:tab w:leader="none" w:pos="2720" w:val="left"/>
        </w:tabs>
        <w:numPr>
          <w:ilvl w:val="2"/>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Non-Solicitation of Customers or Prospective Customers. </w:t>
      </w:r>
      <w:r>
        <w:rPr>
          <w:rFonts w:ascii="Arial" w:cs="Arial" w:eastAsia="Arial" w:hAnsi="Arial"/>
          <w:sz w:val="17"/>
          <w:szCs w:val="17"/>
          <w:color w:val="auto"/>
        </w:rPr>
        <w:t>I agree that for a period of twelve (12) months immediately</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the termination of my relationship with the Company for any reason, whether with or without cause, at the option either of the Company or myself, with or without notice, I will not (i) contact, or cause to be contacted, directly or indirectly, or engage in any form of oral, verbal, written, recorded, transcribed, or electronic communication with any Customer or Prospective Customer for the purposes of conducting business that is competitive or similar to that of the Company or for the purpose of disadvantaging the Company’s business in any way, (ii) solicit or accept business from any Customer or Prospective Customer, in each case, for the purpose of providing goods or services in a Covered Business, or (iii) solicit or induce any Customer or Prospective Customer to terminate, reduce or alter, in a manner adverse to the Company, any existing business arrangement or agreement with the Company. For purposes of this Agreement, “</w:t>
      </w:r>
      <w:r>
        <w:rPr>
          <w:rFonts w:ascii="Arial" w:cs="Arial" w:eastAsia="Arial" w:hAnsi="Arial"/>
          <w:sz w:val="17"/>
          <w:szCs w:val="17"/>
          <w:b w:val="1"/>
          <w:bCs w:val="1"/>
          <w:color w:val="auto"/>
        </w:rPr>
        <w:t>Customer</w:t>
      </w:r>
      <w:r>
        <w:rPr>
          <w:rFonts w:ascii="Arial" w:cs="Arial" w:eastAsia="Arial" w:hAnsi="Arial"/>
          <w:sz w:val="17"/>
          <w:szCs w:val="17"/>
          <w:color w:val="auto"/>
        </w:rPr>
        <w:t>” shall mean all persons or entities that have used the Company’s services at any time during the two-year period preceding the termination of my employment with the Company, and “</w:t>
      </w:r>
      <w:r>
        <w:rPr>
          <w:rFonts w:ascii="Arial" w:cs="Arial" w:eastAsia="Arial" w:hAnsi="Arial"/>
          <w:sz w:val="17"/>
          <w:szCs w:val="17"/>
          <w:b w:val="1"/>
          <w:bCs w:val="1"/>
          <w:color w:val="auto"/>
        </w:rPr>
        <w:t>Prospective Customer</w:t>
      </w:r>
      <w:r>
        <w:rPr>
          <w:rFonts w:ascii="Arial" w:cs="Arial" w:eastAsia="Arial" w:hAnsi="Arial"/>
          <w:sz w:val="17"/>
          <w:szCs w:val="17"/>
          <w:color w:val="auto"/>
        </w:rPr>
        <w:t xml:space="preserve">” means any person or entity with whom the Company or any of its subsidiaries or affiliates has communicated or whom the Company or any of its subsidiaries or affiliates has solicited for the purposes of obtaining such person or entity as a Customer and/or whom the Company or any of its subsidiaries or affiliates has analyzed concerning the potential of such person or entity to become a Customer, at any time during the two-year period preceding the termination of my employment with the Company. I acknowledge and agree that the Customers and Prospective Customers did not use or inquire of the Company’s services solely as a result of my efforts, and that the efforts of other Company personnel and resources are responsible for the Company’s relationship with the Customers and/or the Prospective Customers. I further acknowledge and agree that the identity of the Customers and/or the Prospective Customers is not readily ascertainable or discoverable through public sources, and that the Company’s list of Customers and Prospective Customers was cultivated with great effort and secured through the expenditure of considerable time and money by the Company. I understand that the provisions of this </w:t>
      </w:r>
      <w:r>
        <w:rPr>
          <w:rFonts w:ascii="Arial" w:cs="Arial" w:eastAsia="Arial" w:hAnsi="Arial"/>
          <w:sz w:val="17"/>
          <w:szCs w:val="17"/>
          <w:b w:val="1"/>
          <w:bCs w:val="1"/>
          <w:color w:val="auto"/>
        </w:rPr>
        <w:t>Section 8(B)(1)</w:t>
      </w:r>
      <w:r>
        <w:rPr>
          <w:rFonts w:ascii="Arial" w:cs="Arial" w:eastAsia="Arial" w:hAnsi="Arial"/>
          <w:sz w:val="17"/>
          <w:szCs w:val="17"/>
          <w:color w:val="auto"/>
        </w:rPr>
        <w:t xml:space="preserve"> (the “</w:t>
      </w:r>
      <w:r>
        <w:rPr>
          <w:rFonts w:ascii="Arial" w:cs="Arial" w:eastAsia="Arial" w:hAnsi="Arial"/>
          <w:sz w:val="17"/>
          <w:szCs w:val="17"/>
          <w:b w:val="1"/>
          <w:bCs w:val="1"/>
          <w:color w:val="auto"/>
        </w:rPr>
        <w:t>Customer Non-Solicitation Restrictions</w:t>
      </w:r>
      <w:r>
        <w:rPr>
          <w:rFonts w:ascii="Arial" w:cs="Arial" w:eastAsia="Arial" w:hAnsi="Arial"/>
          <w:sz w:val="17"/>
          <w:szCs w:val="17"/>
          <w:color w:val="auto"/>
        </w:rPr>
        <w:t>”) are applicable to me only if my total annualized cash compensation meets or exceeds the greater of: (i) $60,750.00; or (ii)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threshold established by the Colorado State Department of Labor and Employment (the “</w:t>
      </w:r>
      <w:r>
        <w:rPr>
          <w:rFonts w:ascii="Arial" w:cs="Arial" w:eastAsia="Arial" w:hAnsi="Arial"/>
          <w:sz w:val="17"/>
          <w:szCs w:val="17"/>
          <w:b w:val="1"/>
          <w:bCs w:val="1"/>
          <w:color w:val="auto"/>
        </w:rPr>
        <w:t>Colorado Customer Non-Solicitation</w:t>
      </w:r>
      <w:r>
        <w:rPr>
          <w:rFonts w:ascii="Arial" w:cs="Arial" w:eastAsia="Arial" w:hAnsi="Arial"/>
          <w:sz w:val="17"/>
          <w:szCs w:val="17"/>
          <w:color w:val="auto"/>
        </w:rPr>
        <w:t xml:space="preserve"> </w:t>
      </w:r>
      <w:r>
        <w:rPr>
          <w:rFonts w:ascii="Arial" w:cs="Arial" w:eastAsia="Arial" w:hAnsi="Arial"/>
          <w:sz w:val="17"/>
          <w:szCs w:val="17"/>
          <w:b w:val="1"/>
          <w:bCs w:val="1"/>
          <w:color w:val="auto"/>
        </w:rPr>
        <w:t>Compensation Threshold</w:t>
      </w:r>
      <w:r>
        <w:rPr>
          <w:rFonts w:ascii="Arial" w:cs="Arial" w:eastAsia="Arial" w:hAnsi="Arial"/>
          <w:sz w:val="17"/>
          <w:szCs w:val="17"/>
          <w:color w:val="auto"/>
        </w:rPr>
        <w:t>”). For avoidance of doubt, if my annualized cash compensation does not meet or exceed the Colorado Customer Non-Solicitation Compensation Threshold as specified in Colo. Rev. Stat. Ann. §8-2-113(2)(d), I will not be subject to the Customer Non-Solicitation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jc w:val="both"/>
        <w:ind w:left="-1120" w:firstLine="1952"/>
        <w:spacing w:after="0" w:line="254" w:lineRule="auto"/>
        <w:tabs>
          <w:tab w:leader="none" w:pos="1735"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Non-Solicitation of Employees, Consultants and Independent Contractors. </w:t>
      </w:r>
      <w:r>
        <w:rPr>
          <w:rFonts w:ascii="Arial" w:cs="Arial" w:eastAsia="Arial" w:hAnsi="Arial"/>
          <w:sz w:val="18"/>
          <w:szCs w:val="18"/>
          <w:color w:val="auto"/>
        </w:rPr>
        <w:t>I agree that for a period of twelve (12)</w:t>
      </w:r>
      <w:r>
        <w:rPr>
          <w:rFonts w:ascii="Arial" w:cs="Arial" w:eastAsia="Arial" w:hAnsi="Arial"/>
          <w:sz w:val="18"/>
          <w:szCs w:val="18"/>
          <w:i w:val="1"/>
          <w:iCs w:val="1"/>
          <w:color w:val="auto"/>
        </w:rPr>
        <w:t xml:space="preserve"> </w:t>
      </w:r>
      <w:r>
        <w:rPr>
          <w:rFonts w:ascii="Arial" w:cs="Arial" w:eastAsia="Arial" w:hAnsi="Arial"/>
          <w:sz w:val="18"/>
          <w:szCs w:val="18"/>
          <w:color w:val="auto"/>
        </w:rPr>
        <w:t>months immediately following the termination of my relationship with the Company for any reason, whether with or without cause, at the option either of the Company or myself, with or without notice, I will not directly or indirectly solicit or recruit, or attempt to solicit or recruit, any person who is or was an employee, third party consultant or independent contractor of the Company or any of its subsidiaries or affiliates at any time during the two-year period prior to such solicitation or recruitment to leave their employment or consultant or contractor relationship with the Company, nor will I contact any employee, third party consultant or independent contractor of the Company, or cause them to be contacted, for the purpose of terminating their employment or service relationship with the Company.</w:t>
      </w:r>
    </w:p>
    <w:p>
      <w:pPr>
        <w:spacing w:after="0" w:line="194" w:lineRule="exact"/>
        <w:rPr>
          <w:rFonts w:ascii="Arial" w:cs="Arial" w:eastAsia="Arial" w:hAnsi="Arial"/>
          <w:sz w:val="18"/>
          <w:szCs w:val="18"/>
          <w:color w:val="auto"/>
        </w:rPr>
      </w:pPr>
    </w:p>
    <w:p>
      <w:pPr>
        <w:jc w:val="both"/>
        <w:ind w:left="-1120" w:firstLine="1952"/>
        <w:spacing w:after="0" w:line="254" w:lineRule="auto"/>
        <w:tabs>
          <w:tab w:leader="none" w:pos="1641"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Non-Solicitation of Others. </w:t>
      </w:r>
      <w:r>
        <w:rPr>
          <w:rFonts w:ascii="Arial" w:cs="Arial" w:eastAsia="Arial" w:hAnsi="Arial"/>
          <w:sz w:val="18"/>
          <w:szCs w:val="18"/>
          <w:color w:val="auto"/>
        </w:rPr>
        <w:t>I agree that for a period of twelve (12) months immediately following the 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my relationship with the Company for any reason, whether with or without cause, at the option either of the Company or myself, with or without notice, I will not solicit, encourage, or induce, or cause to be solicited, encouraged or induced, directly or indirectly, any franchisee, joint venture, supplier, vendor or contractor who conducted business with the Company at any time during the two-year period preceding the termination of my employment with the Company, to terminate or adversely modify any business relationship with the Company or not to proceed with, or enter into, any business relationship with the Company, nor shall I otherwise interfere with any business relationship between the Company and any such franchisee, joint venture, supplier, vendor or contractor.</w:t>
      </w:r>
    </w:p>
    <w:p>
      <w:pPr>
        <w:spacing w:after="0" w:line="194" w:lineRule="exact"/>
        <w:rPr>
          <w:rFonts w:ascii="Arial" w:cs="Arial" w:eastAsia="Arial" w:hAnsi="Arial"/>
          <w:sz w:val="18"/>
          <w:szCs w:val="18"/>
          <w:color w:val="auto"/>
        </w:rPr>
      </w:pPr>
    </w:p>
    <w:p>
      <w:pPr>
        <w:jc w:val="both"/>
        <w:ind w:left="-1120" w:firstLine="1304"/>
        <w:spacing w:after="0" w:line="268" w:lineRule="auto"/>
        <w:tabs>
          <w:tab w:leader="none" w:pos="1083"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Acknowledgements. </w:t>
      </w:r>
      <w:r>
        <w:rPr>
          <w:rFonts w:ascii="Arial" w:cs="Arial" w:eastAsia="Arial" w:hAnsi="Arial"/>
          <w:sz w:val="17"/>
          <w:szCs w:val="17"/>
          <w:color w:val="auto"/>
        </w:rPr>
        <w:t>I acknowledge that I will derive significant value from the Company’s agreement to provide me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Confidential Information to enable me to optimize the performance of my duties to the Company. I further acknowledge that my fulfillment of the obligations contained in this Agreement, including, but not limited to, my obligation neither to disclose nor to use Company Confidential Information other than for the Company’s exclusive benefit and my obligations not to compete and not to solicit contained in subsections (A) and (B) above, is necessary to protect Company Confidential Information and, consequently, to preserve the value and goodwill of the Company. I also acknowledge the time, geographic and scope limitations of my obligations under subsections (A) and (B) above are fair and reasonable in all respects, especially in light of the Company’s need to protect Company Confidential Information and the scope and nature of the Company’s business, and that I will not be precluded from gainful employment if I am obligated not to compete with the Company or solicit its customers, employees, or others during the period and within the Territory as described above. In the event of my breach or violation of this </w:t>
      </w:r>
      <w:r>
        <w:rPr>
          <w:rFonts w:ascii="Arial" w:cs="Arial" w:eastAsia="Arial" w:hAnsi="Arial"/>
          <w:sz w:val="17"/>
          <w:szCs w:val="17"/>
          <w:b w:val="1"/>
          <w:bCs w:val="1"/>
          <w:color w:val="auto"/>
        </w:rPr>
        <w:t>Section 8</w:t>
      </w:r>
      <w:r>
        <w:rPr>
          <w:rFonts w:ascii="Arial" w:cs="Arial" w:eastAsia="Arial" w:hAnsi="Arial"/>
          <w:sz w:val="17"/>
          <w:szCs w:val="17"/>
          <w:color w:val="auto"/>
        </w:rPr>
        <w:t xml:space="preserve">, or good faith allegation by the Company of my breach or violation of this </w:t>
      </w:r>
      <w:r>
        <w:rPr>
          <w:rFonts w:ascii="Arial" w:cs="Arial" w:eastAsia="Arial" w:hAnsi="Arial"/>
          <w:sz w:val="17"/>
          <w:szCs w:val="17"/>
          <w:b w:val="1"/>
          <w:bCs w:val="1"/>
          <w:color w:val="auto"/>
        </w:rPr>
        <w:t>Section 8</w:t>
      </w:r>
      <w:r>
        <w:rPr>
          <w:rFonts w:ascii="Arial" w:cs="Arial" w:eastAsia="Arial" w:hAnsi="Arial"/>
          <w:sz w:val="17"/>
          <w:szCs w:val="17"/>
          <w:color w:val="auto"/>
        </w:rPr>
        <w:t xml:space="preserve">, the restricted periods set forth in this </w:t>
      </w:r>
      <w:r>
        <w:rPr>
          <w:rFonts w:ascii="Arial" w:cs="Arial" w:eastAsia="Arial" w:hAnsi="Arial"/>
          <w:sz w:val="17"/>
          <w:szCs w:val="17"/>
          <w:b w:val="1"/>
          <w:bCs w:val="1"/>
          <w:color w:val="auto"/>
        </w:rPr>
        <w:t>Section 8</w:t>
      </w:r>
      <w:r>
        <w:rPr>
          <w:rFonts w:ascii="Arial" w:cs="Arial" w:eastAsia="Arial" w:hAnsi="Arial"/>
          <w:sz w:val="17"/>
          <w:szCs w:val="17"/>
          <w:color w:val="auto"/>
        </w:rPr>
        <w:t xml:space="preserve"> shall be tolled until such breach or violation, or dispute related to an allegation by the Company that I have breached or violated this </w:t>
      </w:r>
      <w:r>
        <w:rPr>
          <w:rFonts w:ascii="Arial" w:cs="Arial" w:eastAsia="Arial" w:hAnsi="Arial"/>
          <w:sz w:val="17"/>
          <w:szCs w:val="17"/>
          <w:b w:val="1"/>
          <w:bCs w:val="1"/>
          <w:color w:val="auto"/>
        </w:rPr>
        <w:t>Section 8</w:t>
      </w:r>
      <w:r>
        <w:rPr>
          <w:rFonts w:ascii="Arial" w:cs="Arial" w:eastAsia="Arial" w:hAnsi="Arial"/>
          <w:sz w:val="17"/>
          <w:szCs w:val="17"/>
          <w:color w:val="auto"/>
        </w:rPr>
        <w:t xml:space="preserve">, has been duly cured or resolved, as applicable. I agree that nothing in this </w:t>
      </w:r>
      <w:r>
        <w:rPr>
          <w:rFonts w:ascii="Arial" w:cs="Arial" w:eastAsia="Arial" w:hAnsi="Arial"/>
          <w:sz w:val="17"/>
          <w:szCs w:val="17"/>
          <w:b w:val="1"/>
          <w:bCs w:val="1"/>
          <w:color w:val="auto"/>
        </w:rPr>
        <w:t>Section 8</w:t>
      </w:r>
      <w:r>
        <w:rPr>
          <w:rFonts w:ascii="Arial" w:cs="Arial" w:eastAsia="Arial" w:hAnsi="Arial"/>
          <w:sz w:val="17"/>
          <w:szCs w:val="17"/>
          <w:color w:val="auto"/>
        </w:rPr>
        <w:t xml:space="preserve"> shall affect my continuing obligations under this Agreement during and after this twelve (12) month period, including, without limitation, my obligations under </w:t>
      </w:r>
      <w:r>
        <w:rPr>
          <w:rFonts w:ascii="Arial" w:cs="Arial" w:eastAsia="Arial" w:hAnsi="Arial"/>
          <w:sz w:val="17"/>
          <w:szCs w:val="17"/>
          <w:b w:val="1"/>
          <w:bCs w:val="1"/>
          <w:color w:val="auto"/>
        </w:rPr>
        <w:t>Section 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419100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5" w:name="page116"/>
    <w:bookmarkEnd w:id="115"/>
    <w:p>
      <w:pPr>
        <w:jc w:val="both"/>
        <w:ind w:firstLine="1304"/>
        <w:spacing w:after="0" w:line="269" w:lineRule="auto"/>
        <w:tabs>
          <w:tab w:leader="none" w:pos="2213" w:val="left"/>
        </w:tabs>
        <w:numPr>
          <w:ilvl w:val="1"/>
          <w:numId w:val="76"/>
        </w:numPr>
        <w:rPr>
          <w:rFonts w:ascii="Arial" w:cs="Arial" w:eastAsia="Arial" w:hAnsi="Arial"/>
          <w:sz w:val="17"/>
          <w:szCs w:val="17"/>
          <w:i w:val="1"/>
          <w:iCs w:val="1"/>
          <w:color w:val="auto"/>
        </w:rPr>
      </w:pPr>
      <w:r>
        <w:rPr>
          <w:rFonts w:ascii="Arial" w:cs="Arial" w:eastAsia="Arial" w:hAnsi="Arial"/>
          <w:sz w:val="17"/>
          <w:szCs w:val="17"/>
          <w:i w:val="1"/>
          <w:iCs w:val="1"/>
          <w:color w:val="auto"/>
        </w:rPr>
        <w:t>Separate Covenants</w:t>
      </w:r>
      <w:r>
        <w:rPr>
          <w:rFonts w:ascii="Arial" w:cs="Arial" w:eastAsia="Arial" w:hAnsi="Arial"/>
          <w:sz w:val="17"/>
          <w:szCs w:val="17"/>
          <w:color w:val="auto"/>
        </w:rPr>
        <w:t>. The covenants contained in subsections (A) and (B) above shall be construed as a series of separate</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covenants, one for each city, county and state of any geographic area in the Territory. Except for geographic coverage, each such separate covenant shall be deemed identical in terms to the covenant contained in subsections (A) and (B) above. If, in any judicial or arbitral proceeding, a court or arbitrator refuses to enforce any of such separate covenants (or any part thereof), then such unenforceable covenant (or such part) shall be revised, or if revision is not permitted it shall be eliminated from this Agreement, to the extent necessary to permit the remaining separate covenants (or portions thereof) to be enforced. In the event that the provisions of subsections (A) and (B) above are deemed to exceed the time, geographic or scope limitations permitted by applicable law, then such provisions shall be reformed to the maximum time, geographic or scope limitations, as the case may be, then permitted by such law. In the event that the applicable court or arbitrator does not exercise the power granted to it in the prior sentence, I and the Company agree to replace such invalid or unenforceable term or provision with a valid and enforceable term or provision that will achieve, to the extent possible, the economic, business and other purposes of such invalid or unenforceable term.</w:t>
      </w:r>
    </w:p>
    <w:p>
      <w:pPr>
        <w:spacing w:after="0" w:line="181" w:lineRule="exact"/>
        <w:rPr>
          <w:rFonts w:ascii="Arial" w:cs="Arial" w:eastAsia="Arial" w:hAnsi="Arial"/>
          <w:sz w:val="17"/>
          <w:szCs w:val="17"/>
          <w:i w:val="1"/>
          <w:iCs w:val="1"/>
          <w:color w:val="auto"/>
        </w:rPr>
      </w:pPr>
    </w:p>
    <w:p>
      <w:pPr>
        <w:ind w:left="1300" w:hanging="644"/>
        <w:spacing w:after="0"/>
        <w:tabs>
          <w:tab w:leader="none" w:pos="13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 OF INTEREST GUIDELINES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 agree to diligently adhere to all policies of the Company, including the Company’s insider trading policies and the Company’s Conflict of Interest Guidelines. A copy of the Company’s current Conflict of Interest Guidelines is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but I understand that these Conflict of Interest Guidelines may be revised from time to time during my employment.</w:t>
      </w:r>
    </w:p>
    <w:p>
      <w:pPr>
        <w:spacing w:after="0" w:line="180"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Without limiting my obligations under </w:t>
      </w:r>
      <w:r>
        <w:rPr>
          <w:rFonts w:ascii="Arial" w:cs="Arial" w:eastAsia="Arial" w:hAnsi="Arial"/>
          <w:sz w:val="18"/>
          <w:szCs w:val="18"/>
          <w:b w:val="1"/>
          <w:bCs w:val="1"/>
          <w:color w:val="auto"/>
        </w:rPr>
        <w:t>Section 3.E</w:t>
      </w:r>
      <w:r>
        <w:rPr>
          <w:rFonts w:ascii="Arial" w:cs="Arial" w:eastAsia="Arial" w:hAnsi="Arial"/>
          <w:sz w:val="18"/>
          <w:szCs w:val="18"/>
          <w:color w:val="auto"/>
        </w:rPr>
        <w:t xml:space="preserve"> above, I agree to execute any proper oath or verify any proper document required to carry out the terms of this Agreement. I represent and warrant that my performance of all the terms of this Agreement will not breach any agreement to keep in confidence information acquired by me in confidence or in trust prior to my employment by the Company. I hereby represent and warrant that I have not entered into, and I will not enter into, any oral or written agreement in conflict herewith.</w:t>
      </w:r>
    </w:p>
    <w:p>
      <w:pPr>
        <w:spacing w:after="0" w:line="180"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AUDIT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 acknowledge that I have no reasonable expectation of privacy in any Company Electronic Media Equipment or Company Electronic Media System. All information, data, and messages created, received, sent, or stored in Company Electronic Media Equipment or Company Electronic Media Systems are, at all times, the property of the Company. As such, the Company has the right to audit and search all such items and systems, without further notice to me, to ensure that the Company is licensed to use the software on the Company’s devices in compliance with the Company’s software licensing policies, to ensure compliance with the Company’s policies, and for any other business-related purposes in the Company’s sole discretion. I understand that I am not permitted to add any unlicensed, unauthorized, or non-compliant applications to the Company’s technology systems, including, without limitation, open source or free software not authorized by the Company, and that I shall refrain from copying unlicensed software onto the Company’s technology systems or using non-licensed software or websites. I understand that it is my responsibility to comply with the Company’s policies governing use of the Company’s documents and the internet, email, telephone, and technology systems to which I will have access in connection with my employment. In addition, as to any personal Electronic Media Equipment or personal Electronic Media Systems or other personal property that I have used for Company purposes, I agree that the Company may have reasonable access, to such personal Electronic Media Equipment or personal Electronic Media Systems or other personal property to review, retrieve, destroy, or ensure the permanent deletion of Company information from such equipment or systems or property or take such other actions that are needed to protect the Company or Company property, as determined by the Company reasonably and in good faith.</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 am aware that the Company has or may acquire software and systems that are capable of monitoring and recording all Company network traffic to and from any Company Electronic Media Equipment or Company Electronic Media Systems. The Company reserves the right to access, review, copy, and delete any of the information, data, or messages accessed through Company Electronic Media Equipment or Electronic Media Systems, with or without notice to me and/or in my absence. This includes, but is not limited to, all e-mail messages sent or received, all website visits, all chat sessions, all news group activity (including groups visited, messages read, and postings by me), and all file transfers into and out of the Company’s internal networks. The Company further reserves the right to retrieve previously deleted messages from e-mail or voicemail and monitor usage of the Internet, including websites visited and any information I have downloaded. In addition, the Company may review Internet and technology systems activity and analyze usage patterns, and may choose to publicize this data to assure that technology systems are devoted to legitimate business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ind w:left="1300" w:hanging="644"/>
        <w:spacing w:after="0"/>
        <w:tabs>
          <w:tab w:leader="none" w:pos="13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 AND EQUITABLE RELIEF</w:t>
      </w:r>
    </w:p>
    <w:p>
      <w:pPr>
        <w:spacing w:after="0" w:line="229" w:lineRule="exact"/>
        <w:rPr>
          <w:rFonts w:ascii="Arial" w:cs="Arial" w:eastAsia="Arial" w:hAnsi="Arial"/>
          <w:sz w:val="18"/>
          <w:szCs w:val="18"/>
          <w:b w:val="1"/>
          <w:bCs w:val="1"/>
          <w:color w:val="auto"/>
        </w:rPr>
      </w:pPr>
    </w:p>
    <w:p>
      <w:pPr>
        <w:jc w:val="both"/>
        <w:ind w:firstLine="1296"/>
        <w:spacing w:after="0" w:line="266" w:lineRule="auto"/>
        <w:rPr>
          <w:rFonts w:ascii="Arial" w:cs="Arial" w:eastAsia="Arial" w:hAnsi="Arial"/>
          <w:sz w:val="18"/>
          <w:szCs w:val="18"/>
          <w:b w:val="1"/>
          <w:bCs w:val="1"/>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Arbitration</w:t>
      </w:r>
      <w:r>
        <w:rPr>
          <w:rFonts w:ascii="Arial" w:cs="Arial" w:eastAsia="Arial" w:hAnsi="Arial"/>
          <w:sz w:val="17"/>
          <w:szCs w:val="17"/>
          <w:color w:val="auto"/>
        </w:rPr>
        <w:t xml:space="preserve">. IN CONSIDERATION OF MY EMPLOYMENT WITH THE COMPANY, ITS PROMISE TO ARBITRATE ALL EMPLOYMENT-RELATED DISPUTES WITH ME, AND MY RECEIPT OF COMPENSATION AND OTHER COMPANY BENEFITS, AT PRESENT AND IN THE FUTURE, I AGREE THAT ANY AND ALL CONTROVERSIES, CLAIMS, OR DISPUTES THAT I MAY HAVE WITH THE COMPANY (INCLUDING ANY COMPANY EMPLOYEE, OFFICER, DIRECTOR, TRUSTEE, OR BENEFIT PLAN OF THE COMPANY, IN THEIR CAPACITY AS SUCH OR OTHERWISE), ARISING OUT OF, RELATING TO, OR RESULTING FROM MY EMPLOYMENT OR RELATIONSHIP WITH THE COMPANY OR THE TERMINATION OF MY EMPLOYMENT OR RELATIONSHIP WITH THE COMPANY, INCLUDING ANY BREACH OF THIS AGREEMENT, SHALL BE SUBJECT TO BINDING ARBITRATION UNDER THE FEDERAL ARBITRATION ACT (THE “FAA”) AND THAT THE FAA, INCLUDING ITS PROCEDURAL PROVISIONS FOR COMPELLING ARBITRATION, SHALL GOVERN AND APPLY TO THIS ARBITRATION AGREEMENT (INCLUDING COMPELLING ARBITRATION IN STATE OR FEDERAL COURT) WITH FULL FORCE AND EFFECT. I FURTHER AGREE TO THE FULLEST EXTENT PERMITTED BY LAW THAT I MAY BRING ANY ARBITRATION PROCEEDING ONLY IN MY INDIVIDUAL CAPACITY, AND NOT AS A PLAINTIFF, REPRESENTATIVE, OR CLASS MEMBER IN ANY PURPORTED CLASS, COLLECTIVE OR REPRESENTATIVE LAWSUIT, OR PROCEEDING. </w:t>
      </w:r>
      <w:r>
        <w:rPr>
          <w:rFonts w:ascii="Arial" w:cs="Arial" w:eastAsia="Arial" w:hAnsi="Arial"/>
          <w:sz w:val="17"/>
          <w:szCs w:val="17"/>
          <w:b w:val="1"/>
          <w:bCs w:val="1"/>
          <w:color w:val="auto"/>
        </w:rPr>
        <w:t>TO THE FULLEST EXTENT PERMITTED BY</w:t>
      </w:r>
    </w:p>
    <w:p>
      <w:pPr>
        <w:spacing w:after="0" w:line="6" w:lineRule="exact"/>
        <w:rPr>
          <w:rFonts w:ascii="Arial" w:cs="Arial" w:eastAsia="Arial" w:hAnsi="Arial"/>
          <w:sz w:val="18"/>
          <w:szCs w:val="18"/>
          <w:b w:val="1"/>
          <w:bCs w:val="1"/>
          <w:color w:val="auto"/>
        </w:rPr>
      </w:pPr>
    </w:p>
    <w:p>
      <w:pPr>
        <w:jc w:val="both"/>
        <w:spacing w:after="0" w:line="25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LAW, I AGREE TO ARBITRATE ANY AND ALL COMMON LAW AND/OR STATUTORY CLAIMS UNDER LOCAL, STATE, OR FEDERAL LAW, INCLUDING, BUT NOT LIMITED TO, CLAIMS UNDER TITLE VII OF THE CIVIL RIGHTS ACT OF 1964, THE AMERICANS WITH DISABILITIES ACT OF 1990, THE AGE DISCRIMINATION IN EMPLOYMENT ACT OF 1967, THE OLDER WORKERS BENEFIT PROTECTION ACT, THE WORKER ADJUSTMENT AND RETRAINING NOTIFICATION ACT, THE FAIR LABOR STANDARDS ACT, THE FAMILY AND MEDICAL LEAVE ACT, THE COLORADO CIVIL RIGHTS LAWS, THE COLORADO WAGE LAW, THE COLORADO WAGE CLAIM ACT, CLAIMS RELATING TO EMPLOYMENT STATUS, CLAIMS RELATING TO COMPENSATION (CASH, EQUITY, BONUS, OR OTHERWISE), CLAIMS RELATING TO CLASSIFICATION, AND CLAIMS OF HARASSMENT, DISCRIMINATION, WRONGFUL TERMINATION, AND BREACH OF CONTRACT. TO THE FULLEST EXTENT PERMITTED BY LAW, I ALSO AGREE TO ARBITRATE ANY AND ALL DISPUTES ARISING OUT OF OR RELATING TO THE INTERPRETATION OR APPLICATION OF THIS AGREEMENT TO ARBITRATE, BUT NOT DISPUTES ABOUT THE ENFORCEABILITY, REVOCABILITY, OR VALIDITY OF THIS AGREEMENT TO ARBITRATE OR THE CLASS, COLLECTIVE, AND REPRESENTATIVE PROCEEDING WAIVER HEREIN. WITH RESPECT TO ALL SUCH CLAIMS AND DISPUTES THAT I AGREE TO ARBITRATE, I HEREBY EXPRESSLY AGREE TO WAIVE, AND DO WAIVE, ANY RIGHT TO A TRIAL BY JURY. </w:t>
      </w:r>
      <w:r>
        <w:rPr>
          <w:rFonts w:ascii="Arial" w:cs="Arial" w:eastAsia="Arial" w:hAnsi="Arial"/>
          <w:sz w:val="18"/>
          <w:szCs w:val="18"/>
          <w:color w:val="auto"/>
        </w:rPr>
        <w:t>I FURTHER UNDERSTAND THAT THIS AGREEMENT TO ARBITRATE</w:t>
      </w:r>
      <w:r>
        <w:rPr>
          <w:rFonts w:ascii="Arial" w:cs="Arial" w:eastAsia="Arial" w:hAnsi="Arial"/>
          <w:sz w:val="18"/>
          <w:szCs w:val="18"/>
          <w:b w:val="1"/>
          <w:bCs w:val="1"/>
          <w:color w:val="auto"/>
        </w:rPr>
        <w:t xml:space="preserve"> </w:t>
      </w:r>
      <w:r>
        <w:rPr>
          <w:rFonts w:ascii="Arial" w:cs="Arial" w:eastAsia="Arial" w:hAnsi="Arial"/>
          <w:sz w:val="18"/>
          <w:szCs w:val="18"/>
          <w:color w:val="auto"/>
        </w:rPr>
        <w:t>ALSO APPLIES TO ANY DISPUTES THAT THE COMPANY MAY HAVE WITH ME. I UNDERSTAND THAT NOTHING IN THIS AGREEMENT REQUIRES ME TO ARBITRATE CLAIMS THAT CANNOT BE ARBITRATED UNDER APPLICABLE LAW, SUCH AS SEXUAL ASSAULT DISPUTES AND SEXUAL HARASSMENT DISPUTES AS DEFINED IN THE FAA OR CLAIMS UNDER THE SARBANES-OXLEY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left="-1120" w:firstLine="1304"/>
        <w:spacing w:after="0" w:line="251" w:lineRule="auto"/>
        <w:tabs>
          <w:tab w:leader="none" w:pos="1313"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Procedure</w:t>
      </w:r>
      <w:r>
        <w:rPr>
          <w:rFonts w:ascii="Arial" w:cs="Arial" w:eastAsia="Arial" w:hAnsi="Arial"/>
          <w:sz w:val="18"/>
          <w:szCs w:val="18"/>
          <w:color w:val="auto"/>
        </w:rPr>
        <w:t>. I AGREE THAT ANY ARBITRATION WILL BE ADMINISTERED BY JAMS, PURSUANT TO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ARBITRATION RULES &amp; PROCEDURES (THE “</w:t>
      </w:r>
      <w:r>
        <w:rPr>
          <w:rFonts w:ascii="Arial" w:cs="Arial" w:eastAsia="Arial" w:hAnsi="Arial"/>
          <w:sz w:val="18"/>
          <w:szCs w:val="18"/>
          <w:b w:val="1"/>
          <w:bCs w:val="1"/>
          <w:color w:val="auto"/>
        </w:rPr>
        <w:t>JAMS RULES</w:t>
      </w:r>
      <w:r>
        <w:rPr>
          <w:rFonts w:ascii="Arial" w:cs="Arial" w:eastAsia="Arial" w:hAnsi="Arial"/>
          <w:sz w:val="18"/>
          <w:szCs w:val="18"/>
          <w:color w:val="auto"/>
        </w:rPr>
        <w:t>”), WHICH ARE AVAILABLE AT http://www.jamsadr.com/rules-employment-arbitration/. IF THE JAMS RULES CANNOT BE ENFORCED AS TO THE ARBITRATION, THEN THE PARTIES AGREE THAT THEY WILL ARBITRATE THIS DISPUTE UNDER THE COL. REV. STAT. SECTION 13-22-201 ET SEQ. (THE “</w:t>
      </w:r>
      <w:r>
        <w:rPr>
          <w:rFonts w:ascii="Arial" w:cs="Arial" w:eastAsia="Arial" w:hAnsi="Arial"/>
          <w:sz w:val="18"/>
          <w:szCs w:val="18"/>
          <w:b w:val="1"/>
          <w:bCs w:val="1"/>
          <w:color w:val="auto"/>
        </w:rPr>
        <w:t>RULES</w:t>
      </w:r>
      <w:r>
        <w:rPr>
          <w:rFonts w:ascii="Arial" w:cs="Arial" w:eastAsia="Arial" w:hAnsi="Arial"/>
          <w:sz w:val="18"/>
          <w:szCs w:val="18"/>
          <w:color w:val="auto"/>
        </w:rPr>
        <w:t>”). I AGREE THAT THE ARBITRATOR SHALL HAVE THE POWER TO DECIDE ANY MOTIONS BROUGHT BY ANY PARTY TO THE ARBITRATION, INCLUDING MOTIONS FOR SUMMARY JUDGMENT AND/OR ADJUDICATION, AND MOTIONS TO DISMISS, APPLYING THE STANDARDS SET FORTH UNDER THE COLORADO RULES OF CIVIL PROCEDURE. I AGREE THAT THE ARBITRATOR SHALL ISSUE A WRITTEN DECISION ON THE MERITS. I ALSO AGREE THAT THE ARBITRATOR SHALL HAVE THE POWER TO AWARD ANY REMEDIES AVAILABLE UNDER APPLICABLE LAW, AND THAT THE ARBITRATOR MAY AWARD ATTORNEYS’ FEES AND COSTS TO THE PREVAILING PARTY, WHERE PERMITTED BY APPLICABLE LAW. I AGREE THAT THE DECREE OR AWARD RENDERED BY THE ARBITRATOR MAY BE ENTERED AS A FINAL AND BINDING JUDGMENT IN ANY COURT HAVING JURISDICTION THEREOF. I UNDERSTAND THAT THE COMPANY WILL PAY FOR ANY ADMINISTRATIVE OR HEARING FEES CHARGED BY THE ARBITRATOR OR JAMS EXCEPT THAT I SHALL PAY ANY FILING FEES ASSOCIATED WITH ANY ARBITRATION THAT I INITIATE, BUT ONLY SO MUCH OF THE FILING FEES AS I WOULD HAVE INSTEAD PAID HAD I FILED A COMPLAINT IN A COURT OF LAW THAT WOULD HAVE HAD JURISDICTION OVER SUCH COMPLAINT. I AGREE THAT THE ARBITRATOR SHALL ADMINISTER AND CONDUCT ANY ARBITRATION IN ACCORDANCE WITH COLORADO LAW, INCLUDING THE COLORADO RULES OF CIVIL PROCEDURE AND THE COLORADO RULES OF EVIDENCE, AND THAT THE ARBITRATOR SHALL APPLY SUBSTANTIVE AND PROCEDURAL COLORADO LAW TO ANY DISPUTE OR CLAIM, WITHOUT REFERENCE TO RULES OF CONFLICT-OF-LAW. I AGREE THAT ANY ARBITRATION UNDER THIS AGREEMENT SHALL BE CONDUCTED DENVER, COLORADO.</w:t>
      </w:r>
    </w:p>
    <w:p>
      <w:pPr>
        <w:spacing w:after="0" w:line="207" w:lineRule="exact"/>
        <w:rPr>
          <w:rFonts w:ascii="Arial" w:cs="Arial" w:eastAsia="Arial" w:hAnsi="Arial"/>
          <w:sz w:val="18"/>
          <w:szCs w:val="18"/>
          <w:color w:val="auto"/>
        </w:rPr>
      </w:pPr>
    </w:p>
    <w:p>
      <w:pPr>
        <w:jc w:val="both"/>
        <w:ind w:left="-1120" w:firstLine="1304"/>
        <w:spacing w:after="0" w:line="263" w:lineRule="auto"/>
        <w:tabs>
          <w:tab w:leader="none" w:pos="962"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Remedy</w:t>
      </w:r>
      <w:r>
        <w:rPr>
          <w:rFonts w:ascii="Arial" w:cs="Arial" w:eastAsia="Arial" w:hAnsi="Arial"/>
          <w:sz w:val="18"/>
          <w:szCs w:val="18"/>
          <w:color w:val="auto"/>
        </w:rPr>
        <w:t>. EXCEPT FOR THE PURSUIT OF ANY PROVISIONAL REMEDY, IF ANY, PERMITTED BY THE RULES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BY THIS AGREEMENT, I AGREE THAT ARBITRATION SHALL BE THE SOLE, EXCLUSIVE, AND FINAL REMEDY FOR ANY DISPUTE BETWEEN THE COMPANY AND ME.</w:t>
      </w:r>
    </w:p>
    <w:p>
      <w:pPr>
        <w:spacing w:after="0" w:line="183" w:lineRule="exact"/>
        <w:rPr>
          <w:rFonts w:ascii="Arial" w:cs="Arial" w:eastAsia="Arial" w:hAnsi="Arial"/>
          <w:sz w:val="18"/>
          <w:szCs w:val="18"/>
          <w:color w:val="auto"/>
        </w:rPr>
      </w:pPr>
    </w:p>
    <w:p>
      <w:pPr>
        <w:jc w:val="both"/>
        <w:ind w:left="-1120" w:firstLine="1304"/>
        <w:spacing w:after="0" w:line="255" w:lineRule="auto"/>
        <w:tabs>
          <w:tab w:leader="none" w:pos="1012"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Administrative Relief</w:t>
      </w:r>
      <w:r>
        <w:rPr>
          <w:rFonts w:ascii="Arial" w:cs="Arial" w:eastAsia="Arial" w:hAnsi="Arial"/>
          <w:sz w:val="18"/>
          <w:szCs w:val="18"/>
          <w:color w:val="auto"/>
        </w:rPr>
        <w:t>. I UNDERSTAND THAT THIS AGREEMENT DOES NOT PROHIBIT ME FROM PURSUING 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CLAIM WITH A LOCAL, STATE, OR FEDERAL ADMINISTRATIVE BODY OR GOVERNMENT AGENCY THAT IS AUTHORIZED TO ENFORCE OR ADMINISTER LAWS RELATED TO EMPLOYMENT, INCLUDING, BUT NOT LIMITED TO, THE COLORADO CIVIL RIGHTS COMMISSION, THE EQUAL EMPLOYMENT OPPORTUNITY COMMISSION, THE NATIONAL LABOR RELATIONS BOARD, OR THE WORKERS’ COMPENSATION BOARD. THIS AGREEMENT DOES, HOWEVER, PRECLUDE ME FROM PURSUING A COURT ACTION REGARDING ANY SUCH CLAIM, EXCEPT AS PERMITTED BY LAW.</w:t>
      </w:r>
    </w:p>
    <w:p>
      <w:pPr>
        <w:spacing w:after="0" w:line="192" w:lineRule="exact"/>
        <w:rPr>
          <w:rFonts w:ascii="Arial" w:cs="Arial" w:eastAsia="Arial" w:hAnsi="Arial"/>
          <w:sz w:val="18"/>
          <w:szCs w:val="18"/>
          <w:color w:val="auto"/>
        </w:rPr>
      </w:pPr>
    </w:p>
    <w:p>
      <w:pPr>
        <w:jc w:val="both"/>
        <w:ind w:left="-1120" w:firstLine="1304"/>
        <w:spacing w:after="0" w:line="255" w:lineRule="auto"/>
        <w:tabs>
          <w:tab w:leader="none" w:pos="1208"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Voluntary Nature of Agreement</w:t>
      </w:r>
      <w:r>
        <w:rPr>
          <w:rFonts w:ascii="Arial" w:cs="Arial" w:eastAsia="Arial" w:hAnsi="Arial"/>
          <w:sz w:val="18"/>
          <w:szCs w:val="18"/>
          <w:color w:val="auto"/>
        </w:rPr>
        <w:t>. I ACKNOWLEDGE AND AGREE THAT I AM EXECUTING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VOLUNTARILY AND WITHOUT ANY DURESS OR UNDUE INFLUENCE BY THE COMPANY OR ANYONE ELSE. I FURTHER ACKNOWLEDGE AND AGREE THAT I HAVE CAREFULLY READ THIS AGREEMENT AND THAT I HAVE ASKED ANY QUESTIONS NEEDED FOR ME TO UNDERSTAND THE TERMS, CONSEQUENCES, AND BINDING EFFECT OF THIS AGREEMENT AND FULLY UNDERSTAND IT, INCLUDING THAT </w:t>
      </w:r>
      <w:r>
        <w:rPr>
          <w:rFonts w:ascii="Arial" w:cs="Arial" w:eastAsia="Arial" w:hAnsi="Arial"/>
          <w:sz w:val="18"/>
          <w:szCs w:val="18"/>
          <w:b w:val="1"/>
          <w:bCs w:val="1"/>
          <w:i w:val="1"/>
          <w:iCs w:val="1"/>
          <w:color w:val="auto"/>
        </w:rPr>
        <w:t>I AM WAIVING MY RIGHT TO A JURY TRIAL</w:t>
      </w:r>
      <w:r>
        <w:rPr>
          <w:rFonts w:ascii="Arial" w:cs="Arial" w:eastAsia="Arial" w:hAnsi="Arial"/>
          <w:sz w:val="18"/>
          <w:szCs w:val="18"/>
          <w:color w:val="auto"/>
        </w:rPr>
        <w:t>. FINALLY, I AGREE THAT I HAVE BEEN PROVIDED AN OPPORTUNITY TO SEEK THE ADVICE OF AN ATTORNEY OF MY CHOICE BEFORE SIGNING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422910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8" w:name="page119"/>
    <w:bookmarkEnd w:id="118"/>
    <w:p>
      <w:pPr>
        <w:ind w:left="1300" w:hanging="644"/>
        <w:spacing w:after="0"/>
        <w:tabs>
          <w:tab w:leader="none" w:pos="13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5" w:lineRule="exact"/>
        <w:rPr>
          <w:rFonts w:ascii="Arial" w:cs="Arial" w:eastAsia="Arial" w:hAnsi="Arial"/>
          <w:sz w:val="18"/>
          <w:szCs w:val="18"/>
          <w:b w:val="1"/>
          <w:bCs w:val="1"/>
          <w:color w:val="auto"/>
        </w:rPr>
      </w:pPr>
    </w:p>
    <w:p>
      <w:pPr>
        <w:jc w:val="both"/>
        <w:ind w:firstLine="1304"/>
        <w:spacing w:after="0" w:line="303" w:lineRule="auto"/>
        <w:tabs>
          <w:tab w:leader="none" w:pos="2119" w:val="left"/>
        </w:tabs>
        <w:numPr>
          <w:ilvl w:val="1"/>
          <w:numId w:val="82"/>
        </w:numPr>
        <w:rPr>
          <w:rFonts w:ascii="Arial" w:cs="Arial" w:eastAsia="Arial" w:hAnsi="Arial"/>
          <w:sz w:val="16"/>
          <w:szCs w:val="16"/>
          <w:color w:val="auto"/>
        </w:rPr>
      </w:pPr>
      <w:r>
        <w:rPr>
          <w:rFonts w:ascii="Arial" w:cs="Arial" w:eastAsia="Arial" w:hAnsi="Arial"/>
          <w:sz w:val="16"/>
          <w:szCs w:val="16"/>
          <w:i w:val="1"/>
          <w:iCs w:val="1"/>
          <w:color w:val="auto"/>
        </w:rPr>
        <w:t>Governing Law; Consent to Personal Jurisdiction</w:t>
      </w:r>
      <w:r>
        <w:rPr>
          <w:rFonts w:ascii="Arial" w:cs="Arial" w:eastAsia="Arial" w:hAnsi="Arial"/>
          <w:sz w:val="16"/>
          <w:szCs w:val="16"/>
          <w:color w:val="auto"/>
        </w:rPr>
        <w:t>. With the exception of the arbitration requirements set forth in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12</w:t>
      </w:r>
      <w:r>
        <w:rPr>
          <w:rFonts w:ascii="Arial" w:cs="Arial" w:eastAsia="Arial" w:hAnsi="Arial"/>
          <w:sz w:val="16"/>
          <w:szCs w:val="16"/>
          <w:i w:val="1"/>
          <w:iCs w:val="1"/>
          <w:color w:val="auto"/>
        </w:rPr>
        <w:t xml:space="preserve"> </w:t>
      </w:r>
      <w:r>
        <w:rPr>
          <w:rFonts w:ascii="Arial" w:cs="Arial" w:eastAsia="Arial" w:hAnsi="Arial"/>
          <w:sz w:val="16"/>
          <w:szCs w:val="16"/>
          <w:color w:val="auto"/>
        </w:rPr>
        <w:t>herein, this Agreement will be governed by the laws of the State of Colorado without regard to Colorado’s conflicts-of-law rules that may result in the application of the laws of any jurisdiction other than Colorado. To the extent that any lawsuit is permitted under this Agreement, I hereby expressly consent to the personal and exclusive jurisdiction and venue of the state and federal courts located in Colorado for any lawsuit filed against me by the Company.</w:t>
      </w:r>
    </w:p>
    <w:p>
      <w:pPr>
        <w:spacing w:after="0" w:line="154" w:lineRule="exact"/>
        <w:rPr>
          <w:rFonts w:ascii="Arial" w:cs="Arial" w:eastAsia="Arial" w:hAnsi="Arial"/>
          <w:sz w:val="16"/>
          <w:szCs w:val="16"/>
          <w:color w:val="auto"/>
        </w:rPr>
      </w:pPr>
    </w:p>
    <w:p>
      <w:pPr>
        <w:jc w:val="both"/>
        <w:ind w:firstLine="1304"/>
        <w:spacing w:after="0" w:line="255" w:lineRule="auto"/>
        <w:tabs>
          <w:tab w:leader="none" w:pos="2527"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Assignability</w:t>
      </w:r>
      <w:r>
        <w:rPr>
          <w:rFonts w:ascii="Arial" w:cs="Arial" w:eastAsia="Arial" w:hAnsi="Arial"/>
          <w:sz w:val="18"/>
          <w:szCs w:val="18"/>
          <w:color w:val="auto"/>
        </w:rPr>
        <w:t>. This Agreement will be binding upon my heirs, executors, assigns, administrators, and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and will be for the benefit of the Company, its successors, and its assigns. The Associated Third Parties are intended third-party beneficiaries to this Agreement with respect to my obligations in </w:t>
      </w:r>
      <w:r>
        <w:rPr>
          <w:rFonts w:ascii="Arial" w:cs="Arial" w:eastAsia="Arial" w:hAnsi="Arial"/>
          <w:sz w:val="18"/>
          <w:szCs w:val="18"/>
          <w:b w:val="1"/>
          <w:bCs w:val="1"/>
          <w:color w:val="auto"/>
        </w:rPr>
        <w:t>Section 2.D</w:t>
      </w:r>
      <w:r>
        <w:rPr>
          <w:rFonts w:ascii="Arial" w:cs="Arial" w:eastAsia="Arial" w:hAnsi="Arial"/>
          <w:sz w:val="18"/>
          <w:szCs w:val="18"/>
          <w:color w:val="auto"/>
        </w:rPr>
        <w:t>. Notwithstanding anything to the contrary herein, the Company may assign this Agreement and its rights and obligations under this Agreement to any successor to all, or substantially all, of the Company’s relevant assets, whether by merger, consolidation, reorganization, reincorporation, sale of assets or stock, or otherwise. For the avoidance of doubt, the Company’s successors and assigns are authorized to enforce the Company’s rights under this Agreement.</w:t>
      </w:r>
    </w:p>
    <w:p>
      <w:pPr>
        <w:spacing w:after="0" w:line="192" w:lineRule="exact"/>
        <w:rPr>
          <w:rFonts w:ascii="Arial" w:cs="Arial" w:eastAsia="Arial" w:hAnsi="Arial"/>
          <w:sz w:val="18"/>
          <w:szCs w:val="18"/>
          <w:color w:val="auto"/>
        </w:rPr>
      </w:pPr>
    </w:p>
    <w:p>
      <w:pPr>
        <w:jc w:val="both"/>
        <w:ind w:firstLine="1304"/>
        <w:spacing w:after="0" w:line="293" w:lineRule="auto"/>
        <w:tabs>
          <w:tab w:leader="none" w:pos="2203" w:val="left"/>
        </w:tabs>
        <w:numPr>
          <w:ilvl w:val="1"/>
          <w:numId w:val="82"/>
        </w:numPr>
        <w:rPr>
          <w:rFonts w:ascii="Arial" w:cs="Arial" w:eastAsia="Arial" w:hAnsi="Arial"/>
          <w:sz w:val="16"/>
          <w:szCs w:val="16"/>
          <w:color w:val="auto"/>
        </w:rPr>
      </w:pP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together with the Exhibits herein and any executed written offer letter or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between me and the Company, to the extent such materials are not in conflict with this Agreement, sets forth the entire agreement and understanding between the Company and me with respect to the subject matter herein and supersedes all prior written and oral agreements, discussions, or representations between us, including, but not limited to, any representations made during my interview(s) or relocation negotiations. I represent and warrant that I am not relying on any statement or representation not contained in this Agreement. Any subsequent change or changes in my duties, salary, compensation, conditions or any other terms of my employment will not affect the validity or scope of this Agreement.</w:t>
      </w:r>
    </w:p>
    <w:p>
      <w:pPr>
        <w:spacing w:after="0" w:line="164" w:lineRule="exact"/>
        <w:rPr>
          <w:rFonts w:ascii="Arial" w:cs="Arial" w:eastAsia="Arial" w:hAnsi="Arial"/>
          <w:sz w:val="16"/>
          <w:szCs w:val="16"/>
          <w:color w:val="auto"/>
        </w:rPr>
      </w:pPr>
    </w:p>
    <w:p>
      <w:pPr>
        <w:ind w:left="2360" w:hanging="1056"/>
        <w:spacing w:after="0"/>
        <w:tabs>
          <w:tab w:leader="none" w:pos="2360" w:val="left"/>
        </w:tabs>
        <w:numPr>
          <w:ilvl w:val="1"/>
          <w:numId w:val="82"/>
        </w:numPr>
        <w:rPr>
          <w:rFonts w:ascii="Arial" w:cs="Arial" w:eastAsia="Arial" w:hAnsi="Arial"/>
          <w:sz w:val="17"/>
          <w:szCs w:val="17"/>
          <w:color w:val="auto"/>
        </w:rPr>
      </w:pPr>
      <w:r>
        <w:rPr>
          <w:rFonts w:ascii="Arial" w:cs="Arial" w:eastAsia="Arial" w:hAnsi="Arial"/>
          <w:sz w:val="17"/>
          <w:szCs w:val="17"/>
          <w:i w:val="1"/>
          <w:iCs w:val="1"/>
          <w:color w:val="auto"/>
        </w:rPr>
        <w:t>Headings</w:t>
      </w:r>
      <w:r>
        <w:rPr>
          <w:rFonts w:ascii="Arial" w:cs="Arial" w:eastAsia="Arial" w:hAnsi="Arial"/>
          <w:sz w:val="17"/>
          <w:szCs w:val="17"/>
          <w:color w:val="auto"/>
        </w:rPr>
        <w:t>. Headings are used in this Agreement for reference only and shall not be considered when interpreting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jc w:val="both"/>
        <w:ind w:firstLine="1304"/>
        <w:spacing w:after="0" w:line="263" w:lineRule="auto"/>
        <w:tabs>
          <w:tab w:leader="none" w:pos="2180"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 court or other body of competent jurisdiction finds, or the Parties mutually believe, any provision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portion thereof, to be invalid or unenforceable, such provision will be enforced to the maximum extent permissible so as to effect the intent of the Parties, and the remainder of this Agreement will continue in full force and effect.</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007"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Modification, Waiver. </w:t>
      </w:r>
      <w:r>
        <w:rPr>
          <w:rFonts w:ascii="Arial" w:cs="Arial" w:eastAsia="Arial" w:hAnsi="Arial"/>
          <w:sz w:val="18"/>
          <w:szCs w:val="18"/>
          <w:color w:val="auto"/>
        </w:rPr>
        <w:t>No modification of or amendment to this Agreement, nor any waiver of any rights under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effective unless in a writing signed by the President or CEO of the Company and me. Waiver by the Company of a breach of any provision of this Agreement will not operate as a waiver of any other or subsequent breach.</w:t>
      </w:r>
    </w:p>
    <w:p>
      <w:pPr>
        <w:spacing w:after="0" w:line="183" w:lineRule="exact"/>
        <w:rPr>
          <w:rFonts w:ascii="Arial" w:cs="Arial" w:eastAsia="Arial" w:hAnsi="Arial"/>
          <w:sz w:val="18"/>
          <w:szCs w:val="18"/>
          <w:color w:val="auto"/>
        </w:rPr>
      </w:pPr>
    </w:p>
    <w:p>
      <w:pPr>
        <w:ind w:left="2080" w:hanging="776"/>
        <w:spacing w:after="0"/>
        <w:tabs>
          <w:tab w:leader="none" w:pos="2080" w:val="left"/>
        </w:tabs>
        <w:numPr>
          <w:ilvl w:val="1"/>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Survivorship. </w:t>
      </w:r>
      <w:r>
        <w:rPr>
          <w:rFonts w:ascii="Arial" w:cs="Arial" w:eastAsia="Arial" w:hAnsi="Arial"/>
          <w:sz w:val="16"/>
          <w:szCs w:val="16"/>
          <w:color w:val="auto"/>
        </w:rPr>
        <w:t>The rights and obligations of the Parties to this Agreement will survive termination of my employment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rotected</w:t>
      </w:r>
      <w:r>
        <w:rPr>
          <w:rFonts w:ascii="Arial" w:cs="Arial" w:eastAsia="Arial" w:hAnsi="Arial"/>
          <w:sz w:val="18"/>
          <w:szCs w:val="18"/>
          <w:b w:val="1"/>
          <w:bCs w:val="1"/>
          <w:u w:val="single" w:color="auto"/>
          <w:color w:val="auto"/>
        </w:rPr>
        <w:t xml:space="preserve"> A</w:t>
      </w:r>
      <w:r>
        <w:rPr>
          <w:rFonts w:ascii="Arial" w:cs="Arial" w:eastAsia="Arial" w:hAnsi="Arial"/>
          <w:sz w:val="12"/>
          <w:szCs w:val="12"/>
          <w:b w:val="1"/>
          <w:bCs w:val="1"/>
          <w:u w:val="single" w:color="auto"/>
          <w:color w:val="auto"/>
        </w:rPr>
        <w:t>ctivity</w:t>
      </w:r>
      <w:r>
        <w:rPr>
          <w:rFonts w:ascii="Arial" w:cs="Arial" w:eastAsia="Arial" w:hAnsi="Arial"/>
          <w:sz w:val="18"/>
          <w:szCs w:val="18"/>
          <w:b w:val="1"/>
          <w:bCs w:val="1"/>
          <w:u w:val="single" w:color="auto"/>
          <w:color w:val="auto"/>
        </w:rPr>
        <w:t xml:space="preserve"> N</w:t>
      </w:r>
      <w:r>
        <w:rPr>
          <w:rFonts w:ascii="Arial" w:cs="Arial" w:eastAsia="Arial" w:hAnsi="Arial"/>
          <w:sz w:val="12"/>
          <w:szCs w:val="12"/>
          <w:b w:val="1"/>
          <w:bCs w:val="1"/>
          <w:u w:val="single" w:color="auto"/>
          <w:color w:val="auto"/>
        </w:rPr>
        <w:t>ot</w:t>
      </w:r>
      <w:r>
        <w:rPr>
          <w:rFonts w:ascii="Arial" w:cs="Arial" w:eastAsia="Arial" w:hAnsi="Arial"/>
          <w:sz w:val="18"/>
          <w:szCs w:val="18"/>
          <w:b w:val="1"/>
          <w:bCs w:val="1"/>
          <w:u w:val="single" w:color="auto"/>
          <w:color w:val="auto"/>
        </w:rPr>
        <w:t xml:space="preserve"> P</w:t>
      </w:r>
      <w:r>
        <w:rPr>
          <w:rFonts w:ascii="Arial" w:cs="Arial" w:eastAsia="Arial" w:hAnsi="Arial"/>
          <w:sz w:val="12"/>
          <w:szCs w:val="12"/>
          <w:b w:val="1"/>
          <w:bCs w:val="1"/>
          <w:u w:val="single" w:color="auto"/>
          <w:color w:val="auto"/>
        </w:rPr>
        <w:t>rohibited</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 understand that nothing in this Agreement limits or prohibits me from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8"/>
          <w:szCs w:val="18"/>
          <w:b w:val="1"/>
          <w:bCs w:val="1"/>
          <w:color w:val="auto"/>
        </w:rPr>
        <w:t>(“Government Agencies”</w:t>
      </w:r>
      <w:r>
        <w:rPr>
          <w:rFonts w:ascii="Arial" w:cs="Arial" w:eastAsia="Arial" w:hAnsi="Arial"/>
          <w:sz w:val="18"/>
          <w:szCs w:val="18"/>
          <w:color w:val="auto"/>
        </w:rPr>
        <w:t xml:space="preserve">), including disclosing documents or other information as permitted by law, without giving notice to, or receiving authorization from, the Company. Notwithstanding, in making any such disclosures or communications, I agree to take all reasonable precautions to prevent any unauthorized use or disclosure of any information that may constitute Company Confidential Information to any parties other than the Government Agencies. I further understand that I am not permitted to disclose the Company’s attorney-client privileged communications or attorney work product. In addition, I hereby acknowledge that the Company has provided me with notice in compliance with the Defend Trade Secrets Act of 2016 regarding immunity from liability for limited disclosures of trade secrets. The full text of the notice is attached in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center"/>
        <w:ind w:left="340" w:right="100"/>
        <w:spacing w:after="0" w:line="282" w:lineRule="auto"/>
        <w:rPr>
          <w:sz w:val="20"/>
          <w:szCs w:val="20"/>
          <w:color w:val="auto"/>
        </w:rPr>
      </w:pPr>
      <w:r>
        <w:rPr>
          <w:rFonts w:ascii="Arial" w:cs="Arial" w:eastAsia="Arial" w:hAnsi="Arial"/>
          <w:sz w:val="18"/>
          <w:szCs w:val="18"/>
          <w:b w:val="1"/>
          <w:bCs w:val="1"/>
          <w:color w:val="auto"/>
        </w:rPr>
        <w:t>SIGNATURE PAGE OF TRISALUS LIFE SCIENCES, INC.’S AT-WILL EMPLOYMENT, CONFIDENTIAL INFORMATION, INVENTION ASSIGNMENT, AND ARBITRATION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Date:  2/9/23</w:t>
            </w:r>
          </w:p>
        </w:tc>
        <w:tc>
          <w:tcPr>
            <w:tcW w:w="5620" w:type="dxa"/>
            <w:vAlign w:val="bottom"/>
          </w:tcPr>
          <w:p>
            <w:pPr>
              <w:spacing w:after="0"/>
              <w:rPr>
                <w:sz w:val="20"/>
                <w:szCs w:val="20"/>
                <w:color w:val="auto"/>
              </w:rPr>
            </w:pPr>
            <w:r>
              <w:rPr>
                <w:rFonts w:ascii="Arial" w:cs="Arial" w:eastAsia="Arial" w:hAnsi="Arial"/>
                <w:sz w:val="18"/>
                <w:szCs w:val="18"/>
                <w:i w:val="1"/>
                <w:iCs w:val="1"/>
                <w:color w:val="auto"/>
              </w:rPr>
              <w:t>/s/James Alecxih</w:t>
            </w:r>
          </w:p>
        </w:tc>
      </w:tr>
      <w:tr>
        <w:trPr>
          <w:trHeight w:val="224"/>
        </w:trPr>
        <w:tc>
          <w:tcPr>
            <w:tcW w:w="580" w:type="dxa"/>
            <w:vAlign w:val="bottom"/>
          </w:tcPr>
          <w:p>
            <w:pPr>
              <w:spacing w:after="0"/>
              <w:rPr>
                <w:sz w:val="19"/>
                <w:szCs w:val="19"/>
                <w:color w:val="auto"/>
              </w:rPr>
            </w:pPr>
          </w:p>
        </w:tc>
        <w:tc>
          <w:tcPr>
            <w:tcW w:w="4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r>
      <w:tr>
        <w:trPr>
          <w:trHeight w:val="418"/>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Alecxih</w:t>
            </w:r>
          </w:p>
        </w:tc>
      </w:tr>
      <w:tr>
        <w:trPr>
          <w:trHeight w:val="224"/>
        </w:trPr>
        <w:tc>
          <w:tcPr>
            <w:tcW w:w="58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Name of Employee (typed or printed)</w:t>
            </w:r>
          </w:p>
        </w:tc>
      </w:tr>
      <w:tr>
        <w:trPr>
          <w:trHeight w:val="418"/>
        </w:trPr>
        <w:tc>
          <w:tcPr>
            <w:tcW w:w="5620" w:type="dxa"/>
            <w:vAlign w:val="bottom"/>
            <w:gridSpan w:val="3"/>
          </w:tcPr>
          <w:p>
            <w:pPr>
              <w:spacing w:after="0"/>
              <w:rPr>
                <w:sz w:val="20"/>
                <w:szCs w:val="20"/>
                <w:color w:val="auto"/>
              </w:rPr>
            </w:pPr>
            <w:r>
              <w:rPr>
                <w:rFonts w:ascii="Arial" w:cs="Arial" w:eastAsia="Arial" w:hAnsi="Arial"/>
                <w:sz w:val="18"/>
                <w:szCs w:val="18"/>
                <w:color w:val="auto"/>
              </w:rPr>
              <w:t>Date:</w:t>
            </w:r>
          </w:p>
        </w:tc>
        <w:tc>
          <w:tcPr>
            <w:tcW w:w="562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4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r>
      <w:tr>
        <w:trPr>
          <w:trHeight w:val="418"/>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Name of Witness (typed or printed)</w:t>
            </w:r>
          </w:p>
        </w:tc>
      </w:tr>
      <w:tr>
        <w:trPr>
          <w:trHeight w:val="661"/>
        </w:trPr>
        <w:tc>
          <w:tcPr>
            <w:tcW w:w="5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 OF PRIOR INVENTIONS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ORIGINAL WORKS OF AUTHORSHIP</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 OF THE DEFEND TRADE SECRETS ACT OF 2016</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TRISALUS LIFE SCIENCES TERMINATION CERTIFICATION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is to certify that I do not have in my possession, nor have I failed to return, any devices, records, data, notes, reports, proposals, lists, correspondence, specifications, drawings, blueprints, sketches, materials, equipment, any other documents or property, or reproductions of any and all aforementioned items belonging to TriSalus Life Sciences, Inc. (the “</w:t>
      </w:r>
      <w:r>
        <w:rPr>
          <w:rFonts w:ascii="Arial" w:cs="Arial" w:eastAsia="Arial" w:hAnsi="Arial"/>
          <w:sz w:val="18"/>
          <w:szCs w:val="18"/>
          <w:b w:val="1"/>
          <w:bCs w:val="1"/>
          <w:color w:val="auto"/>
        </w:rPr>
        <w:t>Company</w:t>
      </w:r>
      <w:r>
        <w:rPr>
          <w:rFonts w:ascii="Arial" w:cs="Arial" w:eastAsia="Arial" w:hAnsi="Arial"/>
          <w:sz w:val="18"/>
          <w:szCs w:val="18"/>
          <w:color w:val="auto"/>
        </w:rPr>
        <w:t>”). Notwithstanding the foregoing, I understand that I may keep a copy of the Company’s employee handbook.</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 further certify that I have complied with all the terms of the Company’s At-Will Employment, Confidential Information, Invention Assignment, and Arbitration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signed by me, including the reporting of any inventions and original works of authorship (as defined therein) conceived or made by me (solely or jointly with others), as covered by that Agreement.</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I understand that pursuant to the Agreement, </w:t>
      </w:r>
      <w:r>
        <w:rPr>
          <w:rFonts w:ascii="Arial" w:cs="Arial" w:eastAsia="Arial" w:hAnsi="Arial"/>
          <w:sz w:val="17"/>
          <w:szCs w:val="17"/>
          <w:b w:val="1"/>
          <w:bCs w:val="1"/>
          <w:color w:val="auto"/>
        </w:rPr>
        <w:t>and subject to its protected activity exclusion,</w:t>
      </w:r>
      <w:r>
        <w:rPr>
          <w:rFonts w:ascii="Arial" w:cs="Arial" w:eastAsia="Arial" w:hAnsi="Arial"/>
          <w:sz w:val="17"/>
          <w:szCs w:val="17"/>
          <w:color w:val="auto"/>
        </w:rPr>
        <w:t xml:space="preserve"> I am obligated to preserve, as confidential, all Company Confidential Information and Associated Third Party Confidential Information, including trade secrets, confidential knowledge, data, or other proprietary information relating to products, processes, know-how, designs, formulas, developmental or experimental work, computer programs, databases, other original works of authorship, customer lists, business plans, financial information, or other subject matter pertaining to any business of the Company or any of its employees, clients, consultants, or licensees. I understand that I am obligated to comply, and confirm that I agree to comply, with any and all other continuing obligations to the Company as set forth in the Agreement.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660" w:type="dxa"/>
            <w:vAlign w:val="bottom"/>
            <w:gridSpan w:val="3"/>
          </w:tcPr>
          <w:p>
            <w:pPr>
              <w:ind w:left="80"/>
              <w:spacing w:after="0"/>
              <w:rPr>
                <w:sz w:val="20"/>
                <w:szCs w:val="20"/>
                <w:color w:val="auto"/>
              </w:rPr>
            </w:pPr>
            <w:r>
              <w:rPr>
                <w:rFonts w:ascii="Arial" w:cs="Arial" w:eastAsia="Arial" w:hAnsi="Arial"/>
                <w:sz w:val="18"/>
                <w:szCs w:val="18"/>
                <w:color w:val="auto"/>
                <w:w w:val="99"/>
              </w:rPr>
              <w:t>After leaving the Company’s employment, I will be employed by _________________________________________ in the position of</w:t>
            </w: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_______________________.</w:t>
            </w:r>
          </w:p>
        </w:tc>
        <w:tc>
          <w:tcPr>
            <w:tcW w:w="3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Alecxih</w:t>
            </w:r>
          </w:p>
        </w:tc>
      </w:tr>
      <w:tr>
        <w:trPr>
          <w:trHeight w:val="224"/>
        </w:trPr>
        <w:tc>
          <w:tcPr>
            <w:tcW w:w="58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Signature</w:t>
            </w:r>
          </w:p>
        </w:tc>
      </w:tr>
    </w:tbl>
    <w:p>
      <w:pPr>
        <w:spacing w:after="0" w:line="200" w:lineRule="exact"/>
        <w:rPr>
          <w:sz w:val="20"/>
          <w:szCs w:val="20"/>
          <w:color w:val="auto"/>
        </w:rPr>
      </w:pPr>
    </w:p>
    <w:p>
      <w:pPr>
        <w:spacing w:after="0" w:line="2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Employee (typed or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TRISALUS LIFE SCIENCES, INC. CONFLICT OF INTEREST GUIDELINES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It is the policy of TriSalus Life Sciences, Inc. (the “</w:t>
      </w:r>
      <w:r>
        <w:rPr>
          <w:rFonts w:ascii="Arial" w:cs="Arial" w:eastAsia="Arial" w:hAnsi="Arial"/>
          <w:sz w:val="18"/>
          <w:szCs w:val="18"/>
          <w:b w:val="1"/>
          <w:bCs w:val="1"/>
          <w:color w:val="auto"/>
        </w:rPr>
        <w:t>Company</w:t>
      </w:r>
      <w:r>
        <w:rPr>
          <w:rFonts w:ascii="Arial" w:cs="Arial" w:eastAsia="Arial" w:hAnsi="Arial"/>
          <w:sz w:val="18"/>
          <w:szCs w:val="18"/>
          <w:color w:val="auto"/>
        </w:rPr>
        <w:t>”), to conduct its affairs in strict compliance with the letter and spirit of the law and to adhere to the highest principles of business ethics. Accordingly, all officers, employees, and independent contractors must avoid activities that are in conflict, or give the appearance of being in conflict, with these principles and with the interests of the Company. The following are potentially compromising situations that must be avoided:</w:t>
      </w:r>
    </w:p>
    <w:p>
      <w:pPr>
        <w:spacing w:after="0" w:line="184" w:lineRule="exact"/>
        <w:rPr>
          <w:sz w:val="20"/>
          <w:szCs w:val="20"/>
          <w:color w:val="auto"/>
        </w:rPr>
      </w:pPr>
    </w:p>
    <w:p>
      <w:pPr>
        <w:jc w:val="both"/>
        <w:ind w:firstLine="656"/>
        <w:spacing w:after="0" w:line="263" w:lineRule="auto"/>
        <w:tabs>
          <w:tab w:leader="none" w:pos="1606"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Revealing confidential information to outsiders or misusing confidential information. Unauthorized divulging of information is a violation of this policy whether or not for personal gain and whether or not harm to the Company is intended. (The At-Will Employment, Confidential Information, Invention Assignment, and Arbitration Agreement elaborates on this principle and is a binding agreement.)</w:t>
      </w:r>
    </w:p>
    <w:p>
      <w:pPr>
        <w:spacing w:after="0" w:line="183" w:lineRule="exact"/>
        <w:rPr>
          <w:rFonts w:ascii="Arial" w:cs="Arial" w:eastAsia="Arial" w:hAnsi="Arial"/>
          <w:sz w:val="18"/>
          <w:szCs w:val="18"/>
          <w:color w:val="auto"/>
        </w:rPr>
      </w:pPr>
    </w:p>
    <w:p>
      <w:pPr>
        <w:ind w:firstLine="656"/>
        <w:spacing w:after="0" w:line="277" w:lineRule="auto"/>
        <w:tabs>
          <w:tab w:leader="none" w:pos="133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Accepting or offering substantial gifts, excessive entertainment, favors, or payments that may be deemed to constitute undue influence or otherwise be improper or embarrassing to the Company.</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Participating in civic or professional organizations that might involve divulging confidential information of the Company.</w:t>
      </w:r>
    </w:p>
    <w:p>
      <w:pPr>
        <w:spacing w:after="0" w:line="225" w:lineRule="exact"/>
        <w:rPr>
          <w:rFonts w:ascii="Arial" w:cs="Arial" w:eastAsia="Arial" w:hAnsi="Arial"/>
          <w:sz w:val="18"/>
          <w:szCs w:val="18"/>
          <w:color w:val="auto"/>
        </w:rPr>
      </w:pPr>
    </w:p>
    <w:p>
      <w:pPr>
        <w:ind w:firstLine="656"/>
        <w:spacing w:after="0" w:line="277" w:lineRule="auto"/>
        <w:tabs>
          <w:tab w:leader="none" w:pos="13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Initiating or approving personnel actions affecting reward or punishment of employees or applicants where there is a family relationship or is, or appears to be, a personal or social involvement.</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Initiating or approving any form of personal or social harassment of employees.</w:t>
      </w:r>
    </w:p>
    <w:p>
      <w:pPr>
        <w:spacing w:after="0" w:line="225" w:lineRule="exact"/>
        <w:rPr>
          <w:rFonts w:ascii="Arial" w:cs="Arial" w:eastAsia="Arial" w:hAnsi="Arial"/>
          <w:sz w:val="18"/>
          <w:szCs w:val="18"/>
          <w:color w:val="auto"/>
        </w:rPr>
      </w:pPr>
    </w:p>
    <w:p>
      <w:pPr>
        <w:ind w:firstLine="656"/>
        <w:spacing w:after="0" w:line="277" w:lineRule="auto"/>
        <w:tabs>
          <w:tab w:leader="none" w:pos="1377"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Investing or holding outside directorship in suppliers, customers, or competing companies, including financial speculations, where such investment or directorship might influence in any manner a decision or course of action of the Company.</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Borrowing from or lending to employees, customers, or suppliers.</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Acquiring real estate of interest to the Company.</w:t>
      </w:r>
    </w:p>
    <w:p>
      <w:pPr>
        <w:spacing w:after="0" w:line="225" w:lineRule="exact"/>
        <w:rPr>
          <w:rFonts w:ascii="Arial" w:cs="Arial" w:eastAsia="Arial" w:hAnsi="Arial"/>
          <w:sz w:val="18"/>
          <w:szCs w:val="18"/>
          <w:color w:val="auto"/>
        </w:rPr>
      </w:pPr>
    </w:p>
    <w:p>
      <w:pPr>
        <w:ind w:firstLine="656"/>
        <w:spacing w:after="0" w:line="277" w:lineRule="auto"/>
        <w:tabs>
          <w:tab w:leader="none" w:pos="1444" w:val="left"/>
        </w:tabs>
        <w:numPr>
          <w:ilvl w:val="0"/>
          <w:numId w:val="85"/>
        </w:numPr>
        <w:rPr>
          <w:rFonts w:ascii="Arial" w:cs="Arial" w:eastAsia="Arial" w:hAnsi="Arial"/>
          <w:sz w:val="18"/>
          <w:szCs w:val="18"/>
          <w:color w:val="auto"/>
        </w:rPr>
      </w:pPr>
      <w:r>
        <w:rPr>
          <w:rFonts w:ascii="Arial" w:cs="Arial" w:eastAsia="Arial" w:hAnsi="Arial"/>
          <w:sz w:val="18"/>
          <w:szCs w:val="18"/>
          <w:color w:val="auto"/>
        </w:rPr>
        <w:t>Improperly using or disclosing to the Company any proprietary information or trade secrets of any other employer or other person or entity with whom obligations of confidentiality exist.</w:t>
      </w:r>
    </w:p>
    <w:p>
      <w:pPr>
        <w:spacing w:after="0" w:line="170" w:lineRule="exact"/>
        <w:rPr>
          <w:rFonts w:ascii="Arial" w:cs="Arial" w:eastAsia="Arial" w:hAnsi="Arial"/>
          <w:sz w:val="18"/>
          <w:szCs w:val="18"/>
          <w:color w:val="auto"/>
        </w:rPr>
      </w:pPr>
    </w:p>
    <w:p>
      <w:pPr>
        <w:ind w:left="1420" w:hanging="764"/>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Unlawfully discussing prices, costs, customers, sales, or markets with competing companies or their employees.</w:t>
      </w:r>
    </w:p>
    <w:p>
      <w:pPr>
        <w:spacing w:after="0" w:line="225" w:lineRule="exact"/>
        <w:rPr>
          <w:rFonts w:ascii="Arial" w:cs="Arial" w:eastAsia="Arial" w:hAnsi="Arial"/>
          <w:sz w:val="18"/>
          <w:szCs w:val="18"/>
          <w:color w:val="auto"/>
        </w:rPr>
      </w:pPr>
    </w:p>
    <w:p>
      <w:pPr>
        <w:ind w:left="1420" w:hanging="764"/>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Making any unlawful agreement with distributors with respect to prices.</w:t>
      </w:r>
    </w:p>
    <w:p>
      <w:pPr>
        <w:spacing w:after="0" w:line="225" w:lineRule="exact"/>
        <w:rPr>
          <w:rFonts w:ascii="Arial" w:cs="Arial" w:eastAsia="Arial" w:hAnsi="Arial"/>
          <w:sz w:val="18"/>
          <w:szCs w:val="18"/>
          <w:color w:val="auto"/>
        </w:rPr>
      </w:pPr>
    </w:p>
    <w:p>
      <w:pPr>
        <w:ind w:left="1420" w:hanging="764"/>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Improperly using or authorizing the use of any inventions that are the subject of patent claims of any other person or entity.</w:t>
      </w:r>
    </w:p>
    <w:p>
      <w:pPr>
        <w:spacing w:after="0" w:line="225" w:lineRule="exact"/>
        <w:rPr>
          <w:rFonts w:ascii="Arial" w:cs="Arial" w:eastAsia="Arial" w:hAnsi="Arial"/>
          <w:sz w:val="18"/>
          <w:szCs w:val="18"/>
          <w:color w:val="auto"/>
        </w:rPr>
      </w:pPr>
    </w:p>
    <w:p>
      <w:pPr>
        <w:ind w:left="1420" w:hanging="764"/>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Engaging in any conduct that is not in the best interest of the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officer, employee, and independent contractor must take every necessary action to ensure compliance with these guidelines and to bring problem areas to the attention of higher management for review. Violations of this conflict of interest policy may result in immediate termination of employment.</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Nothing in these guidelines is intended to limit employees’ rights to discuss the terms, wages, and working conditions of their employment, as protected by applicable law, including any rights an employee may have under Section 7 of the National Labor Relations Act. Also, nothing in these guidelines limits or prohibits employees from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6"/>
          <w:szCs w:val="16"/>
          <w:b w:val="1"/>
          <w:bCs w:val="1"/>
          <w:color w:val="auto"/>
        </w:rPr>
        <w:t>Government Agencies</w:t>
      </w:r>
      <w:r>
        <w:rPr>
          <w:rFonts w:ascii="Arial" w:cs="Arial" w:eastAsia="Arial" w:hAnsi="Arial"/>
          <w:sz w:val="16"/>
          <w:szCs w:val="16"/>
          <w:color w:val="auto"/>
        </w:rPr>
        <w:t>”), including disclosing documents or other information as permitted by law, without giving notice to, or receiving authorization from, the Company. Notwithstanding, in making any such disclosures or communications, employees must take all reasonable precautions to prevent any unauthorized use or disclosure of any information that may constitute Company Confidential Information to any parties other than the Government Agencies. Employees may not disclose the Company’s attorney-client privileged communications or attorney work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SUREFIRE MEDICAL,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29" w:lineRule="exact"/>
        <w:rPr>
          <w:sz w:val="20"/>
          <w:szCs w:val="20"/>
          <w:color w:val="auto"/>
        </w:rPr>
      </w:pPr>
    </w:p>
    <w:p>
      <w:pPr>
        <w:ind w:left="1300" w:hanging="617"/>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provide additional incentive to Employees, Directors and Consultants,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5" w:lineRule="exact"/>
        <w:rPr>
          <w:sz w:val="20"/>
          <w:szCs w:val="20"/>
          <w:color w:val="auto"/>
        </w:rPr>
      </w:pPr>
    </w:p>
    <w:p>
      <w:pPr>
        <w:ind w:right="380" w:firstLine="1296"/>
        <w:spacing w:after="0" w:line="277" w:lineRule="auto"/>
        <w:rPr>
          <w:sz w:val="20"/>
          <w:szCs w:val="20"/>
          <w:color w:val="auto"/>
        </w:rPr>
      </w:pPr>
      <w:r>
        <w:rPr>
          <w:rFonts w:ascii="Arial" w:cs="Arial" w:eastAsia="Arial" w:hAnsi="Arial"/>
          <w:sz w:val="18"/>
          <w:szCs w:val="18"/>
          <w:color w:val="auto"/>
        </w:rPr>
        <w:t>The Plan permits the grant of Incentive Stock Options, Nonstatutory Stock Options, Stock Appreciation Rights, Restricted Stock and Restricted Stock Units.</w:t>
      </w:r>
    </w:p>
    <w:p>
      <w:pPr>
        <w:spacing w:after="0" w:line="170"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will be administering the Plan, in accordance with Section 4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84"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or Restricted Stock Units.</w:t>
      </w:r>
    </w:p>
    <w:p>
      <w:pPr>
        <w:spacing w:after="0" w:line="170" w:lineRule="exact"/>
        <w:rPr>
          <w:sz w:val="20"/>
          <w:szCs w:val="20"/>
          <w:color w:val="auto"/>
        </w:rPr>
      </w:pPr>
    </w:p>
    <w:p>
      <w:pPr>
        <w:ind w:right="200" w:firstLine="1296"/>
        <w:spacing w:after="0" w:line="277" w:lineRule="auto"/>
        <w:rPr>
          <w:sz w:val="20"/>
          <w:szCs w:val="20"/>
          <w:color w:val="auto"/>
        </w:rPr>
      </w:pPr>
      <w:r>
        <w:rPr>
          <w:rFonts w:ascii="Arial" w:cs="Arial" w:eastAsia="Arial" w:hAnsi="Arial"/>
          <w:sz w:val="18"/>
          <w:szCs w:val="18"/>
          <w:color w:val="auto"/>
        </w:rPr>
        <w:t>(d)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70" w:lineRule="exact"/>
        <w:rPr>
          <w:sz w:val="20"/>
          <w:szCs w:val="20"/>
          <w:color w:val="auto"/>
        </w:rPr>
      </w:pPr>
    </w:p>
    <w:p>
      <w:pPr>
        <w:ind w:left="1960" w:hanging="656"/>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ind w:right="140" w:firstLine="1944"/>
        <w:spacing w:after="0" w:line="301" w:lineRule="auto"/>
        <w:rPr>
          <w:sz w:val="20"/>
          <w:szCs w:val="20"/>
          <w:color w:val="auto"/>
        </w:rPr>
      </w:pPr>
      <w:r>
        <w:rPr>
          <w:rFonts w:ascii="Arial" w:cs="Arial" w:eastAsia="Arial" w:hAnsi="Arial"/>
          <w:sz w:val="16"/>
          <w:szCs w:val="16"/>
          <w:color w:val="auto"/>
        </w:rPr>
        <w:t>(i)           </w:t>
      </w:r>
      <w:r>
        <w:rPr>
          <w:rFonts w:ascii="Arial" w:cs="Arial" w:eastAsia="Arial" w:hAnsi="Arial"/>
          <w:sz w:val="16"/>
          <w:szCs w:val="16"/>
          <w:u w:val="single" w:color="auto"/>
          <w:color w:val="auto"/>
        </w:rPr>
        <w:t>Change in Ownership of the Company</w:t>
      </w:r>
      <w:r>
        <w:rPr>
          <w:rFonts w:ascii="Arial" w:cs="Arial" w:eastAsia="Arial" w:hAnsi="Arial"/>
          <w:sz w:val="16"/>
          <w:szCs w:val="16"/>
          <w:color w:val="auto"/>
        </w:rPr>
        <w:t>.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ind w:right="60" w:firstLine="1944"/>
        <w:spacing w:after="0" w:line="275" w:lineRule="auto"/>
        <w:rPr>
          <w:sz w:val="20"/>
          <w:szCs w:val="20"/>
          <w:color w:val="auto"/>
        </w:rPr>
      </w:pPr>
      <w:r>
        <w:rPr>
          <w:rFonts w:ascii="Arial" w:cs="Arial" w:eastAsia="Arial" w:hAnsi="Arial"/>
          <w:sz w:val="17"/>
          <w:szCs w:val="17"/>
          <w:color w:val="auto"/>
        </w:rPr>
        <w:t>(ii)           </w:t>
      </w:r>
      <w:r>
        <w:rPr>
          <w:rFonts w:ascii="Arial" w:cs="Arial" w:eastAsia="Arial" w:hAnsi="Arial"/>
          <w:sz w:val="17"/>
          <w:szCs w:val="17"/>
          <w:u w:val="single" w:color="auto"/>
          <w:color w:val="auto"/>
        </w:rPr>
        <w:t>Change in Effective Control of the Company</w:t>
      </w:r>
      <w:r>
        <w:rPr>
          <w:rFonts w:ascii="Arial" w:cs="Arial" w:eastAsia="Arial" w:hAnsi="Arial"/>
          <w:sz w:val="17"/>
          <w:szCs w:val="17"/>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76" w:lineRule="exact"/>
        <w:rPr>
          <w:sz w:val="20"/>
          <w:szCs w:val="20"/>
          <w:color w:val="auto"/>
        </w:rPr>
      </w:pPr>
    </w:p>
    <w:p>
      <w:pPr>
        <w:ind w:right="60" w:firstLine="1944"/>
        <w:spacing w:after="0" w:line="255" w:lineRule="auto"/>
        <w:rPr>
          <w:sz w:val="20"/>
          <w:szCs w:val="20"/>
          <w:color w:val="auto"/>
        </w:rPr>
      </w:pPr>
      <w:r>
        <w:rPr>
          <w:rFonts w:ascii="Arial" w:cs="Arial" w:eastAsia="Arial" w:hAnsi="Arial"/>
          <w:sz w:val="18"/>
          <w:szCs w:val="18"/>
          <w:color w:val="auto"/>
        </w:rPr>
        <w:t>(iii)           </w:t>
      </w:r>
      <w:r>
        <w:rPr>
          <w:rFonts w:ascii="Arial" w:cs="Arial" w:eastAsia="Arial" w:hAnsi="Arial"/>
          <w:sz w:val="18"/>
          <w:szCs w:val="18"/>
          <w:u w:val="single" w:color="auto"/>
          <w:color w:val="auto"/>
        </w:rPr>
        <w:t>Change in Ownership of a Substantial Portion of the Company’s Assets</w:t>
      </w:r>
      <w:r>
        <w:rPr>
          <w:rFonts w:ascii="Arial" w:cs="Arial" w:eastAsia="Arial" w:hAnsi="Arial"/>
          <w:sz w:val="18"/>
          <w:szCs w:val="18"/>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92" w:lineRule="exact"/>
        <w:rPr>
          <w:sz w:val="20"/>
          <w:szCs w:val="20"/>
          <w:color w:val="auto"/>
        </w:rPr>
      </w:pPr>
    </w:p>
    <w:p>
      <w:pPr>
        <w:jc w:val="both"/>
        <w:ind w:firstLine="1944"/>
        <w:spacing w:after="0" w:line="277" w:lineRule="auto"/>
        <w:rPr>
          <w:sz w:val="20"/>
          <w:szCs w:val="20"/>
          <w:color w:val="auto"/>
        </w:rPr>
      </w:pPr>
      <w:r>
        <w:rPr>
          <w:rFonts w:ascii="Arial" w:cs="Arial" w:eastAsia="Arial" w:hAnsi="Arial"/>
          <w:sz w:val="18"/>
          <w:szCs w:val="18"/>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7"/>
          <w:szCs w:val="17"/>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65"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4"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(g)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Any reference to a section of the Code herein will be a reference to any successor or amended section of the Code.</w:t>
      </w:r>
    </w:p>
    <w:p>
      <w:pPr>
        <w:spacing w:after="0" w:line="170"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(h)           “</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or by the compensation committee of the Board, in accordance with Section 4 hereof.</w:t>
      </w:r>
    </w:p>
    <w:p>
      <w:pPr>
        <w:spacing w:after="0" w:line="170" w:lineRule="exact"/>
        <w:rPr>
          <w:sz w:val="20"/>
          <w:szCs w:val="20"/>
          <w:color w:val="auto"/>
        </w:rPr>
      </w:pPr>
    </w:p>
    <w:p>
      <w:pPr>
        <w:ind w:left="1960" w:hanging="656"/>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1960" w:hanging="629"/>
        <w:spacing w:after="0"/>
        <w:tabs>
          <w:tab w:leader="none" w:pos="19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Surefire Medical, Inc., a Delaware corporation, or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ind w:left="1300"/>
        <w:spacing w:after="0"/>
        <w:rPr>
          <w:sz w:val="20"/>
          <w:szCs w:val="20"/>
          <w:color w:val="auto"/>
        </w:rPr>
      </w:pPr>
      <w:r>
        <w:rPr>
          <w:rFonts w:ascii="Arial" w:cs="Arial" w:eastAsia="Arial" w:hAnsi="Arial"/>
          <w:sz w:val="16"/>
          <w:szCs w:val="16"/>
          <w:color w:val="auto"/>
        </w:rPr>
        <w:t>(k)           “</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including an advisor, engaged by the Company or a Parent or Subsidiary to render services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entity.</w:t>
      </w:r>
    </w:p>
    <w:p>
      <w:pPr>
        <w:spacing w:after="0" w:line="211" w:lineRule="exact"/>
        <w:rPr>
          <w:sz w:val="20"/>
          <w:szCs w:val="20"/>
          <w:color w:val="auto"/>
        </w:rPr>
      </w:pPr>
    </w:p>
    <w:p>
      <w:pPr>
        <w:ind w:left="1960" w:hanging="656"/>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(m)           “</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84" w:lineRule="exact"/>
        <w:rPr>
          <w:sz w:val="20"/>
          <w:szCs w:val="20"/>
          <w:color w:val="auto"/>
        </w:rPr>
      </w:pPr>
    </w:p>
    <w:p>
      <w:pPr>
        <w:ind w:right="160" w:firstLine="1296"/>
        <w:spacing w:after="0" w:line="342" w:lineRule="auto"/>
        <w:rPr>
          <w:sz w:val="20"/>
          <w:szCs w:val="20"/>
          <w:color w:val="auto"/>
        </w:rPr>
      </w:pPr>
      <w:r>
        <w:rPr>
          <w:rFonts w:ascii="Arial" w:cs="Arial" w:eastAsia="Arial" w:hAnsi="Arial"/>
          <w:sz w:val="16"/>
          <w:szCs w:val="16"/>
          <w:color w:val="auto"/>
        </w:rPr>
        <w:t>(n)           “</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24" w:lineRule="exact"/>
        <w:rPr>
          <w:sz w:val="20"/>
          <w:szCs w:val="20"/>
          <w:color w:val="auto"/>
        </w:rPr>
      </w:pPr>
    </w:p>
    <w:p>
      <w:pPr>
        <w:ind w:left="1960" w:hanging="656"/>
        <w:spacing w:after="0"/>
        <w:tabs>
          <w:tab w:leader="none" w:pos="1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(p)           “</w:t>
      </w:r>
      <w:r>
        <w:rPr>
          <w:rFonts w:ascii="Arial" w:cs="Arial" w:eastAsia="Arial" w:hAnsi="Arial"/>
          <w:sz w:val="18"/>
          <w:szCs w:val="18"/>
          <w:u w:val="single" w:color="auto"/>
          <w:color w:val="auto"/>
        </w:rPr>
        <w:t>Exchange Program</w:t>
      </w:r>
      <w:r>
        <w:rPr>
          <w:rFonts w:ascii="Arial" w:cs="Arial" w:eastAsia="Arial" w:hAnsi="Arial"/>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(q)           “</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sz w:val="20"/>
          <w:szCs w:val="20"/>
          <w:color w:val="auto"/>
        </w:rPr>
      </w:pPr>
    </w:p>
    <w:p>
      <w:pPr>
        <w:ind w:right="140" w:firstLine="1944"/>
        <w:spacing w:after="0" w:line="279" w:lineRule="auto"/>
        <w:rPr>
          <w:sz w:val="20"/>
          <w:szCs w:val="20"/>
          <w:color w:val="auto"/>
        </w:rPr>
      </w:pPr>
      <w:r>
        <w:rPr>
          <w:rFonts w:ascii="Arial" w:cs="Arial" w:eastAsia="Arial" w:hAnsi="Arial"/>
          <w:sz w:val="17"/>
          <w:szCs w:val="17"/>
          <w:color w:val="auto"/>
        </w:rPr>
        <w:t xml:space="preserve">(i)           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171" w:lineRule="exact"/>
        <w:rPr>
          <w:sz w:val="20"/>
          <w:szCs w:val="20"/>
          <w:color w:val="auto"/>
        </w:rPr>
      </w:pPr>
    </w:p>
    <w:p>
      <w:pPr>
        <w:ind w:right="40" w:firstLine="1944"/>
        <w:spacing w:after="0" w:line="259" w:lineRule="auto"/>
        <w:rPr>
          <w:sz w:val="20"/>
          <w:szCs w:val="20"/>
          <w:color w:val="auto"/>
        </w:rPr>
      </w:pPr>
      <w:r>
        <w:rPr>
          <w:rFonts w:ascii="Arial" w:cs="Arial" w:eastAsia="Arial" w:hAnsi="Arial"/>
          <w:sz w:val="18"/>
          <w:szCs w:val="18"/>
          <w:color w:val="auto"/>
        </w:rPr>
        <w:t xml:space="preserve">(ii)           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(iii)           In the absence of an established market for the Common Stock, the Fair Market Value will be determined in good faith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the Administrator.</w:t>
      </w:r>
    </w:p>
    <w:p>
      <w:pPr>
        <w:spacing w:after="0" w:line="211"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(r)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by its terms qualifies and is otherwise intended to qualify as an incentive stock option within the meaning of Code Section 422 and the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28" w:name="page129"/>
    <w:bookmarkEnd w:id="128"/>
    <w:p>
      <w:pPr>
        <w:ind w:left="1300"/>
        <w:spacing w:after="0"/>
        <w:rPr>
          <w:sz w:val="20"/>
          <w:szCs w:val="20"/>
          <w:color w:val="auto"/>
        </w:rPr>
      </w:pPr>
      <w:r>
        <w:rPr>
          <w:rFonts w:ascii="Arial" w:cs="Arial" w:eastAsia="Arial" w:hAnsi="Arial"/>
          <w:sz w:val="17"/>
          <w:szCs w:val="17"/>
          <w:color w:val="auto"/>
        </w:rPr>
        <w:t>(s)           “</w:t>
      </w:r>
      <w:r>
        <w:rPr>
          <w:rFonts w:ascii="Arial" w:cs="Arial" w:eastAsia="Arial" w:hAnsi="Arial"/>
          <w:sz w:val="17"/>
          <w:szCs w:val="17"/>
          <w:u w:val="single" w:color="auto"/>
          <w:color w:val="auto"/>
        </w:rPr>
        <w:t>Nonstatutory Stock Option</w:t>
      </w:r>
      <w:r>
        <w:rPr>
          <w:rFonts w:ascii="Arial" w:cs="Arial" w:eastAsia="Arial" w:hAnsi="Arial"/>
          <w:sz w:val="17"/>
          <w:szCs w:val="17"/>
          <w:color w:val="auto"/>
        </w:rPr>
        <w:t>” means an Option that by its terms does not qualify or is not intended to qualify as an Incentive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Stock Option.</w:t>
      </w:r>
    </w:p>
    <w:p>
      <w:pPr>
        <w:spacing w:after="0" w:line="211" w:lineRule="exact"/>
        <w:rPr>
          <w:sz w:val="20"/>
          <w:szCs w:val="20"/>
          <w:color w:val="auto"/>
        </w:rPr>
      </w:pPr>
    </w:p>
    <w:p>
      <w:pPr>
        <w:ind w:left="1960" w:hanging="656"/>
        <w:spacing w:after="0"/>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           “</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Code Section 424(e).</w:t>
      </w:r>
    </w:p>
    <w:p>
      <w:pPr>
        <w:spacing w:after="0" w:line="225" w:lineRule="exact"/>
        <w:rPr>
          <w:sz w:val="20"/>
          <w:szCs w:val="20"/>
          <w:color w:val="auto"/>
        </w:rPr>
      </w:pPr>
    </w:p>
    <w:p>
      <w:pPr>
        <w:ind w:left="1960" w:hanging="656"/>
        <w:spacing w:after="0"/>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225"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(w)           “</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84" w:lineRule="exact"/>
        <w:rPr>
          <w:sz w:val="20"/>
          <w:szCs w:val="20"/>
          <w:color w:val="auto"/>
        </w:rPr>
      </w:pPr>
    </w:p>
    <w:p>
      <w:pPr>
        <w:ind w:left="1960" w:hanging="656"/>
        <w:spacing w:after="0"/>
        <w:tabs>
          <w:tab w:leader="none" w:pos="1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2009 Equity Incentive Plan.</w:t>
      </w:r>
    </w:p>
    <w:p>
      <w:pPr>
        <w:spacing w:after="0" w:line="225"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(y)           “</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an Award of Restricted Stock under Section 8 of the Plan, or issued pursuant to the early exercise of an Option.</w:t>
      </w:r>
    </w:p>
    <w:p>
      <w:pPr>
        <w:spacing w:after="0" w:line="170"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(z)           “</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70" w:lineRule="exact"/>
        <w:rPr>
          <w:sz w:val="20"/>
          <w:szCs w:val="20"/>
          <w:color w:val="auto"/>
        </w:rPr>
      </w:pPr>
    </w:p>
    <w:p>
      <w:pPr>
        <w:ind w:left="1860" w:hanging="556"/>
        <w:spacing w:after="0"/>
        <w:tabs>
          <w:tab w:leader="none" w:pos="18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13 of the Plan.</w:t>
      </w:r>
    </w:p>
    <w:p>
      <w:pPr>
        <w:spacing w:after="0" w:line="225" w:lineRule="exact"/>
        <w:rPr>
          <w:rFonts w:ascii="Arial" w:cs="Arial" w:eastAsia="Arial" w:hAnsi="Arial"/>
          <w:sz w:val="18"/>
          <w:szCs w:val="18"/>
          <w:color w:val="auto"/>
        </w:rPr>
      </w:pPr>
    </w:p>
    <w:p>
      <w:pPr>
        <w:ind w:right="640" w:firstLine="1304"/>
        <w:spacing w:after="0" w:line="277" w:lineRule="auto"/>
        <w:tabs>
          <w:tab w:leader="none" w:pos="1845"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7 is designated as a Stock Appreciation Right.</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Code Section 424(f).</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Stock Subject to the Plan</w:t>
      </w:r>
      <w:r>
        <w:rPr>
          <w:rFonts w:ascii="Arial" w:cs="Arial" w:eastAsia="Arial" w:hAnsi="Arial"/>
          <w:sz w:val="16"/>
          <w:szCs w:val="16"/>
          <w:color w:val="auto"/>
        </w:rPr>
        <w:t xml:space="preserve">. Subject to the provisions of Section 13 of the Plan, the maximum aggregate number of Shares that may be subject to Awards and sold under the Plan is </w:t>
      </w:r>
      <w:r>
        <w:rPr>
          <w:rFonts w:ascii="Arial" w:cs="Arial" w:eastAsia="Arial" w:hAnsi="Arial"/>
          <w:sz w:val="16"/>
          <w:szCs w:val="16"/>
          <w:b w:val="1"/>
          <w:bCs w:val="1"/>
          <w:color w:val="auto"/>
        </w:rPr>
        <w:t>28,101,979</w:t>
      </w:r>
      <w:r>
        <w:rPr>
          <w:rFonts w:ascii="Arial" w:cs="Arial" w:eastAsia="Arial" w:hAnsi="Arial"/>
          <w:sz w:val="16"/>
          <w:szCs w:val="16"/>
          <w:color w:val="auto"/>
        </w:rPr>
        <w:t xml:space="preserve"> Shares. The Shares may be authorized but unissued, or reacquired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9" w:name="page130"/>
    <w:bookmarkEnd w:id="129"/>
    <w:p>
      <w:pPr>
        <w:ind w:firstLine="1296"/>
        <w:spacing w:after="0" w:line="286" w:lineRule="auto"/>
        <w:rPr>
          <w:sz w:val="20"/>
          <w:szCs w:val="20"/>
          <w:color w:val="auto"/>
        </w:rPr>
      </w:pPr>
      <w:r>
        <w:rPr>
          <w:rFonts w:ascii="Arial" w:cs="Arial" w:eastAsia="Arial" w:hAnsi="Arial"/>
          <w:sz w:val="16"/>
          <w:szCs w:val="16"/>
          <w:color w:val="auto"/>
        </w:rPr>
        <w:t>(b)           </w:t>
      </w:r>
      <w:r>
        <w:rPr>
          <w:rFonts w:ascii="Arial" w:cs="Arial" w:eastAsia="Arial" w:hAnsi="Arial"/>
          <w:sz w:val="16"/>
          <w:szCs w:val="16"/>
          <w:u w:val="single" w:color="auto"/>
          <w:color w:val="auto"/>
        </w:rPr>
        <w:t>Lapsed Awards</w:t>
      </w:r>
      <w:r>
        <w:rPr>
          <w:rFonts w:ascii="Arial" w:cs="Arial" w:eastAsia="Arial" w:hAnsi="Arial"/>
          <w:sz w:val="16"/>
          <w:szCs w:val="16"/>
          <w:color w:val="auto"/>
        </w:rPr>
        <w:t>. If an Award expires or becomes unexercisable without having been exercised in full, is surrendered pursuant to an Exchange Program, or, with respect to Restricted Stock or Restricted Stock Units,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or Restricted Stock Units are repurchased by the Company or are forfeited to the Company due to the failure to vest,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Code Section 422 and the Treasury Regulations promulgated thereunder, any Shares that become available for issuance under the Plan pursuant to Section 3(b).</w:t>
      </w:r>
    </w:p>
    <w:p>
      <w:pPr>
        <w:spacing w:after="0" w:line="171"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170"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29"/>
        <w:spacing w:after="0"/>
        <w:tabs>
          <w:tab w:leader="none" w:pos="196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(i)           </w:t>
      </w:r>
      <w:r>
        <w:rPr>
          <w:rFonts w:ascii="Arial" w:cs="Arial" w:eastAsia="Arial" w:hAnsi="Arial"/>
          <w:sz w:val="17"/>
          <w:szCs w:val="17"/>
          <w:u w:val="single" w:color="auto"/>
          <w:color w:val="auto"/>
        </w:rPr>
        <w:t>Multiple Administrative Bodies</w:t>
      </w:r>
      <w:r>
        <w:rPr>
          <w:rFonts w:ascii="Arial" w:cs="Arial" w:eastAsia="Arial" w:hAnsi="Arial"/>
          <w:sz w:val="17"/>
          <w:szCs w:val="17"/>
          <w:color w:val="auto"/>
        </w:rPr>
        <w:t>. Different Committees with respect to different groups of Service Providers may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administer the Plan.</w:t>
      </w:r>
    </w:p>
    <w:p>
      <w:pPr>
        <w:spacing w:after="0" w:line="211" w:lineRule="exact"/>
        <w:rPr>
          <w:sz w:val="20"/>
          <w:szCs w:val="20"/>
          <w:color w:val="auto"/>
        </w:rPr>
      </w:pPr>
    </w:p>
    <w:p>
      <w:pPr>
        <w:ind w:right="800" w:firstLine="1944"/>
        <w:spacing w:after="0" w:line="277" w:lineRule="auto"/>
        <w:rPr>
          <w:sz w:val="20"/>
          <w:szCs w:val="20"/>
          <w:color w:val="auto"/>
        </w:rPr>
      </w:pPr>
      <w:r>
        <w:rPr>
          <w:rFonts w:ascii="Arial" w:cs="Arial" w:eastAsia="Arial" w:hAnsi="Arial"/>
          <w:sz w:val="18"/>
          <w:szCs w:val="18"/>
          <w:color w:val="auto"/>
        </w:rPr>
        <w:t>(ii)           </w:t>
      </w: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 (A) the Board or (B) a Committee, which Committee will be constituted to satisfy Applicable Laws.</w:t>
      </w:r>
    </w:p>
    <w:p>
      <w:pPr>
        <w:spacing w:after="0" w:line="170"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70" w:lineRule="exact"/>
        <w:rPr>
          <w:sz w:val="20"/>
          <w:szCs w:val="20"/>
          <w:color w:val="auto"/>
        </w:rPr>
      </w:pPr>
    </w:p>
    <w:p>
      <w:pPr>
        <w:ind w:left="2600" w:hanging="297"/>
        <w:spacing w:after="0"/>
        <w:tabs>
          <w:tab w:leader="none" w:pos="2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25" w:lineRule="exact"/>
        <w:rPr>
          <w:rFonts w:ascii="Arial" w:cs="Arial" w:eastAsia="Arial" w:hAnsi="Arial"/>
          <w:sz w:val="18"/>
          <w:szCs w:val="18"/>
          <w:color w:val="auto"/>
        </w:rPr>
      </w:pPr>
    </w:p>
    <w:p>
      <w:pPr>
        <w:ind w:left="2600" w:hanging="297"/>
        <w:spacing w:after="0"/>
        <w:tabs>
          <w:tab w:leader="none" w:pos="2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225" w:lineRule="exact"/>
        <w:rPr>
          <w:rFonts w:ascii="Arial" w:cs="Arial" w:eastAsia="Arial" w:hAnsi="Arial"/>
          <w:sz w:val="18"/>
          <w:szCs w:val="18"/>
          <w:color w:val="auto"/>
        </w:rPr>
      </w:pPr>
    </w:p>
    <w:p>
      <w:pPr>
        <w:ind w:left="2600" w:hanging="297"/>
        <w:spacing w:after="0"/>
        <w:tabs>
          <w:tab w:leader="none" w:pos="2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w:t>
      </w:r>
    </w:p>
    <w:p>
      <w:pPr>
        <w:spacing w:after="0" w:line="225" w:lineRule="exact"/>
        <w:rPr>
          <w:rFonts w:ascii="Arial" w:cs="Arial" w:eastAsia="Arial" w:hAnsi="Arial"/>
          <w:sz w:val="18"/>
          <w:szCs w:val="18"/>
          <w:color w:val="auto"/>
        </w:rPr>
      </w:pPr>
    </w:p>
    <w:p>
      <w:pPr>
        <w:ind w:left="2600" w:hanging="297"/>
        <w:spacing w:after="0"/>
        <w:tabs>
          <w:tab w:leader="none" w:pos="2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30" w:name="page131"/>
    <w:bookmarkEnd w:id="130"/>
    <w:p>
      <w:pPr>
        <w:jc w:val="both"/>
        <w:ind w:right="380" w:firstLine="1944"/>
        <w:spacing w:after="0" w:line="259" w:lineRule="auto"/>
        <w:rPr>
          <w:sz w:val="20"/>
          <w:szCs w:val="20"/>
          <w:color w:val="auto"/>
        </w:rPr>
      </w:pPr>
      <w:r>
        <w:rPr>
          <w:rFonts w:ascii="Arial" w:cs="Arial" w:eastAsia="Arial" w:hAnsi="Arial"/>
          <w:sz w:val="18"/>
          <w:szCs w:val="18"/>
          <w:color w:val="auto"/>
        </w:rPr>
        <w:t>(v)           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           to institute and determine the terms and conditions of an Exchange Program;</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(vii)          to construe and interpret the terms of the Plan and Awards granted pursuant to the Plan;</w:t>
      </w:r>
    </w:p>
    <w:p>
      <w:pPr>
        <w:spacing w:after="0" w:line="225" w:lineRule="exact"/>
        <w:rPr>
          <w:sz w:val="20"/>
          <w:szCs w:val="20"/>
          <w:color w:val="auto"/>
        </w:rPr>
      </w:pPr>
    </w:p>
    <w:p>
      <w:pPr>
        <w:ind w:right="220" w:firstLine="1944"/>
        <w:spacing w:after="0" w:line="342" w:lineRule="auto"/>
        <w:rPr>
          <w:sz w:val="20"/>
          <w:szCs w:val="20"/>
          <w:color w:val="auto"/>
        </w:rPr>
      </w:pPr>
      <w:r>
        <w:rPr>
          <w:rFonts w:ascii="Arial" w:cs="Arial" w:eastAsia="Arial" w:hAnsi="Arial"/>
          <w:sz w:val="16"/>
          <w:szCs w:val="16"/>
          <w:color w:val="auto"/>
        </w:rPr>
        <w:t>(viii)          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24" w:lineRule="exact"/>
        <w:rPr>
          <w:sz w:val="20"/>
          <w:szCs w:val="20"/>
          <w:color w:val="auto"/>
        </w:rPr>
      </w:pPr>
    </w:p>
    <w:p>
      <w:pPr>
        <w:ind w:right="300" w:firstLine="1944"/>
        <w:spacing w:after="0" w:line="342" w:lineRule="auto"/>
        <w:rPr>
          <w:sz w:val="20"/>
          <w:szCs w:val="20"/>
          <w:color w:val="auto"/>
        </w:rPr>
      </w:pPr>
      <w:r>
        <w:rPr>
          <w:rFonts w:ascii="Arial" w:cs="Arial" w:eastAsia="Arial" w:hAnsi="Arial"/>
          <w:sz w:val="16"/>
          <w:szCs w:val="16"/>
          <w:color w:val="auto"/>
        </w:rPr>
        <w:t>(ix)           to modify or amend each Award (subject to Section 18(c) of the Plan), including but not limited to the discretionary authority to extend the post-termination exercisability period of Awards and to extend the maximum term of an Option (subject to Section 6(d));</w:t>
      </w:r>
    </w:p>
    <w:p>
      <w:pPr>
        <w:spacing w:after="0" w:line="12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to allow Participants to satisfy withholding tax obligations in a manner prescribed in Section 14;</w:t>
      </w:r>
    </w:p>
    <w:p>
      <w:pPr>
        <w:spacing w:after="0" w:line="225" w:lineRule="exact"/>
        <w:rPr>
          <w:sz w:val="20"/>
          <w:szCs w:val="20"/>
          <w:color w:val="auto"/>
        </w:rPr>
      </w:pPr>
    </w:p>
    <w:p>
      <w:pPr>
        <w:ind w:right="220" w:firstLine="1944"/>
        <w:spacing w:after="0" w:line="277" w:lineRule="auto"/>
        <w:rPr>
          <w:sz w:val="20"/>
          <w:szCs w:val="20"/>
          <w:color w:val="auto"/>
        </w:rPr>
      </w:pPr>
      <w:r>
        <w:rPr>
          <w:rFonts w:ascii="Arial" w:cs="Arial" w:eastAsia="Arial" w:hAnsi="Arial"/>
          <w:sz w:val="18"/>
          <w:szCs w:val="18"/>
          <w:color w:val="auto"/>
        </w:rPr>
        <w:t>(xi)           to authorize any person to execute on behalf of the Company any instrument required to effect the grant of an Award previously granted by the Administrator;</w:t>
      </w:r>
    </w:p>
    <w:p>
      <w:pPr>
        <w:spacing w:after="0" w:line="170" w:lineRule="exact"/>
        <w:rPr>
          <w:sz w:val="20"/>
          <w:szCs w:val="20"/>
          <w:color w:val="auto"/>
        </w:rPr>
      </w:pPr>
    </w:p>
    <w:p>
      <w:pPr>
        <w:ind w:right="60" w:firstLine="1944"/>
        <w:spacing w:after="0" w:line="277" w:lineRule="auto"/>
        <w:rPr>
          <w:sz w:val="20"/>
          <w:szCs w:val="20"/>
          <w:color w:val="auto"/>
        </w:rPr>
      </w:pPr>
      <w:r>
        <w:rPr>
          <w:rFonts w:ascii="Arial" w:cs="Arial" w:eastAsia="Arial" w:hAnsi="Arial"/>
          <w:sz w:val="18"/>
          <w:szCs w:val="18"/>
          <w:color w:val="auto"/>
        </w:rPr>
        <w:t>(xii)           to allow a Participant to defer the receipt of the payment of cash or the delivery of Shares that otherwise would be due to such Participant under an Award;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(xiii)           to make all other determinations deemed necessary or advisable for administering the Plan.</w:t>
      </w:r>
    </w:p>
    <w:p>
      <w:pPr>
        <w:spacing w:after="0" w:line="225" w:lineRule="exact"/>
        <w:rPr>
          <w:sz w:val="20"/>
          <w:szCs w:val="20"/>
          <w:color w:val="auto"/>
        </w:rPr>
      </w:pPr>
    </w:p>
    <w:p>
      <w:pPr>
        <w:ind w:right="200" w:firstLine="1296"/>
        <w:spacing w:after="0" w:line="277" w:lineRule="auto"/>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5.           </w:t>
      </w: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Stock Appreciation Rights, Restricted Stock, and Restricted Stock Units may be granted to Service Providers. Incentive Stock Options may be granted only to Employees.</w:t>
      </w:r>
    </w:p>
    <w:p>
      <w:pPr>
        <w:spacing w:after="0" w:line="170"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25" w:lineRule="exact"/>
        <w:rPr>
          <w:sz w:val="20"/>
          <w:szCs w:val="20"/>
          <w:color w:val="auto"/>
        </w:rPr>
      </w:pPr>
    </w:p>
    <w:p>
      <w:pPr>
        <w:ind w:right="400" w:firstLine="1296"/>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the terms and provisions of the Plan, the Administrator, at any time and from time to time, may grant Options in such amounts as the Administrator, in its sole discretion, will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1" w:name="page132"/>
    <w:bookmarkEnd w:id="131"/>
    <w:p>
      <w:pPr>
        <w:ind w:right="140" w:firstLine="1296"/>
        <w:spacing w:after="0" w:line="263" w:lineRule="auto"/>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Option Agreement</w:t>
      </w:r>
      <w:r>
        <w:rPr>
          <w:rFonts w:ascii="Arial" w:cs="Arial" w:eastAsia="Arial" w:hAnsi="Arial"/>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84"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Limitations</w:t>
      </w:r>
      <w:r>
        <w:rPr>
          <w:rFonts w:ascii="Arial" w:cs="Arial" w:eastAsia="Arial" w:hAnsi="Arial"/>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Treasury Regulations promulgated thereunder.</w:t>
      </w:r>
    </w:p>
    <w:p>
      <w:pPr>
        <w:spacing w:after="0" w:line="195"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(d)           </w:t>
      </w: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8" w:lineRule="exact"/>
        <w:rPr>
          <w:sz w:val="20"/>
          <w:szCs w:val="20"/>
          <w:color w:val="auto"/>
        </w:rPr>
      </w:pPr>
    </w:p>
    <w:p>
      <w:pPr>
        <w:ind w:left="1960" w:hanging="656"/>
        <w:spacing w:after="0"/>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5" w:lineRule="exact"/>
        <w:rPr>
          <w:sz w:val="20"/>
          <w:szCs w:val="20"/>
          <w:color w:val="auto"/>
        </w:rPr>
      </w:pPr>
    </w:p>
    <w:p>
      <w:pPr>
        <w:ind w:right="20" w:firstLine="1944"/>
        <w:spacing w:after="0" w:line="254" w:lineRule="auto"/>
        <w:rPr>
          <w:sz w:val="20"/>
          <w:szCs w:val="20"/>
          <w:color w:val="auto"/>
        </w:rPr>
      </w:pPr>
      <w:r>
        <w:rPr>
          <w:rFonts w:ascii="Arial" w:cs="Arial" w:eastAsia="Arial" w:hAnsi="Arial"/>
          <w:sz w:val="18"/>
          <w:szCs w:val="18"/>
          <w:color w:val="auto"/>
        </w:rPr>
        <w:t>(i)           </w:t>
      </w: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6(e)(i), Options may be granted with a per Share exercise price of less than one hundred percent (100%) of the Fair Market Value per Share on the date of grant pursuant to a transaction described in, and in a manner consistent with, Code Section 424(a).</w:t>
      </w:r>
    </w:p>
    <w:p>
      <w:pPr>
        <w:spacing w:after="0" w:line="195" w:lineRule="exact"/>
        <w:rPr>
          <w:sz w:val="20"/>
          <w:szCs w:val="20"/>
          <w:color w:val="auto"/>
        </w:rPr>
      </w:pPr>
    </w:p>
    <w:p>
      <w:pPr>
        <w:ind w:right="60" w:firstLine="1944"/>
        <w:spacing w:after="0" w:line="277" w:lineRule="auto"/>
        <w:rPr>
          <w:sz w:val="20"/>
          <w:szCs w:val="20"/>
          <w:color w:val="auto"/>
        </w:rPr>
      </w:pPr>
      <w:r>
        <w:rPr>
          <w:rFonts w:ascii="Arial" w:cs="Arial" w:eastAsia="Arial" w:hAnsi="Arial"/>
          <w:sz w:val="18"/>
          <w:szCs w:val="18"/>
          <w:color w:val="auto"/>
        </w:rPr>
        <w:t>(ii)           </w:t>
      </w: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ind w:right="140" w:firstLine="1944"/>
        <w:spacing w:after="0" w:line="287" w:lineRule="auto"/>
        <w:rPr>
          <w:sz w:val="20"/>
          <w:szCs w:val="20"/>
          <w:color w:val="auto"/>
        </w:rPr>
      </w:pPr>
      <w:r>
        <w:rPr>
          <w:rFonts w:ascii="Arial" w:cs="Arial" w:eastAsia="Arial" w:hAnsi="Arial"/>
          <w:sz w:val="16"/>
          <w:szCs w:val="16"/>
          <w:color w:val="auto"/>
        </w:rPr>
        <w:t>(iii)           </w:t>
      </w:r>
      <w:r>
        <w:rPr>
          <w:rFonts w:ascii="Arial" w:cs="Arial" w:eastAsia="Arial" w:hAnsi="Arial"/>
          <w:sz w:val="16"/>
          <w:szCs w:val="16"/>
          <w:u w:val="single" w:color="auto"/>
          <w:color w:val="auto"/>
        </w:rPr>
        <w:t>Form of Consideration</w:t>
      </w:r>
      <w:r>
        <w:rPr>
          <w:rFonts w:ascii="Arial" w:cs="Arial" w:eastAsia="Arial" w:hAnsi="Arial"/>
          <w:sz w:val="16"/>
          <w:szCs w:val="16"/>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w:t>
      </w:r>
    </w:p>
    <w:p>
      <w:pPr>
        <w:spacing w:after="0" w:line="2" w:lineRule="exact"/>
        <w:rPr>
          <w:sz w:val="20"/>
          <w:szCs w:val="20"/>
          <w:color w:val="auto"/>
        </w:rPr>
      </w:pPr>
    </w:p>
    <w:p>
      <w:pPr>
        <w:ind w:firstLine="8"/>
        <w:spacing w:after="0" w:line="252" w:lineRule="auto"/>
        <w:tabs>
          <w:tab w:leader="none" w:pos="2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92" w:lineRule="exact"/>
        <w:rPr>
          <w:rFonts w:ascii="Arial" w:cs="Arial" w:eastAsia="Arial" w:hAnsi="Arial"/>
          <w:sz w:val="18"/>
          <w:szCs w:val="18"/>
          <w:color w:val="auto"/>
        </w:rPr>
      </w:pPr>
    </w:p>
    <w:p>
      <w:pPr>
        <w:ind w:left="1960" w:hanging="656"/>
        <w:spacing w:after="0"/>
        <w:tabs>
          <w:tab w:leader="none" w:pos="1960"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sz w:val="20"/>
          <w:szCs w:val="20"/>
          <w:color w:val="auto"/>
        </w:rPr>
      </w:pPr>
    </w:p>
    <w:p>
      <w:pPr>
        <w:ind w:right="240" w:firstLine="1944"/>
        <w:spacing w:after="0" w:line="263" w:lineRule="auto"/>
        <w:rPr>
          <w:sz w:val="20"/>
          <w:szCs w:val="20"/>
          <w:color w:val="auto"/>
        </w:rPr>
      </w:pPr>
      <w:r>
        <w:rPr>
          <w:rFonts w:ascii="Arial" w:cs="Arial" w:eastAsia="Arial" w:hAnsi="Arial"/>
          <w:sz w:val="18"/>
          <w:szCs w:val="18"/>
          <w:color w:val="auto"/>
        </w:rPr>
        <w:t>(i)           </w:t>
      </w: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84" w:lineRule="exact"/>
        <w:rPr>
          <w:sz w:val="20"/>
          <w:szCs w:val="20"/>
          <w:color w:val="auto"/>
        </w:rPr>
      </w:pPr>
    </w:p>
    <w:p>
      <w:pPr>
        <w:jc w:val="both"/>
        <w:ind w:firstLine="2592"/>
        <w:spacing w:after="0" w:line="270" w:lineRule="auto"/>
        <w:rPr>
          <w:sz w:val="20"/>
          <w:szCs w:val="20"/>
          <w:color w:val="auto"/>
        </w:rPr>
      </w:pPr>
      <w:r>
        <w:rPr>
          <w:rFonts w:ascii="Arial" w:cs="Arial" w:eastAsia="Arial" w:hAnsi="Arial"/>
          <w:sz w:val="17"/>
          <w:szCs w:val="17"/>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1" w:lineRule="exact"/>
        <w:rPr>
          <w:sz w:val="20"/>
          <w:szCs w:val="20"/>
          <w:color w:val="auto"/>
        </w:rPr>
      </w:pPr>
    </w:p>
    <w:p>
      <w:pPr>
        <w:jc w:val="both"/>
        <w:ind w:firstLine="2592"/>
        <w:spacing w:after="0" w:line="27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70" w:lineRule="exact"/>
        <w:rPr>
          <w:sz w:val="20"/>
          <w:szCs w:val="20"/>
          <w:color w:val="auto"/>
        </w:rPr>
      </w:pPr>
    </w:p>
    <w:p>
      <w:pPr>
        <w:ind w:right="20" w:firstLine="1944"/>
        <w:spacing w:after="0" w:line="271" w:lineRule="auto"/>
        <w:rPr>
          <w:sz w:val="20"/>
          <w:szCs w:val="20"/>
          <w:color w:val="auto"/>
        </w:rPr>
      </w:pPr>
      <w:r>
        <w:rPr>
          <w:rFonts w:ascii="Arial" w:cs="Arial" w:eastAsia="Arial" w:hAnsi="Arial"/>
          <w:sz w:val="17"/>
          <w:szCs w:val="17"/>
          <w:color w:val="auto"/>
        </w:rPr>
        <w:t>(ii)           </w:t>
      </w:r>
      <w:r>
        <w:rPr>
          <w:rFonts w:ascii="Arial" w:cs="Arial" w:eastAsia="Arial" w:hAnsi="Arial"/>
          <w:sz w:val="17"/>
          <w:szCs w:val="17"/>
          <w:u w:val="single" w:color="auto"/>
          <w:color w:val="auto"/>
        </w:rPr>
        <w:t>Termination of Relationship as a Service Provider</w:t>
      </w:r>
      <w:r>
        <w:rPr>
          <w:rFonts w:ascii="Arial" w:cs="Arial" w:eastAsia="Arial" w:hAnsi="Arial"/>
          <w:sz w:val="17"/>
          <w:szCs w:val="17"/>
          <w:color w:val="auto"/>
        </w:rPr>
        <w:t>. If a Participant ceases to be a Service Provider, other than upon the Participant’s termination as the result of the Participant’s death or Disability, the Participant may exercise his or her Option within thirty (30) days of termination, or such alternative period of time as is specified in the Award Agreement (but in no event later than the expiration of the term of such Option as set forth in the Award Agreement) to the extent that the Option is vested on the date of termination. Unless otherwise provided by the Administrator, if on the date of termination the Participant is not vested as to his or her entire Option, the Shares covered by the unvested portion of the Option will revert to the Plan as of the date such Option expires (but in no event will such unvested portion of the Option vest after such termination unless otherwise provided by the Administrator). If after termination the Participant does not exercise his or her Option within the time specified by the Administrator, the Option will terminate, and the Shares covered by such Option will revert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ind w:right="80" w:firstLine="1944"/>
        <w:spacing w:after="0" w:line="291" w:lineRule="auto"/>
        <w:rPr>
          <w:sz w:val="20"/>
          <w:szCs w:val="20"/>
          <w:color w:val="auto"/>
        </w:rPr>
      </w:pPr>
      <w:r>
        <w:rPr>
          <w:rFonts w:ascii="Arial" w:cs="Arial" w:eastAsia="Arial" w:hAnsi="Arial"/>
          <w:sz w:val="16"/>
          <w:szCs w:val="16"/>
          <w:color w:val="auto"/>
        </w:rPr>
        <w:t>(iii)           </w:t>
      </w:r>
      <w:r>
        <w:rPr>
          <w:rFonts w:ascii="Arial" w:cs="Arial" w:eastAsia="Arial" w:hAnsi="Arial"/>
          <w:sz w:val="16"/>
          <w:szCs w:val="16"/>
          <w:u w:val="single" w:color="auto"/>
          <w:color w:val="auto"/>
        </w:rPr>
        <w:t>Disability of Participant</w:t>
      </w:r>
      <w:r>
        <w:rPr>
          <w:rFonts w:ascii="Arial" w:cs="Arial" w:eastAsia="Arial" w:hAnsi="Arial"/>
          <w:sz w:val="16"/>
          <w:szCs w:val="16"/>
          <w:color w:val="auto"/>
        </w:rPr>
        <w:t>. If a Participant ceases to be a Service Provider as a result of the Participant’s Disability, the Participant may exercise his or her Option within six (6) months of termination, or such alternative period of time as is specified in the Award Agreement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as of the date such Option expires (but in no event will such unvested portion of the Option vest after such termination unless otherwise provided by the Administrator). If after termination the Participant does not exercise his or her Option within the time specified herein, the Option will terminate, and the Shares covered by such Option will revert to the Plan.</w:t>
      </w:r>
    </w:p>
    <w:p>
      <w:pPr>
        <w:spacing w:after="0" w:line="166" w:lineRule="exact"/>
        <w:rPr>
          <w:sz w:val="20"/>
          <w:szCs w:val="20"/>
          <w:color w:val="auto"/>
        </w:rPr>
      </w:pPr>
    </w:p>
    <w:p>
      <w:pPr>
        <w:ind w:firstLine="1944"/>
        <w:spacing w:after="0" w:line="269" w:lineRule="auto"/>
        <w:rPr>
          <w:sz w:val="20"/>
          <w:szCs w:val="20"/>
          <w:color w:val="auto"/>
        </w:rPr>
      </w:pPr>
      <w:r>
        <w:rPr>
          <w:rFonts w:ascii="Arial" w:cs="Arial" w:eastAsia="Arial" w:hAnsi="Arial"/>
          <w:sz w:val="17"/>
          <w:szCs w:val="17"/>
          <w:color w:val="auto"/>
        </w:rPr>
        <w:t>(iv)           </w:t>
      </w:r>
      <w:r>
        <w:rPr>
          <w:rFonts w:ascii="Arial" w:cs="Arial" w:eastAsia="Arial" w:hAnsi="Arial"/>
          <w:sz w:val="17"/>
          <w:szCs w:val="17"/>
          <w:u w:val="single" w:color="auto"/>
          <w:color w:val="auto"/>
        </w:rPr>
        <w:t>Death of Participant</w:t>
      </w:r>
      <w:r>
        <w:rPr>
          <w:rFonts w:ascii="Arial" w:cs="Arial" w:eastAsia="Arial" w:hAnsi="Arial"/>
          <w:sz w:val="17"/>
          <w:szCs w:val="17"/>
          <w:color w:val="auto"/>
        </w:rPr>
        <w:t>. If a Participant dies while a Service Provider, the Option may be exercised within six (6) months following the Participant’s death, or within such longer period of time as is specified in the Award Agreement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Unless otherwise provided by the Administrator, if at the time of death Participant is not vested as to his or her entire Option, the Shares covered by the unvested portion of the Option will immediately revert to the Plan as of the date such Option expires (but in no event will such unvested portion of the Option vest after such termination unless otherwise provided by the Administrator). If the Option is not so exercised within the time specified herein, the Option will terminate, and the Shares covered by such Option will revert to the Plan.</w:t>
      </w:r>
    </w:p>
    <w:p>
      <w:pPr>
        <w:spacing w:after="0" w:line="185"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70"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Shares subject to any Award of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134" w:name="page135"/>
    <w:bookmarkEnd w:id="134"/>
    <w:p>
      <w:pPr>
        <w:ind w:right="80" w:firstLine="1296"/>
        <w:spacing w:after="0" w:line="279" w:lineRule="auto"/>
        <w:rPr>
          <w:sz w:val="20"/>
          <w:szCs w:val="20"/>
          <w:color w:val="auto"/>
        </w:rPr>
      </w:pPr>
      <w:r>
        <w:rPr>
          <w:rFonts w:ascii="Arial" w:cs="Arial" w:eastAsia="Arial" w:hAnsi="Arial"/>
          <w:sz w:val="17"/>
          <w:szCs w:val="17"/>
          <w:color w:val="auto"/>
        </w:rPr>
        <w:t>(c)           </w:t>
      </w:r>
      <w:r>
        <w:rPr>
          <w:rFonts w:ascii="Arial" w:cs="Arial" w:eastAsia="Arial" w:hAnsi="Arial"/>
          <w:sz w:val="17"/>
          <w:szCs w:val="17"/>
          <w:u w:val="single" w:color="auto"/>
          <w:color w:val="auto"/>
        </w:rPr>
        <w:t>Exercise Price and Other Terms</w:t>
      </w:r>
      <w:r>
        <w:rPr>
          <w:rFonts w:ascii="Arial" w:cs="Arial" w:eastAsia="Arial" w:hAnsi="Arial"/>
          <w:sz w:val="17"/>
          <w:szCs w:val="17"/>
          <w:color w:val="auto"/>
        </w:rPr>
        <w:t>. The per Share exercise price for the Shares that will determine the amount of the payment to be received upon exercise of a Stock Appreciation Right as set forth in Section 7(f)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1"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(d)           </w:t>
      </w: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84" w:lineRule="exact"/>
        <w:rPr>
          <w:sz w:val="20"/>
          <w:szCs w:val="20"/>
          <w:color w:val="auto"/>
        </w:rPr>
      </w:pPr>
    </w:p>
    <w:p>
      <w:pPr>
        <w:ind w:right="800" w:firstLine="1296"/>
        <w:spacing w:after="0" w:line="286" w:lineRule="auto"/>
        <w:rPr>
          <w:sz w:val="20"/>
          <w:szCs w:val="20"/>
          <w:color w:val="auto"/>
        </w:rPr>
      </w:pPr>
      <w:r>
        <w:rPr>
          <w:rFonts w:ascii="Arial" w:cs="Arial" w:eastAsia="Arial" w:hAnsi="Arial"/>
          <w:sz w:val="17"/>
          <w:szCs w:val="17"/>
          <w:color w:val="auto"/>
        </w:rPr>
        <w:t>(e)           </w:t>
      </w:r>
      <w:r>
        <w:rPr>
          <w:rFonts w:ascii="Arial" w:cs="Arial" w:eastAsia="Arial" w:hAnsi="Arial"/>
          <w:sz w:val="17"/>
          <w:szCs w:val="17"/>
          <w:u w:val="single" w:color="auto"/>
          <w:color w:val="auto"/>
        </w:rPr>
        <w:t>Expiration of Stock Appreciation Rights</w:t>
      </w:r>
      <w:r>
        <w:rPr>
          <w:rFonts w:ascii="Arial" w:cs="Arial" w:eastAsia="Arial" w:hAnsi="Arial"/>
          <w:sz w:val="17"/>
          <w:szCs w:val="17"/>
          <w:color w:val="auto"/>
        </w:rPr>
        <w:t>. A Stock Appreciation Right granted under the Plan will expire upon the date determined by the Administrator, in its sole discretion, and set forth in the Award Agreement. Notwithstanding the foregoing, the rules of Section 6(d) relating to the maximum term and Section 6(f) relating to exercise also will apply to Stock Appreciation Rights.</w:t>
      </w:r>
    </w:p>
    <w:p>
      <w:pPr>
        <w:spacing w:after="0" w:line="165" w:lineRule="exact"/>
        <w:rPr>
          <w:sz w:val="20"/>
          <w:szCs w:val="20"/>
          <w:color w:val="auto"/>
        </w:rPr>
      </w:pPr>
    </w:p>
    <w:p>
      <w:pPr>
        <w:ind w:right="360" w:firstLine="1296"/>
        <w:spacing w:after="0" w:line="277" w:lineRule="auto"/>
        <w:rPr>
          <w:sz w:val="20"/>
          <w:szCs w:val="20"/>
          <w:color w:val="auto"/>
        </w:rPr>
      </w:pPr>
      <w:r>
        <w:rPr>
          <w:rFonts w:ascii="Arial" w:cs="Arial" w:eastAsia="Arial" w:hAnsi="Arial"/>
          <w:sz w:val="18"/>
          <w:szCs w:val="18"/>
          <w:color w:val="auto"/>
        </w:rPr>
        <w:t>(f)           </w:t>
      </w:r>
      <w:r>
        <w:rPr>
          <w:rFonts w:ascii="Arial" w:cs="Arial" w:eastAsia="Arial" w:hAnsi="Arial"/>
          <w:sz w:val="18"/>
          <w:szCs w:val="18"/>
          <w:u w:val="single" w:color="auto"/>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(i)           The difference between the Fair Market Value of a Share on the date of exercise over the exercise price; times</w:t>
      </w:r>
    </w:p>
    <w:p>
      <w:pPr>
        <w:spacing w:after="0" w:line="237" w:lineRule="exact"/>
        <w:rPr>
          <w:sz w:val="20"/>
          <w:szCs w:val="20"/>
          <w:color w:val="auto"/>
        </w:rPr>
      </w:pPr>
    </w:p>
    <w:p>
      <w:pPr>
        <w:ind w:left="2600" w:hanging="648"/>
        <w:spacing w:after="0"/>
        <w:tabs>
          <w:tab w:leader="none" w:pos="26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170"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25" w:lineRule="exact"/>
        <w:rPr>
          <w:sz w:val="20"/>
          <w:szCs w:val="20"/>
          <w:color w:val="auto"/>
        </w:rPr>
      </w:pPr>
    </w:p>
    <w:p>
      <w:pPr>
        <w:ind w:right="140" w:firstLine="1296"/>
        <w:spacing w:after="0" w:line="308"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Grant of Restricted Stock</w:t>
      </w:r>
      <w:r>
        <w:rPr>
          <w:rFonts w:ascii="Arial" w:cs="Arial" w:eastAsia="Arial" w:hAnsi="Arial"/>
          <w:sz w:val="17"/>
          <w:szCs w:val="17"/>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46"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87" w:lineRule="exact"/>
        <w:rPr>
          <w:sz w:val="20"/>
          <w:szCs w:val="20"/>
          <w:color w:val="auto"/>
        </w:rPr>
      </w:pPr>
    </w:p>
    <w:p>
      <w:pPr>
        <w:ind w:right="200" w:firstLine="1296"/>
        <w:spacing w:after="0" w:line="308" w:lineRule="auto"/>
        <w:rPr>
          <w:sz w:val="20"/>
          <w:szCs w:val="20"/>
          <w:color w:val="auto"/>
        </w:rPr>
      </w:pPr>
      <w:r>
        <w:rPr>
          <w:rFonts w:ascii="Arial" w:cs="Arial" w:eastAsia="Arial" w:hAnsi="Arial"/>
          <w:sz w:val="17"/>
          <w:szCs w:val="17"/>
          <w:color w:val="auto"/>
        </w:rPr>
        <w:t>(c)           </w:t>
      </w: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5" w:name="page136"/>
    <w:bookmarkEnd w:id="135"/>
    <w:p>
      <w:pPr>
        <w:ind w:firstLine="1296"/>
        <w:spacing w:after="0" w:line="277" w:lineRule="auto"/>
        <w:rPr>
          <w:sz w:val="20"/>
          <w:szCs w:val="20"/>
          <w:color w:val="auto"/>
        </w:rPr>
      </w:pPr>
      <w:r>
        <w:rPr>
          <w:rFonts w:ascii="Arial" w:cs="Arial" w:eastAsia="Arial" w:hAnsi="Arial"/>
          <w:sz w:val="18"/>
          <w:szCs w:val="18"/>
          <w:color w:val="auto"/>
        </w:rPr>
        <w:t>(d)           </w:t>
      </w: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170" w:lineRule="exact"/>
        <w:rPr>
          <w:sz w:val="20"/>
          <w:szCs w:val="20"/>
          <w:color w:val="auto"/>
        </w:rPr>
      </w:pPr>
    </w:p>
    <w:p>
      <w:pPr>
        <w:jc w:val="both"/>
        <w:ind w:right="80" w:firstLine="1296"/>
        <w:spacing w:after="0" w:line="311" w:lineRule="auto"/>
        <w:rPr>
          <w:sz w:val="20"/>
          <w:szCs w:val="20"/>
          <w:color w:val="auto"/>
        </w:rPr>
      </w:pPr>
      <w:r>
        <w:rPr>
          <w:rFonts w:ascii="Arial" w:cs="Arial" w:eastAsia="Arial" w:hAnsi="Arial"/>
          <w:sz w:val="16"/>
          <w:szCs w:val="16"/>
          <w:color w:val="auto"/>
        </w:rPr>
        <w:t>(e)           </w:t>
      </w:r>
      <w:r>
        <w:rPr>
          <w:rFonts w:ascii="Arial" w:cs="Arial" w:eastAsia="Arial" w:hAnsi="Arial"/>
          <w:sz w:val="16"/>
          <w:szCs w:val="16"/>
          <w:u w:val="single" w:color="auto"/>
          <w:color w:val="auto"/>
        </w:rPr>
        <w:t>Removal of Restrictions</w:t>
      </w:r>
      <w:r>
        <w:rPr>
          <w:rFonts w:ascii="Arial" w:cs="Arial" w:eastAsia="Arial" w:hAnsi="Arial"/>
          <w:sz w:val="16"/>
          <w:szCs w:val="16"/>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49"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(f)           </w:t>
      </w: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70"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(g)           </w:t>
      </w: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87" w:lineRule="exact"/>
        <w:rPr>
          <w:sz w:val="20"/>
          <w:szCs w:val="20"/>
          <w:color w:val="auto"/>
        </w:rPr>
      </w:pPr>
    </w:p>
    <w:p>
      <w:pPr>
        <w:ind w:right="740" w:firstLine="1296"/>
        <w:spacing w:after="0" w:line="277" w:lineRule="auto"/>
        <w:rPr>
          <w:sz w:val="20"/>
          <w:szCs w:val="20"/>
          <w:color w:val="auto"/>
        </w:rPr>
      </w:pPr>
      <w:r>
        <w:rPr>
          <w:rFonts w:ascii="Arial" w:cs="Arial" w:eastAsia="Arial" w:hAnsi="Arial"/>
          <w:sz w:val="18"/>
          <w:szCs w:val="18"/>
          <w:color w:val="auto"/>
        </w:rPr>
        <w:t>(h)           </w:t>
      </w: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170"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25" w:lineRule="exact"/>
        <w:rPr>
          <w:sz w:val="20"/>
          <w:szCs w:val="20"/>
          <w:color w:val="auto"/>
        </w:rPr>
      </w:pPr>
    </w:p>
    <w:p>
      <w:pPr>
        <w:ind w:right="200" w:firstLine="1296"/>
        <w:spacing w:after="0" w:line="263"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84"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187"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136" w:name="page137"/>
    <w:bookmarkEnd w:id="136"/>
    <w:p>
      <w:pPr>
        <w:ind w:left="1300"/>
        <w:spacing w:after="0"/>
        <w:rPr>
          <w:sz w:val="20"/>
          <w:szCs w:val="20"/>
          <w:color w:val="auto"/>
        </w:rPr>
      </w:pPr>
      <w:r>
        <w:rPr>
          <w:rFonts w:ascii="Arial" w:cs="Arial" w:eastAsia="Arial" w:hAnsi="Arial"/>
          <w:sz w:val="17"/>
          <w:szCs w:val="17"/>
          <w:color w:val="auto"/>
        </w:rPr>
        <w:t>(d)           </w:t>
      </w:r>
      <w:r>
        <w:rPr>
          <w:rFonts w:ascii="Arial" w:cs="Arial" w:eastAsia="Arial" w:hAnsi="Arial"/>
          <w:sz w:val="17"/>
          <w:szCs w:val="17"/>
          <w:u w:val="single" w:color="auto"/>
          <w:color w:val="auto"/>
        </w:rPr>
        <w:t>Form and Timing of Payment</w:t>
      </w:r>
      <w:r>
        <w:rPr>
          <w:rFonts w:ascii="Arial" w:cs="Arial" w:eastAsia="Arial" w:hAnsi="Arial"/>
          <w:sz w:val="17"/>
          <w:szCs w:val="17"/>
          <w:color w:val="auto"/>
        </w:rPr>
        <w:t>. Payment of earned Restricted Stock Units will be made as soon as practicable after the</w:t>
      </w: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date(s) determined by the Administrator and set forth in the Award Agreement. The Administrator, in its sole discretion, may settle earned Restricted Stock Units in cash, Shares, or a combination of both.</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           </w:t>
      </w:r>
      <w:r>
        <w:rPr>
          <w:rFonts w:ascii="Arial" w:cs="Arial" w:eastAsia="Arial" w:hAnsi="Arial"/>
          <w:sz w:val="17"/>
          <w:szCs w:val="17"/>
          <w:u w:val="single" w:color="auto"/>
          <w:color w:val="auto"/>
        </w:rPr>
        <w:t>Cancellation</w:t>
      </w:r>
      <w:r>
        <w:rPr>
          <w:rFonts w:ascii="Arial" w:cs="Arial" w:eastAsia="Arial" w:hAnsi="Arial"/>
          <w:sz w:val="17"/>
          <w:szCs w:val="17"/>
          <w:color w:val="auto"/>
        </w:rPr>
        <w:t>. On the date set forth in the Award Agreement, all unearned Restricted Stock Units will be forfeited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10.           </w:t>
      </w: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Awards will be designed and operated in such a manner that they are either exempt from the application of, or comply with, the requirements of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9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Leaves of Absence/Transfer Between Locations</w:t>
      </w:r>
      <w:r>
        <w:rPr>
          <w:rFonts w:ascii="Arial" w:cs="Arial" w:eastAsia="Arial" w:hAnsi="Arial"/>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95" w:lineRule="exact"/>
        <w:rPr>
          <w:sz w:val="20"/>
          <w:szCs w:val="20"/>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Limited Transferability of Awards</w:t>
      </w:r>
      <w:r>
        <w:rPr>
          <w:rFonts w:ascii="Arial" w:cs="Arial" w:eastAsia="Arial" w:hAnsi="Arial"/>
          <w:sz w:val="18"/>
          <w:szCs w:val="18"/>
          <w:color w:val="auto"/>
        </w:rPr>
        <w:t>.</w:t>
      </w:r>
    </w:p>
    <w:p>
      <w:pPr>
        <w:spacing w:after="0" w:line="225"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(a)           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 If the Administrator makes an Award transferable, such Award may only be transferred (i) by will, (ii) by the laws of descent and distribution, or (iii) as permitted by Rule 701 of the Securities Act of 1933, as amended (the “Securities Act”).</w:t>
      </w:r>
    </w:p>
    <w:p>
      <w:pPr>
        <w:spacing w:after="0" w:line="187" w:lineRule="exact"/>
        <w:rPr>
          <w:sz w:val="20"/>
          <w:szCs w:val="20"/>
          <w:color w:val="auto"/>
        </w:rPr>
      </w:pPr>
    </w:p>
    <w:p>
      <w:pPr>
        <w:ind w:right="60" w:firstLine="1296"/>
        <w:spacing w:after="0" w:line="290" w:lineRule="auto"/>
        <w:rPr>
          <w:sz w:val="20"/>
          <w:szCs w:val="20"/>
          <w:color w:val="auto"/>
        </w:rPr>
      </w:pPr>
      <w:r>
        <w:rPr>
          <w:rFonts w:ascii="Arial" w:cs="Arial" w:eastAsia="Arial" w:hAnsi="Arial"/>
          <w:sz w:val="16"/>
          <w:szCs w:val="16"/>
          <w:color w:val="auto"/>
        </w:rPr>
        <w:t>(b)           Further, until the Company becomes subject to the reporting requirements of Section 13 or 15(d) of the Exchange Act, or after the Administrator determines that it is, will, or may no longer be relying upon the exemption from registration under the Exchange Act as set forth in Rule 12h-1(f) promulgated under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(as defined in Rule 701(c)(3) of the Securities Act) through gifts or domestic relations orders, or (ii) to an executor or guardian of the Participant upon the death or disability of the Participant. Notwithstanding the foregoing sentence, the Administrator, in its sole discretion, may determine to permit transfers to the Company or in connection with a Change in Control or other acquisition transactions involving the Company to the extent permitted by Rule 12h-1(f).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7" w:name="page138"/>
    <w:bookmarkEnd w:id="137"/>
    <w:p>
      <w:pPr>
        <w:ind w:left="1300" w:hanging="64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Merger or Change in Control</w:t>
      </w:r>
      <w:r>
        <w:rPr>
          <w:rFonts w:ascii="Arial" w:cs="Arial" w:eastAsia="Arial" w:hAnsi="Arial"/>
          <w:sz w:val="18"/>
          <w:szCs w:val="18"/>
          <w:color w:val="auto"/>
        </w:rPr>
        <w:t>.</w:t>
      </w:r>
    </w:p>
    <w:p>
      <w:pPr>
        <w:spacing w:after="0" w:line="225" w:lineRule="exact"/>
        <w:rPr>
          <w:sz w:val="20"/>
          <w:szCs w:val="20"/>
          <w:color w:val="auto"/>
        </w:rPr>
      </w:pPr>
    </w:p>
    <w:p>
      <w:pPr>
        <w:ind w:right="40" w:firstLine="1296"/>
        <w:spacing w:after="0" w:line="272"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provided, however, that the Administrator will make such adjustments to an Award required by Section 25102(o) of the California Corporations Code to the extent the Company is relying upon the exemption afforded thereby with respect to the Award.</w:t>
      </w:r>
    </w:p>
    <w:p>
      <w:pPr>
        <w:spacing w:after="0" w:line="177" w:lineRule="exact"/>
        <w:rPr>
          <w:sz w:val="20"/>
          <w:szCs w:val="20"/>
          <w:color w:val="auto"/>
        </w:rPr>
      </w:pPr>
    </w:p>
    <w:p>
      <w:pPr>
        <w:jc w:val="both"/>
        <w:ind w:right="60" w:firstLine="1296"/>
        <w:spacing w:after="0" w:line="263" w:lineRule="auto"/>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4"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(c)           </w:t>
      </w:r>
      <w:r>
        <w:rPr>
          <w:rFonts w:ascii="Arial" w:cs="Arial" w:eastAsia="Arial" w:hAnsi="Arial"/>
          <w:sz w:val="17"/>
          <w:szCs w:val="17"/>
          <w:u w:val="single" w:color="auto"/>
          <w:color w:val="auto"/>
        </w:rPr>
        <w:t>Merger or Change in Control</w:t>
      </w:r>
      <w:r>
        <w:rPr>
          <w:rFonts w:ascii="Arial" w:cs="Arial" w:eastAsia="Arial" w:hAnsi="Arial"/>
          <w:sz w:val="17"/>
          <w:szCs w:val="17"/>
          <w:color w:val="auto"/>
        </w:rPr>
        <w:t>. In the event of a merger or Change in Control, each outstanding Award will be treated as the Administrator determines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(subject to the provisions of the preceding paragraph);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of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13(c), the Administrator will not be obligated to treat all Awards, all Awards held by a Participant, or all Awards of the same type, similarly.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8" w:name="page139"/>
    <w:bookmarkEnd w:id="138"/>
    <w:p>
      <w:pPr>
        <w:jc w:val="both"/>
        <w:ind w:firstLine="1296"/>
        <w:spacing w:after="0" w:line="291" w:lineRule="auto"/>
        <w:rPr>
          <w:sz w:val="20"/>
          <w:szCs w:val="20"/>
          <w:color w:val="auto"/>
        </w:rPr>
      </w:pPr>
      <w:r>
        <w:rPr>
          <w:rFonts w:ascii="Arial" w:cs="Arial" w:eastAsia="Arial" w:hAnsi="Arial"/>
          <w:sz w:val="16"/>
          <w:szCs w:val="16"/>
          <w:color w:val="auto"/>
        </w:rPr>
        <w:t>In the event that the successor corporation does not assume or substitute for the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For the purposes of this subsection 13(c),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merger or Change in Control.</w:t>
      </w:r>
    </w:p>
    <w:p>
      <w:pPr>
        <w:spacing w:after="0" w:line="19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7"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Notwithstanding anything in this Section 13(c)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ind w:left="1300" w:hanging="64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311"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Withholding Requirements</w:t>
      </w:r>
      <w:r>
        <w:rPr>
          <w:rFonts w:ascii="Arial" w:cs="Arial" w:eastAsia="Arial" w:hAnsi="Arial"/>
          <w:sz w:val="16"/>
          <w:szCs w:val="16"/>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49" w:lineRule="exact"/>
        <w:rPr>
          <w:sz w:val="20"/>
          <w:szCs w:val="20"/>
          <w:color w:val="auto"/>
        </w:rPr>
      </w:pPr>
    </w:p>
    <w:p>
      <w:pPr>
        <w:jc w:val="both"/>
        <w:ind w:right="20" w:firstLine="1296"/>
        <w:spacing w:after="0" w:line="287" w:lineRule="auto"/>
        <w:rPr>
          <w:sz w:val="20"/>
          <w:szCs w:val="20"/>
          <w:color w:val="auto"/>
        </w:rPr>
      </w:pPr>
      <w:r>
        <w:rPr>
          <w:rFonts w:ascii="Arial" w:cs="Arial" w:eastAsia="Arial" w:hAnsi="Arial"/>
          <w:sz w:val="16"/>
          <w:szCs w:val="16"/>
          <w:color w:val="auto"/>
        </w:rPr>
        <w:t>(b)           </w:t>
      </w:r>
      <w:r>
        <w:rPr>
          <w:rFonts w:ascii="Arial" w:cs="Arial" w:eastAsia="Arial" w:hAnsi="Arial"/>
          <w:sz w:val="16"/>
          <w:szCs w:val="16"/>
          <w:u w:val="single" w:color="auto"/>
          <w:color w:val="auto"/>
        </w:rPr>
        <w:t>Withholding Arrangements</w:t>
      </w:r>
      <w:r>
        <w:rPr>
          <w:rFonts w:ascii="Arial" w:cs="Arial" w:eastAsia="Arial" w:hAnsi="Arial"/>
          <w:sz w:val="16"/>
          <w:szCs w:val="16"/>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Shares having a Fair Market Value equal to the minimum statutory amount required to be withheld,</w:t>
      </w:r>
    </w:p>
    <w:p>
      <w:pPr>
        <w:spacing w:after="0" w:line="2" w:lineRule="exact"/>
        <w:rPr>
          <w:sz w:val="20"/>
          <w:szCs w:val="20"/>
          <w:color w:val="auto"/>
        </w:rPr>
      </w:pPr>
    </w:p>
    <w:p>
      <w:pPr>
        <w:ind w:right="60" w:firstLine="8"/>
        <w:spacing w:after="0" w:line="251" w:lineRule="auto"/>
        <w:tabs>
          <w:tab w:leader="none" w:pos="31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delivering to the Company already-owned Shares having a Fair Market Value equal to the statutory amount required to be withheld, provided the delivery of such Shares will not result in any adverse accounting consequences, as the Administrator determines in its sole discretion,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98"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8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17.           </w:t>
      </w:r>
      <w:r>
        <w:rPr>
          <w:rFonts w:ascii="Arial" w:cs="Arial" w:eastAsia="Arial" w:hAnsi="Arial"/>
          <w:sz w:val="17"/>
          <w:szCs w:val="17"/>
          <w:u w:val="single" w:color="auto"/>
          <w:color w:val="auto"/>
        </w:rPr>
        <w:t>Term of Plan</w:t>
      </w:r>
      <w:r>
        <w:rPr>
          <w:rFonts w:ascii="Arial" w:cs="Arial" w:eastAsia="Arial" w:hAnsi="Arial"/>
          <w:sz w:val="17"/>
          <w:szCs w:val="17"/>
          <w:color w:val="auto"/>
        </w:rPr>
        <w:t>. Subject to Section 21 of the Plan, the Plan will become effective upon its adoption by the Board. Unless sooner terminated under Section 18, it will continue in effect for a term of ten (10) years from the later of (a) the effective date of the Plan, or (b) the earlier of the most recent Board or stockholder approval of an increase in the number of Shares reserved for issuance under the Plan.</w:t>
      </w:r>
    </w:p>
    <w:p>
      <w:pPr>
        <w:spacing w:after="0" w:line="165" w:lineRule="exact"/>
        <w:rPr>
          <w:sz w:val="20"/>
          <w:szCs w:val="20"/>
          <w:color w:val="auto"/>
        </w:rPr>
      </w:pPr>
    </w:p>
    <w:p>
      <w:pPr>
        <w:ind w:left="1300" w:hanging="644"/>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0" w:name="page141"/>
    <w:bookmarkEnd w:id="140"/>
    <w:p>
      <w:pPr>
        <w:ind w:right="500" w:firstLine="1296"/>
        <w:spacing w:after="0" w:line="277" w:lineRule="auto"/>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170"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7"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84" w:lineRule="exact"/>
        <w:rPr>
          <w:sz w:val="20"/>
          <w:szCs w:val="20"/>
          <w:color w:val="auto"/>
        </w:rPr>
      </w:pPr>
    </w:p>
    <w:p>
      <w:pPr>
        <w:ind w:right="140" w:firstLine="1296"/>
        <w:spacing w:after="0" w:line="286" w:lineRule="auto"/>
        <w:rPr>
          <w:sz w:val="20"/>
          <w:szCs w:val="20"/>
          <w:color w:val="auto"/>
        </w:rPr>
      </w:pPr>
      <w:r>
        <w:rPr>
          <w:rFonts w:ascii="Arial" w:cs="Arial" w:eastAsia="Arial" w:hAnsi="Arial"/>
          <w:sz w:val="17"/>
          <w:szCs w:val="17"/>
          <w:color w:val="auto"/>
        </w:rPr>
        <w:t>(b)           </w:t>
      </w: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20.           </w:t>
      </w: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6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21.           </w:t>
      </w: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46"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22.           </w:t>
      </w:r>
      <w:r>
        <w:rPr>
          <w:rFonts w:ascii="Arial" w:cs="Arial" w:eastAsia="Arial" w:hAnsi="Arial"/>
          <w:sz w:val="16"/>
          <w:szCs w:val="16"/>
          <w:u w:val="single" w:color="auto"/>
          <w:color w:val="auto"/>
        </w:rPr>
        <w:t>Information to Participants</w:t>
      </w:r>
      <w:r>
        <w:rPr>
          <w:rFonts w:ascii="Arial" w:cs="Arial" w:eastAsia="Arial" w:hAnsi="Arial"/>
          <w:sz w:val="16"/>
          <w:szCs w:val="16"/>
          <w:color w:val="auto"/>
        </w:rPr>
        <w:t>. Beginning on the earlier of (i) the date that the aggregate number of Participants under this Plan is five hundred (500) or more and the Company is relying on the exemption provided by Rule 12h-1(f)(1) under the Exchange Act and (ii) the date that the Company is required to deliver information to Participants pursuant to Rule 701 under the Securities Act, and until such time as the Company becomes subject to the reporting requirements of Section 13 or 15(d) of the Exchange Act, is no longer relying on the exemption provided by Rule 12h-1(f)(1) under the Exchange Act or is no longer required to deliver information to Participants pursuant to Rule 701 under the Securities Act, the Company shall provide to each Participant the information described in paragraphs (e)(3), (4), and (5) of Rule 701 under the Securities Act not less frequently than every six</w:t>
      </w:r>
    </w:p>
    <w:p>
      <w:pPr>
        <w:spacing w:after="0" w:line="4" w:lineRule="exact"/>
        <w:rPr>
          <w:sz w:val="20"/>
          <w:szCs w:val="20"/>
          <w:color w:val="auto"/>
        </w:rPr>
      </w:pPr>
    </w:p>
    <w:p>
      <w:pPr>
        <w:ind w:right="120" w:firstLine="8"/>
        <w:spacing w:after="0" w:line="292" w:lineRule="auto"/>
        <w:tabs>
          <w:tab w:leader="none" w:pos="25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or Rule 701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TRISALUS LIFE 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2009 EQUITY INCENTIVE PLAN, AS AMENDED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authority reserved to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TriSalus Life Sciences, Inc., a corporation organized under the laws of the State of Delaware (the “</w:t>
      </w:r>
      <w:r>
        <w:rPr>
          <w:rFonts w:ascii="Arial" w:cs="Arial" w:eastAsia="Arial" w:hAnsi="Arial"/>
          <w:sz w:val="18"/>
          <w:szCs w:val="18"/>
          <w:u w:val="single" w:color="auto"/>
          <w:color w:val="auto"/>
        </w:rPr>
        <w:t>Company</w:t>
      </w:r>
      <w:r>
        <w:rPr>
          <w:rFonts w:ascii="Arial" w:cs="Arial" w:eastAsia="Arial" w:hAnsi="Arial"/>
          <w:sz w:val="18"/>
          <w:szCs w:val="18"/>
          <w:color w:val="auto"/>
        </w:rPr>
        <w:t>”), under Section 18(a) of the Company’s 2009 Amended and Restated Equity Incentive Plan, as amended (the “</w:t>
      </w:r>
      <w:r>
        <w:rPr>
          <w:rFonts w:ascii="Arial" w:cs="Arial" w:eastAsia="Arial" w:hAnsi="Arial"/>
          <w:sz w:val="18"/>
          <w:szCs w:val="18"/>
          <w:u w:val="single" w:color="auto"/>
          <w:color w:val="auto"/>
        </w:rPr>
        <w:t>Plan</w:t>
      </w:r>
      <w:r>
        <w:rPr>
          <w:rFonts w:ascii="Arial" w:cs="Arial" w:eastAsia="Arial" w:hAnsi="Arial"/>
          <w:sz w:val="18"/>
          <w:szCs w:val="18"/>
          <w:color w:val="auto"/>
        </w:rPr>
        <w:t>”), the Board hereby amends the Plan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13(c) of the Plan is hereby amended by adding the following sentence at the end of Section 13(c):</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“Pursuant to that certain Agreement and Plan of Merger, dated as of November 11, 2022, by and among the Company, MedTech Acquisition Corporation, a Delaware corporation and MTAC Merger Sub, Inc., a Delaware corporation (as amended,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subject to and contingent upon the Effective Time (as defined in the Merger Agreement, the “</w:t>
      </w:r>
      <w:r>
        <w:rPr>
          <w:rFonts w:ascii="Arial" w:cs="Arial" w:eastAsia="Arial" w:hAnsi="Arial"/>
          <w:sz w:val="18"/>
          <w:szCs w:val="18"/>
          <w:u w:val="single" w:color="auto"/>
          <w:color w:val="auto"/>
        </w:rPr>
        <w:t>Effective Time</w:t>
      </w:r>
      <w:r>
        <w:rPr>
          <w:rFonts w:ascii="Arial" w:cs="Arial" w:eastAsia="Arial" w:hAnsi="Arial"/>
          <w:sz w:val="18"/>
          <w:szCs w:val="18"/>
          <w:color w:val="auto"/>
        </w:rPr>
        <w:t>”), no new Awards (including, but not limited to, any Options) shall be granted under the Plan following the Effective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Except as set forth in this amendment, the Plan shall be unaffected hereby and shall remain in full force and</w:t>
      </w:r>
    </w:p>
    <w:p>
      <w:pPr>
        <w:spacing w:after="0" w:line="37" w:lineRule="exact"/>
        <w:rPr>
          <w:sz w:val="20"/>
          <w:szCs w:val="20"/>
          <w:color w:val="auto"/>
        </w:rPr>
      </w:pPr>
    </w:p>
    <w:p>
      <w:pPr>
        <w:spacing w:after="0"/>
        <w:rPr>
          <w:sz w:val="20"/>
          <w:szCs w:val="20"/>
          <w:color w:val="auto"/>
        </w:rPr>
      </w:pPr>
      <w:r>
        <w:rPr>
          <w:rFonts w:ascii="Arial" w:cs="Arial" w:eastAsia="Arial" w:hAnsi="Arial"/>
          <w:sz w:val="23"/>
          <w:szCs w:val="23"/>
          <w:color w:val="auto"/>
        </w:rPr>
        <w:t>effect.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ollows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b w:val="1"/>
          <w:bCs w:val="1"/>
          <w:color w:val="auto"/>
        </w:rPr>
        <w:t>Exhibit 10.16</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SUREFIRE MEDICAL, INC. DBA TRISALUS™ LIFE SCIENCES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2009 STOCK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defined herein, the terms defined in the 2009 Stock Option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have the same defined meanings in this Stock Option Agreement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w:t>
      </w:r>
    </w:p>
    <w:p>
      <w:pPr>
        <w:spacing w:after="0" w:line="166" w:lineRule="exact"/>
        <w:rPr>
          <w:sz w:val="20"/>
          <w:szCs w:val="20"/>
          <w:color w:val="auto"/>
        </w:rPr>
      </w:pPr>
    </w:p>
    <w:p>
      <w:pPr>
        <w:ind w:left="660" w:right="7460" w:hanging="652"/>
        <w:spacing w:after="0" w:line="500" w:lineRule="auto"/>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NOTICE OF STOCK OPTION GRANT </w:t>
      </w:r>
      <w:r>
        <w:rPr>
          <w:rFonts w:ascii="Arial" w:cs="Arial" w:eastAsia="Arial" w:hAnsi="Arial"/>
          <w:sz w:val="18"/>
          <w:szCs w:val="18"/>
          <w:b w:val="1"/>
          <w:bCs w:val="1"/>
          <w:color w:val="auto"/>
        </w:rPr>
        <w:t>Name:</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Address: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Participant has been granted an Option to purchase Common Stock of the Company, subject to the terms and conditions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and this Option Agreement, as follows:</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740" w:type="dxa"/>
            <w:vAlign w:val="bottom"/>
            <w:gridSpan w:val="2"/>
          </w:tcPr>
          <w:p>
            <w:pPr>
              <w:ind w:left="300"/>
              <w:spacing w:after="0"/>
              <w:rPr>
                <w:sz w:val="20"/>
                <w:szCs w:val="20"/>
                <w:color w:val="auto"/>
              </w:rPr>
            </w:pPr>
            <w:r>
              <w:rPr>
                <w:rFonts w:ascii="Arial" w:cs="Arial" w:eastAsia="Arial" w:hAnsi="Arial"/>
                <w:sz w:val="18"/>
                <w:szCs w:val="18"/>
                <w:color w:val="auto"/>
              </w:rPr>
              <w:t>Date of Grant:</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gridSpan w:val="2"/>
          </w:tcPr>
          <w:p>
            <w:pPr>
              <w:ind w:left="300"/>
              <w:spacing w:after="0"/>
              <w:rPr>
                <w:sz w:val="20"/>
                <w:szCs w:val="20"/>
                <w:color w:val="auto"/>
              </w:rPr>
            </w:pPr>
            <w:r>
              <w:rPr>
                <w:rFonts w:ascii="Arial" w:cs="Arial" w:eastAsia="Arial" w:hAnsi="Arial"/>
                <w:sz w:val="18"/>
                <w:szCs w:val="18"/>
                <w:color w:val="auto"/>
              </w:rPr>
              <w:t>Vesting Commencement Date:</w:t>
            </w: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740" w:type="dxa"/>
            <w:vAlign w:val="bottom"/>
            <w:gridSpan w:val="2"/>
          </w:tcPr>
          <w:p>
            <w:pPr>
              <w:ind w:left="300"/>
              <w:spacing w:after="0"/>
              <w:rPr>
                <w:sz w:val="20"/>
                <w:szCs w:val="20"/>
                <w:color w:val="auto"/>
              </w:rPr>
            </w:pPr>
            <w:r>
              <w:rPr>
                <w:rFonts w:ascii="Arial" w:cs="Arial" w:eastAsia="Arial" w:hAnsi="Arial"/>
                <w:sz w:val="18"/>
                <w:szCs w:val="18"/>
                <w:color w:val="auto"/>
              </w:rPr>
              <w:t>Exercise Price per Share:</w:t>
            </w:r>
          </w:p>
        </w:tc>
        <w:tc>
          <w:tcPr>
            <w:tcW w:w="96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740" w:type="dxa"/>
            <w:vAlign w:val="bottom"/>
            <w:gridSpan w:val="2"/>
          </w:tcPr>
          <w:p>
            <w:pPr>
              <w:ind w:left="300"/>
              <w:spacing w:after="0"/>
              <w:rPr>
                <w:sz w:val="20"/>
                <w:szCs w:val="20"/>
                <w:color w:val="auto"/>
              </w:rPr>
            </w:pPr>
            <w:r>
              <w:rPr>
                <w:rFonts w:ascii="Arial" w:cs="Arial" w:eastAsia="Arial" w:hAnsi="Arial"/>
                <w:sz w:val="18"/>
                <w:szCs w:val="18"/>
                <w:color w:val="auto"/>
              </w:rPr>
              <w:t>Total Number of Shares Granted:</w:t>
            </w: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740" w:type="dxa"/>
            <w:vAlign w:val="bottom"/>
            <w:gridSpan w:val="2"/>
          </w:tcPr>
          <w:p>
            <w:pPr>
              <w:ind w:left="300"/>
              <w:spacing w:after="0"/>
              <w:rPr>
                <w:sz w:val="20"/>
                <w:szCs w:val="20"/>
                <w:color w:val="auto"/>
              </w:rPr>
            </w:pPr>
            <w:r>
              <w:rPr>
                <w:rFonts w:ascii="Arial" w:cs="Arial" w:eastAsia="Arial" w:hAnsi="Arial"/>
                <w:sz w:val="18"/>
                <w:szCs w:val="18"/>
                <w:color w:val="auto"/>
              </w:rPr>
              <w:t>Total Exercise Price:</w:t>
            </w:r>
          </w:p>
        </w:tc>
        <w:tc>
          <w:tcPr>
            <w:tcW w:w="96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740" w:type="dxa"/>
            <w:vAlign w:val="bottom"/>
            <w:gridSpan w:val="2"/>
          </w:tcPr>
          <w:p>
            <w:pPr>
              <w:ind w:left="300"/>
              <w:spacing w:after="0"/>
              <w:rPr>
                <w:sz w:val="20"/>
                <w:szCs w:val="20"/>
                <w:color w:val="auto"/>
              </w:rPr>
            </w:pPr>
            <w:r>
              <w:rPr>
                <w:rFonts w:ascii="Arial" w:cs="Arial" w:eastAsia="Arial" w:hAnsi="Arial"/>
                <w:sz w:val="18"/>
                <w:szCs w:val="18"/>
                <w:color w:val="auto"/>
              </w:rPr>
              <w:t>Type of Option:</w:t>
            </w:r>
          </w:p>
        </w:tc>
        <w:tc>
          <w:tcPr>
            <w:tcW w:w="1800" w:type="dxa"/>
            <w:vAlign w:val="bottom"/>
            <w:gridSpan w:val="3"/>
          </w:tcPr>
          <w:p>
            <w:pPr>
              <w:jc w:val="center"/>
              <w:ind w:right="20"/>
              <w:spacing w:after="0"/>
              <w:rPr>
                <w:sz w:val="20"/>
                <w:szCs w:val="20"/>
                <w:color w:val="auto"/>
              </w:rPr>
            </w:pPr>
            <w:r>
              <w:rPr>
                <w:rFonts w:ascii="Arial" w:cs="Arial" w:eastAsia="Arial" w:hAnsi="Arial"/>
                <w:sz w:val="18"/>
                <w:szCs w:val="18"/>
                <w:color w:val="auto"/>
              </w:rPr>
              <w:t>X</w:t>
            </w:r>
          </w:p>
        </w:tc>
        <w:tc>
          <w:tcPr>
            <w:tcW w:w="4040" w:type="dxa"/>
            <w:vAlign w:val="bottom"/>
          </w:tcPr>
          <w:p>
            <w:pPr>
              <w:ind w:left="1380"/>
              <w:spacing w:after="0"/>
              <w:rPr>
                <w:sz w:val="20"/>
                <w:szCs w:val="20"/>
                <w:color w:val="auto"/>
              </w:rPr>
            </w:pPr>
            <w:r>
              <w:rPr>
                <w:rFonts w:ascii="Arial" w:cs="Arial" w:eastAsia="Arial" w:hAnsi="Arial"/>
                <w:sz w:val="18"/>
                <w:szCs w:val="18"/>
                <w:color w:val="auto"/>
              </w:rPr>
              <w:t>Incentive Stock Option</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40" w:type="dxa"/>
            <w:vAlign w:val="bottom"/>
            <w:vMerge w:val="restart"/>
          </w:tcPr>
          <w:p>
            <w:pPr>
              <w:ind w:left="1380"/>
              <w:spacing w:after="0"/>
              <w:rPr>
                <w:sz w:val="20"/>
                <w:szCs w:val="20"/>
                <w:color w:val="auto"/>
              </w:rPr>
            </w:pPr>
            <w:r>
              <w:rPr>
                <w:rFonts w:ascii="Arial" w:cs="Arial" w:eastAsia="Arial" w:hAnsi="Arial"/>
                <w:sz w:val="18"/>
                <w:szCs w:val="18"/>
                <w:color w:val="auto"/>
              </w:rPr>
              <w:t>Nonstatutory Stock Option</w:t>
            </w:r>
          </w:p>
        </w:tc>
        <w:tc>
          <w:tcPr>
            <w:tcW w:w="0" w:type="dxa"/>
            <w:vAlign w:val="bottom"/>
          </w:tcPr>
          <w:p>
            <w:pPr>
              <w:spacing w:after="0"/>
              <w:rPr>
                <w:sz w:val="1"/>
                <w:szCs w:val="1"/>
                <w:color w:val="auto"/>
              </w:rPr>
            </w:pPr>
          </w:p>
        </w:tc>
      </w:tr>
      <w:tr>
        <w:trPr>
          <w:trHeight w:val="426"/>
        </w:trPr>
        <w:tc>
          <w:tcPr>
            <w:tcW w:w="1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740" w:type="dxa"/>
            <w:vAlign w:val="bottom"/>
            <w:gridSpan w:val="2"/>
          </w:tcPr>
          <w:p>
            <w:pPr>
              <w:ind w:left="300"/>
              <w:spacing w:after="0"/>
              <w:rPr>
                <w:sz w:val="20"/>
                <w:szCs w:val="20"/>
                <w:color w:val="auto"/>
              </w:rPr>
            </w:pPr>
            <w:r>
              <w:rPr>
                <w:rFonts w:ascii="Arial" w:cs="Arial" w:eastAsia="Arial" w:hAnsi="Arial"/>
                <w:sz w:val="18"/>
                <w:szCs w:val="18"/>
                <w:color w:val="auto"/>
              </w:rPr>
              <w:t>Term/Expiration Date:</w:t>
            </w: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740" w:type="dxa"/>
            <w:vAlign w:val="bottom"/>
            <w:gridSpan w:val="2"/>
          </w:tcPr>
          <w:p>
            <w:pPr>
              <w:spacing w:after="0"/>
              <w:rPr>
                <w:sz w:val="20"/>
                <w:szCs w:val="20"/>
                <w:color w:val="auto"/>
              </w:rPr>
            </w:pPr>
            <w:r>
              <w:rPr>
                <w:rFonts w:ascii="Arial" w:cs="Arial" w:eastAsia="Arial" w:hAnsi="Arial"/>
                <w:sz w:val="18"/>
                <w:szCs w:val="18"/>
                <w:color w:val="auto"/>
              </w:rPr>
              <w:t>Vesting Schedule:</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Option shall be exercisable, in whole or in part, according to the following vesting schedule: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[25% of the total number of Shares subject to such Option (rounded down to the nearest whole number) shall vest and become exercisable on the one year anniversary of the Vesting Commencement Date, and 1/48th of the total number of Shares subject to such Option (rounded down to the nearest whole number) shall vest and become exercisable on each monthly anniversary of the Vesting Commencement Date thereafter, for so long as the Participant continues to act as a Service Provider through each applicable vesting event, so that the 100% of the Shares subject to the Option are vested and exercisable on the four year anniversary of the 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3" w:name="page144"/>
    <w:bookmarkEnd w:id="143"/>
    <w:p>
      <w:pPr>
        <w:ind w:left="660"/>
        <w:spacing w:after="0"/>
        <w:rPr>
          <w:sz w:val="20"/>
          <w:szCs w:val="20"/>
          <w:color w:val="auto"/>
        </w:rPr>
      </w:pPr>
      <w:r>
        <w:rPr>
          <w:rFonts w:ascii="Arial" w:cs="Arial" w:eastAsia="Arial" w:hAnsi="Arial"/>
          <w:sz w:val="18"/>
          <w:szCs w:val="18"/>
          <w:u w:val="single" w:color="auto"/>
          <w:color w:val="auto"/>
        </w:rPr>
        <w:t>Termination Period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Option shall be exercisable for three (3) months after Participant ceases to be a Service Provider, unless such termination is as a result of</w:t>
      </w:r>
    </w:p>
    <w:p>
      <w:pPr>
        <w:spacing w:after="0" w:line="46" w:lineRule="exact"/>
        <w:rPr>
          <w:sz w:val="20"/>
          <w:szCs w:val="20"/>
          <w:color w:val="auto"/>
        </w:rPr>
      </w:pPr>
    </w:p>
    <w:p>
      <w:pPr>
        <w:ind w:left="220" w:hanging="212"/>
        <w:spacing w:after="0"/>
        <w:tabs>
          <w:tab w:leader="none" w:pos="2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Participant’s death or Disability, in which case this Option shall be exercisable for twelve (12) months after Participant ceases to be a Service Provider or</w:t>
      </w:r>
    </w:p>
    <w:p>
      <w:pPr>
        <w:spacing w:after="0" w:line="32" w:lineRule="exact"/>
        <w:rPr>
          <w:rFonts w:ascii="Arial" w:cs="Arial" w:eastAsia="Arial" w:hAnsi="Arial"/>
          <w:sz w:val="16"/>
          <w:szCs w:val="16"/>
          <w:color w:val="auto"/>
        </w:rPr>
      </w:pPr>
    </w:p>
    <w:p>
      <w:pPr>
        <w:jc w:val="both"/>
        <w:ind w:firstLine="8"/>
        <w:spacing w:after="0" w:line="271" w:lineRule="auto"/>
        <w:tabs>
          <w:tab w:leader="none" w:pos="286"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Participant’s termination by the Company for Cause (as defined below), in which case this Option shall cease to be exercisable as of the date that Participant ceases to be a Service Provider,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Option shall not terminate (and shall remain outstanding) until the three (3)-month anniversary of the date that Participant ceases to be a Service Provider (but shall not vest or be exercisable following the date that Participant ceases to be a Service Provider unless otherwise provided by the Company). Notwithstanding the foregoing sentence, in no event may this Option be exercised after the Term/Expiration Date as provided above and this Option may be subject to earlier termination as provided in Section 8 of the Plan.</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purposes hereof, “</w:t>
      </w:r>
      <w:r>
        <w:rPr>
          <w:rFonts w:ascii="Arial" w:cs="Arial" w:eastAsia="Arial" w:hAnsi="Arial"/>
          <w:sz w:val="18"/>
          <w:szCs w:val="18"/>
          <w:u w:val="single" w:color="auto"/>
          <w:color w:val="auto"/>
        </w:rPr>
        <w:t>Cause</w:t>
      </w:r>
      <w:r>
        <w:rPr>
          <w:rFonts w:ascii="Arial" w:cs="Arial" w:eastAsia="Arial" w:hAnsi="Arial"/>
          <w:sz w:val="18"/>
          <w:szCs w:val="18"/>
          <w:color w:val="auto"/>
        </w:rPr>
        <w:t>” means, with respect to the Participant, the occurrence of any of the following events (unless another definition is provided in an employment agreement or other applicable written agreement with the Participant and the Company): (i) the Participant’s willful failure to perform his or her duties and responsibilities to the Company or the Participant’s violation of any written Company policy; (ii) the Participant’s commission of any act of fraud, embezzlement, dishonesty or any other willful misconduct that has caused or is reasonably expected to result in injury to the Company; (iii) the Participant’s unauthorized use or disclosure of any proprietary information or trade secrets of the Company or any other party to whom the Participant owes an obligation of nondisclosure as a result of his or her relationship with the Company; or (iv) the Participant’s material breach of any of his or her obligations under any written agreement or covenant with the Company. The determination as to whether the Participant’s termination as a Service Provider has occurred for Cause shall be made in good faith by the Company and shall be final and binding on the Participant. The foregoing definition does not in any way limit the Company’s ability to terminate the Participant’s employment or consulting relationship at any time, subject to Applicable Laws.</w:t>
      </w:r>
    </w:p>
    <w:p>
      <w:pPr>
        <w:spacing w:after="0" w:line="190"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w:t>
      </w:r>
    </w:p>
    <w:p>
      <w:pPr>
        <w:spacing w:after="0" w:line="229" w:lineRule="exact"/>
        <w:rPr>
          <w:rFonts w:ascii="Arial" w:cs="Arial" w:eastAsia="Arial" w:hAnsi="Arial"/>
          <w:sz w:val="18"/>
          <w:szCs w:val="18"/>
          <w:b w:val="1"/>
          <w:bCs w:val="1"/>
          <w:color w:val="auto"/>
        </w:rPr>
      </w:pPr>
    </w:p>
    <w:p>
      <w:pPr>
        <w:ind w:right="60" w:firstLine="656"/>
        <w:spacing w:after="0" w:line="257" w:lineRule="auto"/>
        <w:tabs>
          <w:tab w:leader="none" w:pos="1323"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The Administrator of the Company hereby grants to the Participant named in the Notice of Stock Option Grant in Part I of this Agreement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an option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to purchase the number of Shares set forth in the Notice of Stock Option Grant, at the exercise price per Share set forth in the Notice of Stock Option Grant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and subject to the terms and conditions of the Plan, which is incorporated herein by reference. Subject to Section 14 of the Plan, in the event of a conflict between the terms and conditions of the Plan and this Option Agreement, the terms and conditions of the Plan shall prevail.</w:t>
      </w:r>
    </w:p>
    <w:p>
      <w:pPr>
        <w:spacing w:after="0" w:line="18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If designated in the Notice of Stock Option Grant as an Incentive Stock Option (“</w:t>
      </w:r>
      <w:r>
        <w:rPr>
          <w:rFonts w:ascii="Arial" w:cs="Arial" w:eastAsia="Arial" w:hAnsi="Arial"/>
          <w:sz w:val="18"/>
          <w:szCs w:val="18"/>
          <w:b w:val="1"/>
          <w:bCs w:val="1"/>
          <w:i w:val="1"/>
          <w:iCs w:val="1"/>
          <w:color w:val="auto"/>
        </w:rPr>
        <w:t>ISO</w:t>
      </w:r>
      <w:r>
        <w:rPr>
          <w:rFonts w:ascii="Arial" w:cs="Arial" w:eastAsia="Arial" w:hAnsi="Arial"/>
          <w:sz w:val="18"/>
          <w:szCs w:val="18"/>
          <w:color w:val="auto"/>
        </w:rPr>
        <w:t>”), this Option is intended to qualify as an Incentive Stock Option as defined in Section 422 of the Code. Nevertheless, to the extent that it exceeds the $100,000 rule of Code Section 422(d), this Option shall be treated as a Nonstatutory Stock Option (“</w:t>
      </w:r>
      <w:r>
        <w:rPr>
          <w:rFonts w:ascii="Arial" w:cs="Arial" w:eastAsia="Arial" w:hAnsi="Arial"/>
          <w:sz w:val="18"/>
          <w:szCs w:val="18"/>
          <w:b w:val="1"/>
          <w:bCs w:val="1"/>
          <w:i w:val="1"/>
          <w:iCs w:val="1"/>
          <w:color w:val="auto"/>
        </w:rPr>
        <w:t>NSO</w:t>
      </w:r>
      <w:r>
        <w:rPr>
          <w:rFonts w:ascii="Arial" w:cs="Arial" w:eastAsia="Arial" w:hAnsi="Arial"/>
          <w:sz w:val="18"/>
          <w:szCs w:val="18"/>
          <w:color w:val="auto"/>
        </w:rPr>
        <w:t>”).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ind w:left="1300" w:hanging="64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00" w:firstLine="1304"/>
        <w:spacing w:after="0" w:line="277" w:lineRule="auto"/>
        <w:tabs>
          <w:tab w:leader="none" w:pos="2035"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shall be exercisable during its term in accordance with the Vesting Schedule set out in the Notice of Stock Option Grant and with the applicable provisions of the Plan and this Option Agreement.</w:t>
      </w:r>
    </w:p>
    <w:p>
      <w:pPr>
        <w:spacing w:after="0" w:line="170" w:lineRule="exact"/>
        <w:rPr>
          <w:rFonts w:ascii="Arial" w:cs="Arial" w:eastAsia="Arial" w:hAnsi="Arial"/>
          <w:sz w:val="18"/>
          <w:szCs w:val="18"/>
          <w:color w:val="auto"/>
        </w:rPr>
      </w:pPr>
    </w:p>
    <w:p>
      <w:pPr>
        <w:jc w:val="both"/>
        <w:ind w:firstLine="1304"/>
        <w:spacing w:after="0" w:line="273" w:lineRule="auto"/>
        <w:tabs>
          <w:tab w:leader="none" w:pos="2113" w:val="left"/>
        </w:tabs>
        <w:numPr>
          <w:ilvl w:val="1"/>
          <w:numId w:val="116"/>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This Option shall be exercisable by delivery of an exercise notice in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Exercise Notice</w:t>
      </w:r>
      <w:r>
        <w:rPr>
          <w:rFonts w:ascii="Arial" w:cs="Arial" w:eastAsia="Arial" w:hAnsi="Arial"/>
          <w:sz w:val="17"/>
          <w:szCs w:val="17"/>
          <w:color w:val="auto"/>
        </w:rPr>
        <w:t>”) or in a manner and pursuant to such procedures as the Administrator may determine, which shall state the election to exercise the Option, the number of Shares with respect to which the Option is being exercised (the “</w:t>
      </w:r>
      <w:r>
        <w:rPr>
          <w:rFonts w:ascii="Arial" w:cs="Arial" w:eastAsia="Arial" w:hAnsi="Arial"/>
          <w:sz w:val="17"/>
          <w:szCs w:val="17"/>
          <w:b w:val="1"/>
          <w:bCs w:val="1"/>
          <w:i w:val="1"/>
          <w:iCs w:val="1"/>
          <w:color w:val="auto"/>
        </w:rPr>
        <w:t>Exercised Shares</w:t>
      </w:r>
      <w:r>
        <w:rPr>
          <w:rFonts w:ascii="Arial" w:cs="Arial" w:eastAsia="Arial" w:hAnsi="Arial"/>
          <w:sz w:val="17"/>
          <w:szCs w:val="17"/>
          <w:color w:val="auto"/>
        </w:rPr>
        <w:t>”),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84" w:lineRule="exact"/>
        <w:rPr>
          <w:sz w:val="20"/>
          <w:szCs w:val="20"/>
          <w:color w:val="auto"/>
        </w:rPr>
      </w:pPr>
    </w:p>
    <w:p>
      <w:pPr>
        <w:jc w:val="both"/>
        <w:ind w:firstLine="656"/>
        <w:spacing w:after="0" w:line="286" w:lineRule="auto"/>
        <w:tabs>
          <w:tab w:leader="none" w:pos="1566"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Participant’s Representations</w:t>
      </w:r>
      <w:r>
        <w:rPr>
          <w:rFonts w:ascii="Arial" w:cs="Arial" w:eastAsia="Arial" w:hAnsi="Arial"/>
          <w:sz w:val="17"/>
          <w:szCs w:val="17"/>
          <w:color w:val="auto"/>
        </w:rPr>
        <w:t>. In the event the Shares have not been registered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xml:space="preserve">”),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656"/>
        <w:spacing w:after="0" w:line="270" w:lineRule="auto"/>
        <w:tabs>
          <w:tab w:leader="none" w:pos="1485"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Lock-Up Period</w:t>
      </w:r>
      <w:r>
        <w:rPr>
          <w:rFonts w:ascii="Arial" w:cs="Arial" w:eastAsia="Arial" w:hAnsi="Arial"/>
          <w:sz w:val="17"/>
          <w:szCs w:val="17"/>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NASD Rule 2711(f)(4) or NYSE Rule 472(f)(4), or any successor provisions or amendments thereto).</w:t>
      </w:r>
    </w:p>
    <w:p>
      <w:pPr>
        <w:spacing w:after="0" w:line="181"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4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Option or shares acquired pursuant to the Option shall be bound by this Section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ind w:left="1340" w:hanging="684"/>
        <w:spacing w:after="0"/>
        <w:tabs>
          <w:tab w:leader="none" w:pos="1340"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shall be by any of the following, or a combination thereof, at the election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Participant:</w:t>
      </w:r>
    </w:p>
    <w:p>
      <w:pPr>
        <w:spacing w:after="0" w:line="210" w:lineRule="exact"/>
        <w:rPr>
          <w:rFonts w:ascii="Arial" w:cs="Arial" w:eastAsia="Arial" w:hAnsi="Arial"/>
          <w:sz w:val="16"/>
          <w:szCs w:val="16"/>
          <w:color w:val="auto"/>
        </w:rPr>
      </w:pPr>
    </w:p>
    <w:p>
      <w:pPr>
        <w:ind w:left="1960" w:hanging="656"/>
        <w:spacing w:after="0"/>
        <w:tabs>
          <w:tab w:leader="none" w:pos="19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consideration received by the Company under a formal cashless exercise program adopted by the Company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Plan; or</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(d)          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spacing w:after="0" w:line="184" w:lineRule="exact"/>
        <w:rPr>
          <w:sz w:val="20"/>
          <w:szCs w:val="20"/>
          <w:color w:val="auto"/>
        </w:rPr>
      </w:pPr>
    </w:p>
    <w:p>
      <w:pPr>
        <w:jc w:val="both"/>
        <w:ind w:firstLine="656"/>
        <w:spacing w:after="0" w:line="263" w:lineRule="auto"/>
        <w:tabs>
          <w:tab w:leader="none" w:pos="1458"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Restrictions on Exercise</w:t>
      </w:r>
      <w:r>
        <w:rPr>
          <w:rFonts w:ascii="Arial" w:cs="Arial" w:eastAsia="Arial" w:hAnsi="Arial"/>
          <w:sz w:val="18"/>
          <w:szCs w:val="18"/>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           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(b)           Further, until the Company becomes subject to the reporting requirements of Section 13 or 15(d) of the Exchange Act, or after the Administrator determines that it is, will, or may no longer be relying upon the exemption from registration of Options under the Exchange Act as set forth in Rule 12h-1(f) promulgated under the Exchange Act (the “</w:t>
      </w:r>
      <w:r>
        <w:rPr>
          <w:rFonts w:ascii="Arial" w:cs="Arial" w:eastAsia="Arial" w:hAnsi="Arial"/>
          <w:sz w:val="18"/>
          <w:szCs w:val="18"/>
          <w:b w:val="1"/>
          <w:bCs w:val="1"/>
          <w:i w:val="1"/>
          <w:iCs w:val="1"/>
          <w:color w:val="auto"/>
        </w:rPr>
        <w:t>Reliance End Date</w:t>
      </w:r>
      <w:r>
        <w:rPr>
          <w:rFonts w:ascii="Arial" w:cs="Arial" w:eastAsia="Arial" w:hAnsi="Arial"/>
          <w:sz w:val="18"/>
          <w:szCs w:val="18"/>
          <w:color w:val="auto"/>
        </w:rPr>
        <w:t>”), Participant shall not transfer this Option or, prior to exercise, the Shares subject to this Option, in any manner other than (i) to persons who are “family members” (as defined in Rule 701(c)(3) of the Securities Act) through gifts or domestic relations orders, or</w:t>
      </w:r>
    </w:p>
    <w:p>
      <w:pPr>
        <w:spacing w:after="0" w:line="188" w:lineRule="exact"/>
        <w:rPr>
          <w:sz w:val="20"/>
          <w:szCs w:val="20"/>
          <w:color w:val="auto"/>
        </w:rPr>
      </w:pPr>
    </w:p>
    <w:p>
      <w:pPr>
        <w:jc w:val="both"/>
        <w:ind w:firstLine="8"/>
        <w:spacing w:after="0" w:line="259" w:lineRule="auto"/>
        <w:tabs>
          <w:tab w:leader="none" w:pos="26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an executor or guardian of Participant upon the death or disability of Participant. Until the Reliance End Date, the Options and, prior to exercise, the Shares subject to this Option, may not be pledged, hypothecated or otherwise transferred or disposed of, including by entering into any short position, any “put equivalent position” or any “call equivalent position” (as defined in Rule 16a-1(h) and Rule 16a-1(b) of the Exchange Act, respectively), other than as permitted in clauses (i) and (ii) of this paragraph.</w:t>
      </w:r>
    </w:p>
    <w:p>
      <w:pPr>
        <w:spacing w:after="0" w:line="186" w:lineRule="exact"/>
        <w:rPr>
          <w:rFonts w:ascii="Arial" w:cs="Arial" w:eastAsia="Arial" w:hAnsi="Arial"/>
          <w:sz w:val="18"/>
          <w:szCs w:val="18"/>
          <w:color w:val="auto"/>
        </w:rPr>
      </w:pPr>
    </w:p>
    <w:p>
      <w:pPr>
        <w:ind w:right="240" w:firstLine="656"/>
        <w:spacing w:after="0" w:line="277" w:lineRule="auto"/>
        <w:tabs>
          <w:tab w:leader="none" w:pos="1323"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This Option may be exercised only within the term set out in the Notice of Stock Option Grant, and may be exercised during such term only in accordance with the Plan and the terms of this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ind w:left="644" w:hanging="644"/>
        <w:spacing w:after="0"/>
        <w:tabs>
          <w:tab w:leader="none" w:pos="644"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Tax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4"/>
        <w:spacing w:after="0" w:line="259" w:lineRule="auto"/>
        <w:tabs>
          <w:tab w:leader="none" w:pos="1690"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186" w:lineRule="exact"/>
        <w:rPr>
          <w:rFonts w:ascii="Arial" w:cs="Arial" w:eastAsia="Arial" w:hAnsi="Arial"/>
          <w:sz w:val="18"/>
          <w:szCs w:val="18"/>
          <w:color w:val="auto"/>
        </w:rPr>
      </w:pPr>
    </w:p>
    <w:p>
      <w:pPr>
        <w:jc w:val="both"/>
        <w:ind w:left="-656" w:firstLine="1304"/>
        <w:spacing w:after="0" w:line="279" w:lineRule="auto"/>
        <w:tabs>
          <w:tab w:leader="none" w:pos="1389" w:val="left"/>
        </w:tabs>
        <w:numPr>
          <w:ilvl w:val="1"/>
          <w:numId w:val="121"/>
        </w:numPr>
        <w:rPr>
          <w:rFonts w:ascii="Arial" w:cs="Arial" w:eastAsia="Arial" w:hAnsi="Arial"/>
          <w:sz w:val="17"/>
          <w:szCs w:val="17"/>
          <w:color w:val="auto"/>
        </w:rPr>
      </w:pPr>
      <w:r>
        <w:rPr>
          <w:rFonts w:ascii="Arial" w:cs="Arial" w:eastAsia="Arial" w:hAnsi="Arial"/>
          <w:sz w:val="17"/>
          <w:szCs w:val="17"/>
          <w:u w:val="single" w:color="auto"/>
          <w:color w:val="auto"/>
        </w:rPr>
        <w:t>Notice of Disqualifying Disposition of ISO Shares</w:t>
      </w:r>
      <w:r>
        <w:rPr>
          <w:rFonts w:ascii="Arial" w:cs="Arial" w:eastAsia="Arial" w:hAnsi="Arial"/>
          <w:sz w:val="17"/>
          <w:szCs w:val="17"/>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71" w:lineRule="exact"/>
        <w:rPr>
          <w:rFonts w:ascii="Arial" w:cs="Arial" w:eastAsia="Arial" w:hAnsi="Arial"/>
          <w:sz w:val="17"/>
          <w:szCs w:val="17"/>
          <w:color w:val="auto"/>
        </w:rPr>
      </w:pPr>
    </w:p>
    <w:p>
      <w:pPr>
        <w:jc w:val="both"/>
        <w:ind w:left="-656" w:firstLine="1304"/>
        <w:spacing w:after="0" w:line="270" w:lineRule="auto"/>
        <w:tabs>
          <w:tab w:leader="none" w:pos="1501" w:val="left"/>
        </w:tabs>
        <w:numPr>
          <w:ilvl w:val="1"/>
          <w:numId w:val="121"/>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xml:space="preserve"> Under Code Section 409A, an Option that vests after December 31, 2004 (or that vested on or prior to such date but which was materially modified after October 3, 2004) that was granted with a per Share exercise price that is determined by the Internal Revenue Service (the “</w:t>
      </w:r>
      <w:r>
        <w:rPr>
          <w:rFonts w:ascii="Arial" w:cs="Arial" w:eastAsia="Arial" w:hAnsi="Arial"/>
          <w:sz w:val="17"/>
          <w:szCs w:val="17"/>
          <w:b w:val="1"/>
          <w:bCs w:val="1"/>
          <w:i w:val="1"/>
          <w:iCs w:val="1"/>
          <w:color w:val="auto"/>
        </w:rPr>
        <w:t>IRS</w:t>
      </w:r>
      <w:r>
        <w:rPr>
          <w:rFonts w:ascii="Arial" w:cs="Arial" w:eastAsia="Arial" w:hAnsi="Arial"/>
          <w:sz w:val="17"/>
          <w:szCs w:val="17"/>
          <w:color w:val="auto"/>
        </w:rPr>
        <w:t>”) to be less than the Fair Market Value of a Share on the date of grant (a “</w:t>
      </w:r>
      <w:r>
        <w:rPr>
          <w:rFonts w:ascii="Arial" w:cs="Arial" w:eastAsia="Arial" w:hAnsi="Arial"/>
          <w:sz w:val="17"/>
          <w:szCs w:val="17"/>
          <w:b w:val="1"/>
          <w:bCs w:val="1"/>
          <w:i w:val="1"/>
          <w:iCs w:val="1"/>
          <w:color w:val="auto"/>
        </w:rPr>
        <w:t>discount option</w:t>
      </w:r>
      <w:r>
        <w:rPr>
          <w:rFonts w:ascii="Arial" w:cs="Arial" w:eastAsia="Arial" w:hAnsi="Arial"/>
          <w:sz w:val="17"/>
          <w:szCs w:val="17"/>
          <w:color w:val="auto"/>
        </w:rPr>
        <w:t>”) may be considered “deferred compensation.” An Option that is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80" w:lineRule="exact"/>
        <w:rPr>
          <w:rFonts w:ascii="Arial" w:cs="Arial" w:eastAsia="Arial" w:hAnsi="Arial"/>
          <w:sz w:val="17"/>
          <w:szCs w:val="17"/>
          <w:color w:val="auto"/>
        </w:rPr>
      </w:pPr>
    </w:p>
    <w:p>
      <w:pPr>
        <w:jc w:val="both"/>
        <w:ind w:left="-656" w:firstLine="656"/>
        <w:spacing w:after="0" w:line="257" w:lineRule="auto"/>
        <w:tabs>
          <w:tab w:leader="none" w:pos="865"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Option Agreement is governed by the internal substantive laws but not the choice of law rules of Delaware.</w:t>
      </w:r>
    </w:p>
    <w:p>
      <w:pPr>
        <w:spacing w:after="0" w:line="187" w:lineRule="exact"/>
        <w:rPr>
          <w:rFonts w:ascii="Arial" w:cs="Arial" w:eastAsia="Arial" w:hAnsi="Arial"/>
          <w:sz w:val="18"/>
          <w:szCs w:val="18"/>
          <w:color w:val="auto"/>
        </w:rPr>
      </w:pPr>
    </w:p>
    <w:p>
      <w:pPr>
        <w:jc w:val="both"/>
        <w:ind w:left="-656" w:firstLine="656"/>
        <w:spacing w:after="0" w:line="270" w:lineRule="auto"/>
        <w:tabs>
          <w:tab w:leader="none" w:pos="1020"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415290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47" w:name="page148"/>
    <w:bookmarkEnd w:id="147"/>
    <w:p>
      <w:pPr>
        <w:jc w:val="both"/>
        <w:ind w:firstLine="648"/>
        <w:spacing w:after="0" w:line="275" w:lineRule="auto"/>
        <w:rPr>
          <w:sz w:val="20"/>
          <w:szCs w:val="20"/>
          <w:color w:val="auto"/>
        </w:rPr>
      </w:pPr>
      <w:r>
        <w:rPr>
          <w:rFonts w:ascii="Arial" w:cs="Arial" w:eastAsia="Arial" w:hAnsi="Arial"/>
          <w:sz w:val="17"/>
          <w:szCs w:val="17"/>
          <w:color w:val="auto"/>
        </w:rPr>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8280" w:type="dxa"/>
            <w:vAlign w:val="bottom"/>
          </w:tcPr>
          <w:p>
            <w:pPr>
              <w:ind w:left="1580"/>
              <w:spacing w:after="0"/>
              <w:rPr>
                <w:sz w:val="20"/>
                <w:szCs w:val="20"/>
                <w:color w:val="auto"/>
              </w:rPr>
            </w:pPr>
            <w:r>
              <w:rPr>
                <w:rFonts w:ascii="Arial" w:cs="Arial" w:eastAsia="Arial" w:hAnsi="Arial"/>
                <w:sz w:val="18"/>
                <w:szCs w:val="18"/>
                <w:b w:val="1"/>
                <w:bCs w:val="1"/>
                <w:color w:val="auto"/>
              </w:rPr>
              <w:t>SUREFIRE MEDICAL, INC. DBA TRISALUS™ LIFE SCIENCES</w:t>
            </w:r>
          </w:p>
        </w:tc>
        <w:tc>
          <w:tcPr>
            <w:tcW w:w="0" w:type="dxa"/>
            <w:vAlign w:val="bottom"/>
          </w:tcPr>
          <w:p>
            <w:pPr>
              <w:spacing w:after="0"/>
              <w:rPr>
                <w:sz w:val="1"/>
                <w:szCs w:val="1"/>
                <w:color w:val="auto"/>
              </w:rPr>
            </w:pP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Signature</w:t>
            </w:r>
          </w:p>
        </w:tc>
        <w:tc>
          <w:tcPr>
            <w:tcW w:w="8280" w:type="dxa"/>
            <w:vAlign w:val="bottom"/>
          </w:tcPr>
          <w:p>
            <w:pPr>
              <w:ind w:left="158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Print Name</w:t>
            </w:r>
          </w:p>
        </w:tc>
        <w:tc>
          <w:tcPr>
            <w:tcW w:w="8280" w:type="dxa"/>
            <w:vAlign w:val="bottom"/>
          </w:tcPr>
          <w:p>
            <w:pPr>
              <w:ind w:left="1580"/>
              <w:spacing w:after="0"/>
              <w:rPr>
                <w:sz w:val="20"/>
                <w:szCs w:val="20"/>
                <w:color w:val="auto"/>
              </w:rPr>
            </w:pPr>
            <w:r>
              <w:rPr>
                <w:rFonts w:ascii="Arial" w:cs="Arial" w:eastAsia="Arial" w:hAnsi="Arial"/>
                <w:sz w:val="18"/>
                <w:szCs w:val="18"/>
                <w:color w:val="auto"/>
              </w:rPr>
              <w:t>Print Name</w:t>
            </w:r>
          </w:p>
        </w:tc>
        <w:tc>
          <w:tcPr>
            <w:tcW w:w="0" w:type="dxa"/>
            <w:vAlign w:val="bottom"/>
          </w:tcPr>
          <w:p>
            <w:pPr>
              <w:spacing w:after="0"/>
              <w:rPr>
                <w:sz w:val="1"/>
                <w:szCs w:val="1"/>
                <w:color w:val="auto"/>
              </w:rPr>
            </w:pPr>
          </w:p>
        </w:tc>
      </w:tr>
      <w:tr>
        <w:trPr>
          <w:trHeight w:val="432"/>
        </w:trPr>
        <w:tc>
          <w:tcPr>
            <w:tcW w:w="2960" w:type="dxa"/>
            <w:vAlign w:val="bottom"/>
            <w:vMerge w:val="restart"/>
          </w:tcPr>
          <w:p>
            <w:pPr>
              <w:spacing w:after="0"/>
              <w:rPr>
                <w:sz w:val="20"/>
                <w:szCs w:val="20"/>
                <w:color w:val="auto"/>
              </w:rPr>
            </w:pPr>
            <w:r>
              <w:rPr>
                <w:rFonts w:ascii="Arial" w:cs="Arial" w:eastAsia="Arial" w:hAnsi="Arial"/>
                <w:sz w:val="18"/>
                <w:szCs w:val="18"/>
                <w:color w:val="auto"/>
              </w:rPr>
              <w:t>Residence Address</w:t>
            </w:r>
          </w:p>
        </w:tc>
        <w:tc>
          <w:tcPr>
            <w:tcW w:w="8280" w:type="dxa"/>
            <w:vAlign w:val="bottom"/>
          </w:tcPr>
          <w:p>
            <w:pPr>
              <w:ind w:left="158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16"/>
        </w:trPr>
        <w:tc>
          <w:tcPr>
            <w:tcW w:w="2960" w:type="dxa"/>
            <w:vAlign w:val="bottom"/>
            <w:vMerge w:val="continue"/>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96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STOCK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SUREFIRE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DBA TRISALUS™ LIFE 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6272 W. 91st Avenue Westminster, CO 80031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Effective as of today,______________, __, the undersigned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hereby elects to exercise Participant’s option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to purchase,______________shares of the Common Stock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SUREFIRE MEDICAL, INC. DBA TRISALUS™ LIFE</w:t>
      </w:r>
    </w:p>
    <w:p>
      <w:pPr>
        <w:spacing w:after="0" w:line="9"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SCIENCES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and pursuant to the 2009 Stock Option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Stock Option Agreement dated November 12, 2019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Participant herewith delivers to the Company the full purchase price of the Shares, as set forth in the Option Agreement, and any and all withholding taxes due in connection with the exercise of the Option.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rPr>
        <w:t>. Participant acknowledges that Participant has received, read and understood the Plan and the Option Agreement and agrees to abide by and be bound by their terms and conditions.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8 of the Plan.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Company’s Right of First Refusal</w:t>
      </w:r>
      <w:r>
        <w:rPr>
          <w:rFonts w:ascii="Arial" w:cs="Arial" w:eastAsia="Arial" w:hAnsi="Arial"/>
          <w:sz w:val="18"/>
          <w:szCs w:val="18"/>
          <w:color w:val="auto"/>
        </w:rPr>
        <w:t>. Before any Shares held by Participant or any transferee (either being sometimes referred to herein as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may be sold or otherwise transferred (including transfer by gift or operation of law), the Company or its assignee(s) shall have a right of first refusal to purchase the Shares on the terms and conditions set forth in this Section 5 (the “</w:t>
      </w:r>
      <w:r>
        <w:rPr>
          <w:rFonts w:ascii="Arial" w:cs="Arial" w:eastAsia="Arial" w:hAnsi="Arial"/>
          <w:sz w:val="18"/>
          <w:szCs w:val="18"/>
          <w:b w:val="1"/>
          <w:bCs w:val="1"/>
          <w:i w:val="1"/>
          <w:iCs w:val="1"/>
          <w:color w:val="auto"/>
        </w:rPr>
        <w:t>Right of First Refusal</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u w:val="single" w:color="auto"/>
          <w:color w:val="auto"/>
        </w:rPr>
        <w:t>Notice of Proposed Transfer</w:t>
      </w:r>
      <w:r>
        <w:rPr>
          <w:rFonts w:ascii="Arial" w:cs="Arial" w:eastAsia="Arial" w:hAnsi="Arial"/>
          <w:sz w:val="18"/>
          <w:szCs w:val="18"/>
          <w:color w:val="auto"/>
        </w:rPr>
        <w:t>. The Holder of the Shares shall deliver to the Company a written notice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stating: (i) the Holder’s bona fide intention to sell or otherwise transfer such Shares; (ii) the name of each proposed purchaser or other transferee (“</w:t>
      </w:r>
      <w:r>
        <w:rPr>
          <w:rFonts w:ascii="Arial" w:cs="Arial" w:eastAsia="Arial" w:hAnsi="Arial"/>
          <w:sz w:val="18"/>
          <w:szCs w:val="18"/>
          <w:b w:val="1"/>
          <w:bCs w:val="1"/>
          <w:i w:val="1"/>
          <w:iCs w:val="1"/>
          <w:color w:val="auto"/>
        </w:rPr>
        <w:t>Proposed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Transferee</w:t>
      </w:r>
      <w:r>
        <w:rPr>
          <w:rFonts w:ascii="Arial" w:cs="Arial" w:eastAsia="Arial" w:hAnsi="Arial"/>
          <w:sz w:val="18"/>
          <w:szCs w:val="18"/>
          <w:color w:val="auto"/>
        </w:rPr>
        <w:t>”); (iii) the number of Shares to be transferred to each Proposed Transferee; and (iv) the bona fide cash price or other consideration for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 proposes to transfer the Shares (the “</w:t>
      </w:r>
      <w:r>
        <w:rPr>
          <w:rFonts w:ascii="Arial" w:cs="Arial" w:eastAsia="Arial" w:hAnsi="Arial"/>
          <w:sz w:val="18"/>
          <w:szCs w:val="18"/>
          <w:b w:val="1"/>
          <w:bCs w:val="1"/>
          <w:i w:val="1"/>
          <w:iCs w:val="1"/>
          <w:color w:val="auto"/>
        </w:rPr>
        <w:t>Offered Price</w:t>
      </w:r>
      <w:r>
        <w:rPr>
          <w:rFonts w:ascii="Arial" w:cs="Arial" w:eastAsia="Arial" w:hAnsi="Arial"/>
          <w:sz w:val="18"/>
          <w:szCs w:val="18"/>
          <w:color w:val="auto"/>
        </w:rPr>
        <w:t>”), and the Holder shall offer the Shares at the Offered Price to the Company or its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ind w:firstLine="1296"/>
        <w:spacing w:after="0" w:line="263" w:lineRule="auto"/>
        <w:rPr>
          <w:sz w:val="20"/>
          <w:szCs w:val="20"/>
          <w:color w:val="auto"/>
        </w:rPr>
      </w:pPr>
      <w:r>
        <w:rPr>
          <w:rFonts w:ascii="Arial" w:cs="Arial" w:eastAsia="Arial" w:hAnsi="Arial"/>
          <w:sz w:val="18"/>
          <w:szCs w:val="18"/>
          <w:u w:val="single" w:color="auto"/>
          <w:color w:val="auto"/>
        </w:rPr>
        <w:t>Exercise of Right of First Refusal</w:t>
      </w:r>
      <w:r>
        <w:rPr>
          <w:rFonts w:ascii="Arial" w:cs="Arial" w:eastAsia="Arial" w:hAnsi="Arial"/>
          <w:sz w:val="18"/>
          <w:szCs w:val="18"/>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6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u w:val="single" w:color="auto"/>
          <w:color w:val="auto"/>
        </w:rPr>
        <w:t>Holder’s Right to Transfer</w:t>
      </w:r>
      <w:r>
        <w:rPr>
          <w:rFonts w:ascii="Arial" w:cs="Arial" w:eastAsia="Arial" w:hAnsi="Arial"/>
          <w:sz w:val="16"/>
          <w:szCs w:val="16"/>
          <w:color w:val="auto"/>
        </w:rPr>
        <w:t xml:space="preserve">.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sale or other transfer is consummated within one hundred and twenty (120) 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6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u w:val="single" w:color="auto"/>
          <w:color w:val="auto"/>
        </w:rPr>
        <w:t>Exception for Certain Family Transfers</w:t>
      </w:r>
      <w:r>
        <w:rPr>
          <w:rFonts w:ascii="Arial" w:cs="Arial" w:eastAsia="Arial" w:hAnsi="Arial"/>
          <w:sz w:val="16"/>
          <w:szCs w:val="16"/>
          <w:color w:val="auto"/>
        </w:rPr>
        <w:t>.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w:t>
      </w:r>
      <w:r>
        <w:rPr>
          <w:rFonts w:ascii="Arial" w:cs="Arial" w:eastAsia="Arial" w:hAnsi="Arial"/>
          <w:sz w:val="16"/>
          <w:szCs w:val="16"/>
          <w:b w:val="1"/>
          <w:bCs w:val="1"/>
          <w:i w:val="1"/>
          <w:iCs w:val="1"/>
          <w:color w:val="auto"/>
        </w:rPr>
        <w:t>Immediate Family</w:t>
      </w:r>
      <w:r>
        <w:rPr>
          <w:rFonts w:ascii="Arial" w:cs="Arial" w:eastAsia="Arial" w:hAnsi="Arial"/>
          <w:sz w:val="16"/>
          <w:szCs w:val="16"/>
          <w:color w:val="auto"/>
        </w:rPr>
        <w:t>”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61"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u w:val="single" w:color="auto"/>
          <w:color w:val="auto"/>
        </w:rPr>
        <w:t>Termination of Right of First Refusal</w:t>
      </w:r>
      <w:r>
        <w:rPr>
          <w:rFonts w:ascii="Arial" w:cs="Arial" w:eastAsia="Arial" w:hAnsi="Arial"/>
          <w:sz w:val="18"/>
          <w:szCs w:val="18"/>
          <w:color w:val="auto"/>
        </w:rPr>
        <w:t>. The Right of First Refusal shall terminate as to any Shares upon the earlier of (i) the first sale of Common Stock of the Company to the general public, or (ii) a Change in Control in which the successor corporation has equity securities that are publicly traded.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ind w:left="660"/>
        <w:spacing w:after="0"/>
        <w:rPr>
          <w:sz w:val="20"/>
          <w:szCs w:val="20"/>
          <w:color w:val="auto"/>
        </w:rPr>
      </w:pP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84" w:lineRule="exact"/>
        <w:rPr>
          <w:sz w:val="20"/>
          <w:szCs w:val="20"/>
          <w:color w:val="auto"/>
        </w:rPr>
      </w:pPr>
    </w:p>
    <w:p>
      <w:pPr>
        <w:jc w:val="both"/>
        <w:ind w:left="1620"/>
        <w:spacing w:after="0" w:line="257" w:lineRule="auto"/>
        <w:rPr>
          <w:sz w:val="20"/>
          <w:szCs w:val="20"/>
          <w:color w:val="auto"/>
        </w:rPr>
      </w:pPr>
      <w:r>
        <w:rPr>
          <w:rFonts w:ascii="Arial" w:cs="Arial" w:eastAsia="Arial" w:hAnsi="Arial"/>
          <w:sz w:val="18"/>
          <w:szCs w:val="18"/>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188" w:lineRule="exact"/>
        <w:rPr>
          <w:sz w:val="20"/>
          <w:szCs w:val="20"/>
          <w:color w:val="auto"/>
        </w:rPr>
      </w:pPr>
    </w:p>
    <w:p>
      <w:pPr>
        <w:jc w:val="both"/>
        <w:ind w:left="1620"/>
        <w:spacing w:after="0" w:line="257" w:lineRule="auto"/>
        <w:rPr>
          <w:sz w:val="20"/>
          <w:szCs w:val="20"/>
          <w:color w:val="auto"/>
        </w:rPr>
      </w:pPr>
      <w:r>
        <w:rPr>
          <w:rFonts w:ascii="Arial" w:cs="Arial" w:eastAsia="Arial" w:hAnsi="Arial"/>
          <w:sz w:val="18"/>
          <w:szCs w:val="18"/>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188" w:lineRule="exact"/>
        <w:rPr>
          <w:sz w:val="20"/>
          <w:szCs w:val="20"/>
          <w:color w:val="auto"/>
        </w:rPr>
      </w:pPr>
    </w:p>
    <w:p>
      <w:pPr>
        <w:jc w:val="both"/>
        <w:ind w:left="1620"/>
        <w:spacing w:after="0" w:line="275" w:lineRule="auto"/>
        <w:rPr>
          <w:sz w:val="20"/>
          <w:szCs w:val="20"/>
          <w:color w:val="auto"/>
        </w:rPr>
      </w:pPr>
      <w:r>
        <w:rPr>
          <w:rFonts w:ascii="Arial" w:cs="Arial" w:eastAsia="Arial" w:hAnsi="Arial"/>
          <w:sz w:val="17"/>
          <w:szCs w:val="17"/>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jc w:val="both"/>
        <w:ind w:firstLine="648"/>
        <w:spacing w:after="0" w:line="263" w:lineRule="auto"/>
        <w:rPr>
          <w:sz w:val="20"/>
          <w:szCs w:val="20"/>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Exercise Notice is governed by the internal substantive laws, but not the choice of law rules, of Delaware. In the event that any provision hereof becomes or is declared by a court of competent jurisdiction to be illegal, unenforceable or void, this Exercise Notice shall continue in full force and effect.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ind w:left="1020"/>
        <w:spacing w:after="0"/>
        <w:rPr>
          <w:sz w:val="20"/>
          <w:szCs w:val="20"/>
          <w:color w:val="auto"/>
        </w:rPr>
      </w:pPr>
      <w:r>
        <w:rPr>
          <w:rFonts w:ascii="Arial" w:cs="Arial" w:eastAsia="Arial" w:hAnsi="Arial"/>
          <w:sz w:val="17"/>
          <w:szCs w:val="17"/>
          <w:color w:val="auto"/>
        </w:rPr>
        <w:t>SUBMITTED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ACCEPTED BY:</w:t>
      </w:r>
    </w:p>
    <w:p>
      <w:pPr>
        <w:spacing w:after="0" w:line="211" w:lineRule="exact"/>
        <w:rPr>
          <w:sz w:val="20"/>
          <w:szCs w:val="20"/>
          <w:color w:val="auto"/>
        </w:rPr>
      </w:pPr>
    </w:p>
    <w:p>
      <w:pPr>
        <w:sectPr>
          <w:pgSz w:w="11900" w:h="16838" w:orient="portrait"/>
          <w:cols w:equalWidth="0" w:num="2">
            <w:col w:w="5480" w:space="720"/>
            <w:col w:w="3939"/>
          </w:cols>
          <w:pgMar w:left="320" w:top="908" w:right="1440" w:bottom="1440" w:gutter="0" w:footer="0" w:header="0"/>
        </w:sectPr>
      </w:pPr>
    </w:p>
    <w:p>
      <w:pPr>
        <w:spacing w:after="0" w:line="33"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SUREFIRE MEDICAL, INC.</w:t>
      </w:r>
    </w:p>
    <w:p>
      <w:pPr>
        <w:spacing w:after="0" w:line="200" w:lineRule="exact"/>
        <w:rPr>
          <w:sz w:val="20"/>
          <w:szCs w:val="20"/>
          <w:color w:val="auto"/>
        </w:rPr>
      </w:pPr>
    </w:p>
    <w:p>
      <w:pPr>
        <w:sectPr>
          <w:pgSz w:w="11900" w:h="16838" w:orient="portrait"/>
          <w:cols w:equalWidth="0" w:num="2">
            <w:col w:w="5480" w:space="720"/>
            <w:col w:w="3939"/>
          </w:cols>
          <w:pgMar w:left="320" w:top="908" w:right="1440" w:bottom="1440" w:gutter="0" w:footer="0" w:header="0"/>
          <w:type w:val="continuous"/>
        </w:sectPr>
      </w:pPr>
    </w:p>
    <w:p>
      <w:pPr>
        <w:spacing w:after="0" w:line="25" w:lineRule="exact"/>
        <w:rPr>
          <w:sz w:val="20"/>
          <w:szCs w:val="20"/>
          <w:color w:val="auto"/>
        </w:rPr>
      </w:pPr>
    </w:p>
    <w:p>
      <w:pPr>
        <w:ind w:left="6200"/>
        <w:spacing w:after="0"/>
        <w:rPr>
          <w:sz w:val="20"/>
          <w:szCs w:val="20"/>
          <w:color w:val="auto"/>
        </w:rPr>
      </w:pPr>
      <w:r>
        <w:rPr>
          <w:rFonts w:ascii="Arial" w:cs="Arial" w:eastAsia="Arial" w:hAnsi="Arial"/>
          <w:sz w:val="17"/>
          <w:szCs w:val="17"/>
          <w:b w:val="1"/>
          <w:bCs w:val="1"/>
          <w:color w:val="auto"/>
        </w:rPr>
        <w:t>DBA TRISALUS™ LIFE SCIENCES</w:t>
      </w:r>
    </w:p>
    <w:p>
      <w:pPr>
        <w:sectPr>
          <w:pgSz w:w="11900" w:h="16838" w:orient="portrait"/>
          <w:cols w:equalWidth="0" w:num="1">
            <w:col w:w="10139"/>
          </w:cols>
          <w:pgMar w:left="320" w:top="908"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1540" w:type="dxa"/>
            <w:vAlign w:val="bottom"/>
          </w:tcPr>
          <w:p>
            <w:pPr>
              <w:spacing w:after="0"/>
              <w:rPr>
                <w:sz w:val="17"/>
                <w:szCs w:val="17"/>
                <w:color w:val="auto"/>
              </w:rPr>
            </w:pPr>
          </w:p>
        </w:tc>
      </w:tr>
      <w:tr>
        <w:trPr>
          <w:trHeight w:val="453"/>
        </w:trPr>
        <w:tc>
          <w:tcPr>
            <w:tcW w:w="1700" w:type="dxa"/>
            <w:vAlign w:val="bottom"/>
          </w:tcPr>
          <w:p>
            <w:pPr>
              <w:spacing w:after="0"/>
              <w:rPr>
                <w:sz w:val="24"/>
                <w:szCs w:val="24"/>
                <w:color w:val="auto"/>
              </w:rPr>
            </w:pPr>
          </w:p>
        </w:tc>
        <w:tc>
          <w:tcPr>
            <w:tcW w:w="5940" w:type="dxa"/>
            <w:vAlign w:val="bottom"/>
            <w:gridSpan w:val="3"/>
          </w:tcPr>
          <w:p>
            <w:pPr>
              <w:jc w:val="center"/>
              <w:ind w:left="1810"/>
              <w:spacing w:after="0"/>
              <w:rPr>
                <w:sz w:val="20"/>
                <w:szCs w:val="20"/>
                <w:color w:val="auto"/>
              </w:rPr>
            </w:pPr>
            <w:r>
              <w:rPr>
                <w:rFonts w:ascii="Arial" w:cs="Arial" w:eastAsia="Arial" w:hAnsi="Arial"/>
                <w:sz w:val="18"/>
                <w:szCs w:val="18"/>
                <w:b w:val="1"/>
                <w:bCs w:val="1"/>
                <w:color w:val="auto"/>
              </w:rPr>
              <w:t>INVESTMENT REPRESENTATION STATEMENT</w:t>
            </w:r>
          </w:p>
        </w:tc>
      </w:tr>
      <w:tr>
        <w:trPr>
          <w:trHeight w:val="432"/>
        </w:trPr>
        <w:tc>
          <w:tcPr>
            <w:tcW w:w="1700" w:type="dxa"/>
            <w:vAlign w:val="bottom"/>
          </w:tcPr>
          <w:p>
            <w:pPr>
              <w:spacing w:after="0"/>
              <w:rPr>
                <w:sz w:val="20"/>
                <w:szCs w:val="20"/>
                <w:color w:val="auto"/>
              </w:rPr>
            </w:pPr>
            <w:r>
              <w:rPr>
                <w:rFonts w:ascii="Arial" w:cs="Arial" w:eastAsia="Arial" w:hAnsi="Arial"/>
                <w:sz w:val="18"/>
                <w:szCs w:val="18"/>
                <w:color w:val="auto"/>
              </w:rPr>
              <w:t>PARTICIPANT</w:t>
            </w:r>
          </w:p>
        </w:tc>
        <w:tc>
          <w:tcPr>
            <w:tcW w:w="3460" w:type="dxa"/>
            <w:vAlign w:val="bottom"/>
          </w:tcPr>
          <w:p>
            <w:pPr>
              <w:ind w:left="5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1700" w:type="dxa"/>
            <w:vAlign w:val="bottom"/>
          </w:tcPr>
          <w:p>
            <w:pPr>
              <w:spacing w:after="0"/>
              <w:rPr>
                <w:sz w:val="20"/>
                <w:szCs w:val="20"/>
                <w:color w:val="auto"/>
              </w:rPr>
            </w:pPr>
            <w:r>
              <w:rPr>
                <w:rFonts w:ascii="Arial" w:cs="Arial" w:eastAsia="Arial" w:hAnsi="Arial"/>
                <w:sz w:val="18"/>
                <w:szCs w:val="18"/>
                <w:color w:val="auto"/>
              </w:rPr>
              <w:t>COMPANY</w:t>
            </w:r>
          </w:p>
        </w:tc>
        <w:tc>
          <w:tcPr>
            <w:tcW w:w="5940" w:type="dxa"/>
            <w:vAlign w:val="bottom"/>
            <w:gridSpan w:val="3"/>
          </w:tcPr>
          <w:p>
            <w:pPr>
              <w:ind w:left="560"/>
              <w:spacing w:after="0"/>
              <w:rPr>
                <w:sz w:val="20"/>
                <w:szCs w:val="20"/>
                <w:color w:val="auto"/>
              </w:rPr>
            </w:pPr>
            <w:r>
              <w:rPr>
                <w:rFonts w:ascii="Arial" w:cs="Arial" w:eastAsia="Arial" w:hAnsi="Arial"/>
                <w:sz w:val="18"/>
                <w:szCs w:val="18"/>
                <w:color w:val="auto"/>
              </w:rPr>
              <w:t>:   SUREFIRE MEDICAL, INC. DBA TRISALUS™ LIFE SCIENCES</w:t>
            </w:r>
          </w:p>
        </w:tc>
      </w:tr>
      <w:tr>
        <w:trPr>
          <w:trHeight w:val="432"/>
        </w:trPr>
        <w:tc>
          <w:tcPr>
            <w:tcW w:w="1700" w:type="dxa"/>
            <w:vAlign w:val="bottom"/>
          </w:tcPr>
          <w:p>
            <w:pPr>
              <w:spacing w:after="0"/>
              <w:rPr>
                <w:sz w:val="20"/>
                <w:szCs w:val="20"/>
                <w:color w:val="auto"/>
              </w:rPr>
            </w:pPr>
            <w:r>
              <w:rPr>
                <w:rFonts w:ascii="Arial" w:cs="Arial" w:eastAsia="Arial" w:hAnsi="Arial"/>
                <w:sz w:val="18"/>
                <w:szCs w:val="18"/>
                <w:color w:val="auto"/>
              </w:rPr>
              <w:t>SECURITY</w:t>
            </w:r>
          </w:p>
        </w:tc>
        <w:tc>
          <w:tcPr>
            <w:tcW w:w="5940" w:type="dxa"/>
            <w:vAlign w:val="bottom"/>
            <w:gridSpan w:val="3"/>
          </w:tcPr>
          <w:p>
            <w:pPr>
              <w:ind w:left="560"/>
              <w:spacing w:after="0"/>
              <w:rPr>
                <w:sz w:val="20"/>
                <w:szCs w:val="20"/>
                <w:color w:val="auto"/>
              </w:rPr>
            </w:pPr>
            <w:r>
              <w:rPr>
                <w:rFonts w:ascii="Arial" w:cs="Arial" w:eastAsia="Arial" w:hAnsi="Arial"/>
                <w:sz w:val="18"/>
                <w:szCs w:val="18"/>
                <w:color w:val="auto"/>
              </w:rPr>
              <w:t>:   COMMON STOCK</w:t>
            </w:r>
          </w:p>
        </w:tc>
      </w:tr>
      <w:tr>
        <w:trPr>
          <w:trHeight w:val="432"/>
        </w:trPr>
        <w:tc>
          <w:tcPr>
            <w:tcW w:w="1700" w:type="dxa"/>
            <w:vAlign w:val="bottom"/>
          </w:tcPr>
          <w:p>
            <w:pPr>
              <w:spacing w:after="0"/>
              <w:rPr>
                <w:sz w:val="20"/>
                <w:szCs w:val="20"/>
                <w:color w:val="auto"/>
              </w:rPr>
            </w:pPr>
            <w:r>
              <w:rPr>
                <w:rFonts w:ascii="Arial" w:cs="Arial" w:eastAsia="Arial" w:hAnsi="Arial"/>
                <w:sz w:val="18"/>
                <w:szCs w:val="18"/>
                <w:color w:val="auto"/>
              </w:rPr>
              <w:t>AMOUNT</w:t>
            </w:r>
          </w:p>
        </w:tc>
        <w:tc>
          <w:tcPr>
            <w:tcW w:w="3460" w:type="dxa"/>
            <w:vAlign w:val="bottom"/>
          </w:tcPr>
          <w:p>
            <w:pPr>
              <w:ind w:left="5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1700" w:type="dxa"/>
            <w:vAlign w:val="bottom"/>
          </w:tcPr>
          <w:p>
            <w:pPr>
              <w:spacing w:after="0"/>
              <w:rPr>
                <w:sz w:val="20"/>
                <w:szCs w:val="20"/>
                <w:color w:val="auto"/>
              </w:rPr>
            </w:pPr>
            <w:r>
              <w:rPr>
                <w:rFonts w:ascii="Arial" w:cs="Arial" w:eastAsia="Arial" w:hAnsi="Arial"/>
                <w:sz w:val="18"/>
                <w:szCs w:val="18"/>
                <w:color w:val="auto"/>
              </w:rPr>
              <w:t>DATE</w:t>
            </w:r>
          </w:p>
        </w:tc>
        <w:tc>
          <w:tcPr>
            <w:tcW w:w="3460" w:type="dxa"/>
            <w:vAlign w:val="bottom"/>
          </w:tcPr>
          <w:p>
            <w:pPr>
              <w:ind w:left="6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purchase of the above-listed Securities, the undersigned Participant represents to the Company the following: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(90) days thereafter (or such 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 (2) 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4" w:name="page155"/>
    <w:bookmarkEnd w:id="154"/>
    <w:p>
      <w:pPr>
        <w:jc w:val="both"/>
        <w:ind w:firstLine="1296"/>
        <w:spacing w:after="0" w:line="291"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w:t>
      </w:r>
    </w:p>
    <w:p>
      <w:pPr>
        <w:ind w:firstLine="8"/>
        <w:spacing w:after="0" w:line="323" w:lineRule="auto"/>
        <w:tabs>
          <w:tab w:leader="none" w:pos="26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PARTICIPANT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ind w:left="10180"/>
        <w:spacing w:after="0"/>
        <w:rPr>
          <w:sz w:val="20"/>
          <w:szCs w:val="20"/>
          <w:color w:val="auto"/>
        </w:rPr>
      </w:pPr>
      <w:r>
        <w:rPr>
          <w:rFonts w:ascii="Arial" w:cs="Arial" w:eastAsia="Arial" w:hAnsi="Arial"/>
          <w:sz w:val="17"/>
          <w:szCs w:val="17"/>
          <w:b w:val="1"/>
          <w:bCs w:val="1"/>
          <w:color w:val="auto"/>
        </w:rPr>
        <w:t>Exhibit 10.17</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SUREFIRE MEDICAL, INC. DBA TRISALUS™ LIFE SCIENCES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2009 STOCK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EARLY EXERCISE STOCK OPTION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defined herein, the terms defined in the 2009 Stock Option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have the same defined meanings in this Early Exercise Stock Option Agreement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w:t>
      </w:r>
    </w:p>
    <w:p>
      <w:pPr>
        <w:spacing w:after="0" w:line="166" w:lineRule="exact"/>
        <w:rPr>
          <w:sz w:val="20"/>
          <w:szCs w:val="20"/>
          <w:color w:val="auto"/>
        </w:rPr>
      </w:pPr>
    </w:p>
    <w:p>
      <w:pPr>
        <w:ind w:left="660" w:right="7460" w:hanging="652"/>
        <w:spacing w:after="0" w:line="500" w:lineRule="auto"/>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NOTICE OF STOCK OPTION GRANT </w:t>
      </w:r>
      <w:r>
        <w:rPr>
          <w:rFonts w:ascii="Arial" w:cs="Arial" w:eastAsia="Arial" w:hAnsi="Arial"/>
          <w:sz w:val="18"/>
          <w:szCs w:val="18"/>
          <w:b w:val="1"/>
          <w:bCs w:val="1"/>
          <w:color w:val="auto"/>
        </w:rPr>
        <w:t>Name:</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Address: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Participant has been granted an Option to purchase Common Stock of the Company, subject to the terms and conditions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and this Option Agreement, as follows:</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25628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25628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25628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Number of Shares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25628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25628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19" w:lineRule="exact"/>
        <w:rPr>
          <w:sz w:val="20"/>
          <w:szCs w:val="20"/>
          <w:color w:val="auto"/>
        </w:rPr>
      </w:pPr>
    </w:p>
    <w:p>
      <w:pPr>
        <w:ind w:left="1140"/>
        <w:spacing w:after="0"/>
        <w:tabs>
          <w:tab w:leader="none" w:pos="6220" w:val="left"/>
        </w:tabs>
        <w:rPr>
          <w:sz w:val="20"/>
          <w:szCs w:val="20"/>
          <w:color w:val="auto"/>
        </w:rPr>
      </w:pPr>
      <w:r>
        <w:rPr>
          <w:rFonts w:ascii="Arial" w:cs="Arial" w:eastAsia="Arial" w:hAnsi="Arial"/>
          <w:sz w:val="18"/>
          <w:szCs w:val="18"/>
          <w:color w:val="auto"/>
        </w:rPr>
        <w:t>Type of Option:</w:t>
      </w:r>
      <w:r>
        <w:rPr>
          <w:sz w:val="20"/>
          <w:szCs w:val="20"/>
          <w:color w:val="auto"/>
        </w:rPr>
        <w:tab/>
      </w:r>
      <w:r>
        <w:rPr>
          <w:rFonts w:ascii="Arial" w:cs="Arial" w:eastAsia="Arial" w:hAnsi="Arial"/>
          <w:sz w:val="16"/>
          <w:szCs w:val="16"/>
          <w:color w:val="auto"/>
        </w:rPr>
        <w:t>Nonstatutory Stock Option</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Term/Expiration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25628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Option shall vest, in whole or in part, according to the following vesting schedule: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[25% of the total number of Shares subject to such Option (rounded down to the nearest whole number) shall vest on the one year anniversary of the Vesting Commencement Date, and 1/48th of the total number of Shares subject to such Option (rounded down to the nearest whole number) shall vest on each monthly anniversary of the Vesting Commencement Date thereafter, for so long as the Participant continues to act as a Service Provider through each applicable vesting event, so that the 100% of the Shares subject to the Option are vested on the four year anniversary of the Vesting Commencement Date.]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6" w:name="page157"/>
    <w:bookmarkEnd w:id="156"/>
    <w:p>
      <w:pPr>
        <w:ind w:left="660"/>
        <w:spacing w:after="0"/>
        <w:rPr>
          <w:sz w:val="20"/>
          <w:szCs w:val="20"/>
          <w:color w:val="auto"/>
        </w:rPr>
      </w:pPr>
      <w:r>
        <w:rPr>
          <w:rFonts w:ascii="Arial" w:cs="Arial" w:eastAsia="Arial" w:hAnsi="Arial"/>
          <w:sz w:val="18"/>
          <w:szCs w:val="18"/>
          <w:u w:val="single" w:color="auto"/>
          <w:color w:val="auto"/>
        </w:rPr>
        <w:t>Termination Period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This Option shall be exercisable with respect to any vested portion of the Option for three (3) months after Participant ceases to be a Service Provider, unless such termination is as a result of (i) Participant’s death or Disability, in which case this Option shall be exercisable with respect to any vested portion of the Option for twelve (12) months after Participant ceases to be a Service Provider or (ii) Participant’s termination by the Company for Cause (as defined below), in which case this Option shall cease to be exercisable as of the date that Participant ceases to be a Service Provider,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Option shall not terminate (and shall remain outstanding) until the three (3)-month anniversary of the date that Participant ceases to be a</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Provider (but shall not vest or be exercisable following the date that Participant ceases to be a Service Provider unless otherwise provided by the Company). Notwithstanding the foregoing sentence, in no event may this Option be exercised after the Term/Expiration Date as provided above and this Option may be subject to earlier termination as provided in Section 8 of the Plan. No unvested portion of this Option shall be exercisable after Participant ceases to be a Service Provider, unless otherwise provided by the Company.</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purposes hereof, “</w:t>
      </w:r>
      <w:r>
        <w:rPr>
          <w:rFonts w:ascii="Arial" w:cs="Arial" w:eastAsia="Arial" w:hAnsi="Arial"/>
          <w:sz w:val="18"/>
          <w:szCs w:val="18"/>
          <w:u w:val="single" w:color="auto"/>
          <w:color w:val="auto"/>
        </w:rPr>
        <w:t>Cause</w:t>
      </w:r>
      <w:r>
        <w:rPr>
          <w:rFonts w:ascii="Arial" w:cs="Arial" w:eastAsia="Arial" w:hAnsi="Arial"/>
          <w:sz w:val="18"/>
          <w:szCs w:val="18"/>
          <w:color w:val="auto"/>
        </w:rPr>
        <w:t>” means, with respect to the Participant, the occurrence of any of the following events (unless another definition is provided in an employment agreement or other applicable written agreement with the Participant and the Company): (i) the Participant’s willful failure to perform his or her duties and responsibilities to the Company or the Participant’s violation of any written Company policy; (ii) the Participant’s commission of any act of fraud, embezzlement, dishonesty or any other willful misconduct that has caused or is reasonably expected to result in injury to the Company; (iii) the Participant’s unauthorized use or disclosure of any proprietary information or trade secrets of the Company or any other party to whom the Participant owes an obligation of nondisclosure as a result of his or her relationship with the Company; or (iv) the Participant’s material breach of any of his or her obligations under any written agreement or covenant with the Company. The determination as to whether the Participant’s termination as a Service Provider has occurred for Cause shall be made in good faith by the Company and shall be final and binding on the Participant. The foregoing definition does not in any way limit the Company’s ability to terminate the Participant’s employment or consulting relationship at any time, subject to Applicable Laws.</w:t>
      </w:r>
    </w:p>
    <w:p>
      <w:pPr>
        <w:spacing w:after="0" w:line="190"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w:t>
      </w:r>
    </w:p>
    <w:p>
      <w:pPr>
        <w:spacing w:after="0" w:line="229" w:lineRule="exact"/>
        <w:rPr>
          <w:rFonts w:ascii="Arial" w:cs="Arial" w:eastAsia="Arial" w:hAnsi="Arial"/>
          <w:sz w:val="18"/>
          <w:szCs w:val="18"/>
          <w:b w:val="1"/>
          <w:bCs w:val="1"/>
          <w:color w:val="auto"/>
        </w:rPr>
      </w:pPr>
    </w:p>
    <w:p>
      <w:pPr>
        <w:jc w:val="both"/>
        <w:ind w:firstLine="656"/>
        <w:spacing w:after="0" w:line="257" w:lineRule="auto"/>
        <w:tabs>
          <w:tab w:leader="none" w:pos="1336"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The Administrator of the Company hereby grants to the Participant named in the Notice of Stock Option Grant in Part I of this Option Agreement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an option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to purchase the number of Shares set forth in the Notice of Stock Option Grant, at the exercise price per Share set forth in the Notice of Stock Option Grant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and subject to the terms and conditions of the Plan, which is incorporated herein by reference. Subject to Section 14 of the Plan, in the event of a conflict between the terms and conditions of the Plan and this Option Agreement, the terms and conditions of the Plan shall prevail.</w:t>
      </w:r>
    </w:p>
    <w:p>
      <w:pPr>
        <w:spacing w:after="0" w:line="187" w:lineRule="exact"/>
        <w:rPr>
          <w:rFonts w:ascii="Arial" w:cs="Arial" w:eastAsia="Arial" w:hAnsi="Arial"/>
          <w:sz w:val="18"/>
          <w:szCs w:val="18"/>
          <w:color w:val="auto"/>
        </w:rPr>
      </w:pPr>
    </w:p>
    <w:p>
      <w:pPr>
        <w:ind w:left="1300" w:hanging="644"/>
        <w:spacing w:after="0"/>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2089" w:val="left"/>
        </w:tabs>
        <w:numPr>
          <w:ilvl w:val="2"/>
          <w:numId w:val="12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This Option shall become vested in such amounts and at such times as are set forth in the Vesting Schedule set out in the Notice of Stock Option Grant. The installments provided for in the Vesting Schedule are cumulative.</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2072" w:val="left"/>
        </w:tabs>
        <w:numPr>
          <w:ilvl w:val="2"/>
          <w:numId w:val="124"/>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xml:space="preserve">. Any portion of this Option or the entire Option may be exercised in whole or in part at any time prior to the time when the Option or portion thereof becomes unexercisable under Section 9,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each unvested Share with respect to which the Option is exercised (a “</w:t>
      </w:r>
      <w:r>
        <w:rPr>
          <w:rFonts w:ascii="Arial" w:cs="Arial" w:eastAsia="Arial" w:hAnsi="Arial"/>
          <w:sz w:val="18"/>
          <w:szCs w:val="18"/>
          <w:b w:val="1"/>
          <w:bCs w:val="1"/>
          <w:i w:val="1"/>
          <w:iCs w:val="1"/>
          <w:color w:val="auto"/>
        </w:rPr>
        <w:t>Restricted Share</w:t>
      </w:r>
      <w:r>
        <w:rPr>
          <w:rFonts w:ascii="Arial" w:cs="Arial" w:eastAsia="Arial" w:hAnsi="Arial"/>
          <w:sz w:val="18"/>
          <w:szCs w:val="18"/>
          <w:color w:val="auto"/>
        </w:rPr>
        <w:t>”) shall be subject to the Company Repurchase Right (as defined below) for so long as the Option shall remain unvested with respect to such Share under the terms of this Option Agreement. The Restricted Shares shall be released from the Company Repurchase Right as set forth in Section 3(a)(iv).</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jc w:val="both"/>
        <w:ind w:firstLine="1304"/>
        <w:spacing w:after="0" w:line="289" w:lineRule="auto"/>
        <w:tabs>
          <w:tab w:leader="none" w:pos="2116"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This Option shall be exercisable by delivery of an exercise notice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Exercise Notice</w:t>
      </w:r>
      <w:r>
        <w:rPr>
          <w:rFonts w:ascii="Arial" w:cs="Arial" w:eastAsia="Arial" w:hAnsi="Arial"/>
          <w:sz w:val="16"/>
          <w:szCs w:val="16"/>
          <w:color w:val="auto"/>
        </w:rPr>
        <w:t>”) or in a manner and pursuant to such procedures as the Administrator may determine, which shall state the election to exercise the Option, the number of Shares with respect to which the Option is being exercised (the “</w:t>
      </w:r>
      <w:r>
        <w:rPr>
          <w:rFonts w:ascii="Arial" w:cs="Arial" w:eastAsia="Arial" w:hAnsi="Arial"/>
          <w:sz w:val="16"/>
          <w:szCs w:val="16"/>
          <w:b w:val="1"/>
          <w:bCs w:val="1"/>
          <w:i w:val="1"/>
          <w:iCs w:val="1"/>
          <w:color w:val="auto"/>
        </w:rPr>
        <w:t>Exercised Shares</w:t>
      </w:r>
      <w:r>
        <w:rPr>
          <w:rFonts w:ascii="Arial" w:cs="Arial" w:eastAsia="Arial" w:hAnsi="Arial"/>
          <w:sz w:val="16"/>
          <w:szCs w:val="16"/>
          <w:color w:val="auto"/>
        </w:rPr>
        <w:t>”), and such other representations and agreements as may be required by the Company. The Exercise Notice shall be accompanied by payment of the aggregate Exercise Price as to all Exercised Shares, together with any applicable tax withholding, and if the Option is exercised as to any Restricted Shares, each of the following (the “</w:t>
      </w:r>
      <w:r>
        <w:rPr>
          <w:rFonts w:ascii="Arial" w:cs="Arial" w:eastAsia="Arial" w:hAnsi="Arial"/>
          <w:sz w:val="16"/>
          <w:szCs w:val="16"/>
          <w:b w:val="1"/>
          <w:bCs w:val="1"/>
          <w:i w:val="1"/>
          <w:i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(i) any share certificate(s) representing such Restricted Shares; (ii) the stock assignment duly endorsed in blank, attached as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Exhibit 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Stock Assignment</w:t>
      </w:r>
      <w:r>
        <w:rPr>
          <w:rFonts w:ascii="Arial" w:cs="Arial" w:eastAsia="Arial" w:hAnsi="Arial"/>
          <w:sz w:val="16"/>
          <w:szCs w:val="16"/>
          <w:color w:val="auto"/>
        </w:rPr>
        <w:t xml:space="preserve">”), executed by Participant; and (iii) the Joint Escrow Instructions of the Company and Participant, attached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Joint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Escrow Instructions</w:t>
      </w:r>
      <w:r>
        <w:rPr>
          <w:rFonts w:ascii="Arial" w:cs="Arial" w:eastAsia="Arial" w:hAnsi="Arial"/>
          <w:sz w:val="16"/>
          <w:szCs w:val="16"/>
          <w:color w:val="auto"/>
        </w:rPr>
        <w:t>”), executed by Participant. This Option shall be deemed to be exercised upon receipt by the Company of such fully executed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Notice accompanied by the aggregate Exercise Price, together with any applicable tax withholding and any required Additional Documents.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 Shares shall be issued pursuant to the exercise of an Option unless such issuance and such exercise comply with Applicable Laws.</w:t>
      </w:r>
    </w:p>
    <w:p>
      <w:pPr>
        <w:spacing w:after="0" w:line="248" w:lineRule="exact"/>
        <w:rPr>
          <w:sz w:val="20"/>
          <w:szCs w:val="20"/>
          <w:color w:val="auto"/>
        </w:rPr>
      </w:pPr>
    </w:p>
    <w:p>
      <w:pPr>
        <w:ind w:left="1300" w:right="7860" w:hanging="644"/>
        <w:spacing w:after="0" w:line="563" w:lineRule="auto"/>
        <w:tabs>
          <w:tab w:leader="none" w:pos="1300"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Restricted Shares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 Repurchase Right</w:t>
      </w:r>
      <w:r>
        <w:rPr>
          <w:rFonts w:ascii="Arial" w:cs="Arial" w:eastAsia="Arial" w:hAnsi="Arial"/>
          <w:sz w:val="16"/>
          <w:szCs w:val="16"/>
          <w:color w:val="auto"/>
        </w:rPr>
        <w:t>.</w:t>
      </w:r>
    </w:p>
    <w:p>
      <w:pPr>
        <w:spacing w:after="0" w:line="1" w:lineRule="exact"/>
        <w:rPr>
          <w:sz w:val="20"/>
          <w:szCs w:val="20"/>
          <w:color w:val="auto"/>
        </w:rPr>
      </w:pPr>
    </w:p>
    <w:p>
      <w:pPr>
        <w:jc w:val="both"/>
        <w:ind w:firstLine="2916"/>
        <w:spacing w:after="0" w:line="263" w:lineRule="auto"/>
        <w:rPr>
          <w:sz w:val="20"/>
          <w:szCs w:val="20"/>
          <w:color w:val="auto"/>
        </w:rPr>
      </w:pPr>
      <w:r>
        <w:rPr>
          <w:rFonts w:ascii="Arial" w:cs="Arial" w:eastAsia="Arial" w:hAnsi="Arial"/>
          <w:sz w:val="18"/>
          <w:szCs w:val="18"/>
          <w:color w:val="auto"/>
        </w:rPr>
        <w:t>Upon Participant’s ceasing to be a Service Provider for any reason, the Company shall have the right and option to repurchase all of the Restricted Shares from Participant, or Participant’s transferee or legal representative, as the case may be, for a purchase price equal to the price per Share paid for such Restricted Shares (the “</w:t>
      </w:r>
      <w:r>
        <w:rPr>
          <w:rFonts w:ascii="Arial" w:cs="Arial" w:eastAsia="Arial" w:hAnsi="Arial"/>
          <w:sz w:val="18"/>
          <w:szCs w:val="18"/>
          <w:b w:val="1"/>
          <w:bCs w:val="1"/>
          <w:i w:val="1"/>
          <w:iCs w:val="1"/>
          <w:color w:val="auto"/>
        </w:rPr>
        <w:t>Company Repurchase Right</w:t>
      </w:r>
      <w:r>
        <w:rPr>
          <w:rFonts w:ascii="Arial" w:cs="Arial" w:eastAsia="Arial" w:hAnsi="Arial"/>
          <w:sz w:val="18"/>
          <w:szCs w:val="18"/>
          <w:color w:val="auto"/>
        </w:rPr>
        <w:t>”).</w:t>
      </w:r>
    </w:p>
    <w:p>
      <w:pPr>
        <w:spacing w:after="0" w:line="184" w:lineRule="exact"/>
        <w:rPr>
          <w:sz w:val="20"/>
          <w:szCs w:val="20"/>
          <w:color w:val="auto"/>
        </w:rPr>
      </w:pPr>
    </w:p>
    <w:p>
      <w:pPr>
        <w:jc w:val="both"/>
        <w:ind w:firstLine="2916"/>
        <w:spacing w:after="0" w:line="254" w:lineRule="auto"/>
        <w:rPr>
          <w:sz w:val="20"/>
          <w:szCs w:val="20"/>
          <w:color w:val="auto"/>
        </w:rPr>
      </w:pPr>
      <w:r>
        <w:rPr>
          <w:rFonts w:ascii="Arial" w:cs="Arial" w:eastAsia="Arial" w:hAnsi="Arial"/>
          <w:sz w:val="18"/>
          <w:szCs w:val="18"/>
          <w:color w:val="auto"/>
        </w:rPr>
        <w:t>The Company may exercise the Company Repurchase Right by delivering, personally or by registered mail, to Participant (or his or her transferee or legal representative, as the case may be), within ninety (90) days of the date Participant ceases to be a Service Provider, a notice in writing indicating the Company’s intention to exercise the Company Repurchase Right and setting forth a date for closing not later than thirty (30) days from the mailing of such notice. The closing shall take place at the Company’s office. At the closing, the holder of any certificates for the Restricted Shares shall deliver the stock certificate or certificates evidencing the Restricted Shares, and the Company shall deliver the purchase price therefore. At its option, the Company may elect to make payment for the Restricted Shares to a bank selected by the Company. The Company shall avail itself of this option by a notice in writing to Participant stating the name and address of the bank, date of closing, and waiving the closing at the Company’s office.</w:t>
      </w:r>
    </w:p>
    <w:p>
      <w:pPr>
        <w:spacing w:after="0" w:line="192" w:lineRule="exact"/>
        <w:rPr>
          <w:sz w:val="20"/>
          <w:szCs w:val="20"/>
          <w:color w:val="auto"/>
        </w:rPr>
      </w:pPr>
    </w:p>
    <w:p>
      <w:pPr>
        <w:jc w:val="both"/>
        <w:ind w:firstLine="2916"/>
        <w:spacing w:after="0" w:line="277" w:lineRule="auto"/>
        <w:rPr>
          <w:sz w:val="20"/>
          <w:szCs w:val="20"/>
          <w:color w:val="auto"/>
        </w:rPr>
      </w:pPr>
      <w:r>
        <w:rPr>
          <w:rFonts w:ascii="Arial" w:cs="Arial" w:eastAsia="Arial" w:hAnsi="Arial"/>
          <w:sz w:val="18"/>
          <w:szCs w:val="18"/>
          <w:color w:val="auto"/>
        </w:rPr>
        <w:t>If the Company does not elect to exercise the Company Repurchase Right by giving the requisite notice within ninety (90) days following the date Participant ceases to be a Service Provider, the Company Repurchase Right shall terminate.</w:t>
      </w:r>
    </w:p>
    <w:p>
      <w:pPr>
        <w:spacing w:after="0" w:line="170" w:lineRule="exact"/>
        <w:rPr>
          <w:sz w:val="20"/>
          <w:szCs w:val="20"/>
          <w:color w:val="auto"/>
        </w:rPr>
      </w:pPr>
    </w:p>
    <w:p>
      <w:pPr>
        <w:jc w:val="both"/>
        <w:ind w:firstLine="2916"/>
        <w:spacing w:after="0" w:line="259" w:lineRule="auto"/>
        <w:rPr>
          <w:sz w:val="20"/>
          <w:szCs w:val="20"/>
          <w:color w:val="auto"/>
        </w:rPr>
      </w:pPr>
      <w:r>
        <w:rPr>
          <w:rFonts w:ascii="Arial" w:cs="Arial" w:eastAsia="Arial" w:hAnsi="Arial"/>
          <w:sz w:val="18"/>
          <w:szCs w:val="18"/>
          <w:color w:val="auto"/>
        </w:rPr>
        <w:t>The Restricted Shares shall be released from the Company Repurchase Right upon vesting of the Option with respect to such Shares in accordance with the terms of this Option Agreement. For the avoidance of doubt, all Restricted Shares shall at all times be assumed to be unvested Shares to the fullest extent possible under the terms of this Option Agreement, unless otherwise provided by the Administrator. Fractional Shares shall be rounded down to the nearest whole Share.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ind w:left="1300"/>
        <w:spacing w:after="0"/>
        <w:rPr>
          <w:sz w:val="20"/>
          <w:szCs w:val="20"/>
          <w:color w:val="auto"/>
        </w:rPr>
      </w:pPr>
      <w:r>
        <w:rPr>
          <w:rFonts w:ascii="Arial" w:cs="Arial" w:eastAsia="Arial" w:hAnsi="Arial"/>
          <w:sz w:val="18"/>
          <w:szCs w:val="18"/>
          <w:u w:val="single" w:color="auto"/>
          <w:color w:val="auto"/>
        </w:rPr>
        <w:t>Escrow</w:t>
      </w:r>
      <w:r>
        <w:rPr>
          <w:rFonts w:ascii="Arial" w:cs="Arial" w:eastAsia="Arial" w:hAnsi="Arial"/>
          <w:sz w:val="18"/>
          <w:szCs w:val="18"/>
          <w:color w:val="auto"/>
        </w:rPr>
        <w:t>.</w:t>
      </w:r>
    </w:p>
    <w:p>
      <w:pPr>
        <w:spacing w:after="0" w:line="225" w:lineRule="exact"/>
        <w:rPr>
          <w:sz w:val="20"/>
          <w:szCs w:val="20"/>
          <w:color w:val="auto"/>
        </w:rPr>
      </w:pPr>
    </w:p>
    <w:p>
      <w:pPr>
        <w:jc w:val="both"/>
        <w:ind w:firstLine="2916"/>
        <w:spacing w:after="0" w:line="263" w:lineRule="auto"/>
        <w:rPr>
          <w:sz w:val="20"/>
          <w:szCs w:val="20"/>
          <w:color w:val="auto"/>
        </w:rPr>
      </w:pPr>
      <w:r>
        <w:rPr>
          <w:rFonts w:ascii="Arial" w:cs="Arial" w:eastAsia="Arial" w:hAnsi="Arial"/>
          <w:sz w:val="18"/>
          <w:szCs w:val="18"/>
          <w:color w:val="auto"/>
        </w:rPr>
        <w:t>Participant hereby authorizes and directs the Secretary of the Company, or such other person designated by the Administrator from time to time, to transfer the Restricted Shares as to which the Company Repurchase Right has been exercised from Participant (or his or her transferee or legal representative, as the case may be) to the Company.</w:t>
      </w:r>
    </w:p>
    <w:p>
      <w:pPr>
        <w:spacing w:after="0" w:line="184" w:lineRule="exact"/>
        <w:rPr>
          <w:sz w:val="20"/>
          <w:szCs w:val="20"/>
          <w:color w:val="auto"/>
        </w:rPr>
      </w:pPr>
    </w:p>
    <w:p>
      <w:pPr>
        <w:jc w:val="both"/>
        <w:ind w:firstLine="2916"/>
        <w:spacing w:after="0" w:line="269" w:lineRule="auto"/>
        <w:rPr>
          <w:sz w:val="20"/>
          <w:szCs w:val="20"/>
          <w:color w:val="auto"/>
        </w:rPr>
      </w:pPr>
      <w:r>
        <w:rPr>
          <w:rFonts w:ascii="Arial" w:cs="Arial" w:eastAsia="Arial" w:hAnsi="Arial"/>
          <w:sz w:val="17"/>
          <w:szCs w:val="17"/>
          <w:color w:val="auto"/>
        </w:rPr>
        <w:t>To ensure the availability for delivery of the Restricted Shares upon repurchase by the Company pursuant to the Company Repurchase Right, Participant appoints the Secretary of the Company, or such other person designated by the Administrator from time to time as escrow agent, as its attorney-in-fact to sell, assign and transfer unto the Company, such Restricted Shares, if any, repurchased by the Company pursuant to the Company Repurchase Right and shall, upon execution of the applicable Exercise Notice, deliver and deposit with the Secretary of the Company, or such other person designated by the Administrator from time to time, any share certificate(s) representing the Restricted Shares, together with the Stock Assignment. The Restricted Shares and Stock Assignment shall be held by the Secretary, or such other person designated by the Administrator from time to time, in escrow, pursuant to the Joint Escrow Instructions, until the Company exercises the Company Repurchase Right, until such Restricted Shares are released from the Company Repurchase Right as set forth in Section 3(a)(iv) or until such time as this Option Agreement no longer is in effect. Upon release of the Restricted Shares from the Company’s Repurchase Right, the escrow agent shall as soon as reasonably practicable deliver to Participant any certificate or certificates representing such Shares in the escrow agent’s possession belonging to Participant, and the escrow agent shall be discharged of all further obligations hereunder.</w:t>
      </w:r>
    </w:p>
    <w:p>
      <w:pPr>
        <w:spacing w:after="0" w:line="182" w:lineRule="exact"/>
        <w:rPr>
          <w:sz w:val="20"/>
          <w:szCs w:val="20"/>
          <w:color w:val="auto"/>
        </w:rPr>
      </w:pPr>
    </w:p>
    <w:p>
      <w:pPr>
        <w:jc w:val="both"/>
        <w:ind w:firstLine="2916"/>
        <w:spacing w:after="0" w:line="277" w:lineRule="auto"/>
        <w:rPr>
          <w:sz w:val="20"/>
          <w:szCs w:val="20"/>
          <w:color w:val="auto"/>
        </w:rPr>
      </w:pPr>
      <w:r>
        <w:rPr>
          <w:rFonts w:ascii="Arial" w:cs="Arial" w:eastAsia="Arial" w:hAnsi="Arial"/>
          <w:sz w:val="18"/>
          <w:szCs w:val="18"/>
          <w:color w:val="auto"/>
        </w:rPr>
        <w:t>The Company, or its designee, shall not be liable for any act it may do or omit to do with respect to holding the Restricted Shares in escrow and while acting in good faith and in the exercise of its judgment.</w:t>
      </w:r>
    </w:p>
    <w:p>
      <w:pPr>
        <w:spacing w:after="0" w:line="170"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u w:val="single" w:color="auto"/>
          <w:color w:val="auto"/>
        </w:rPr>
        <w:t>Transferability of Restricted Shares</w:t>
      </w:r>
      <w:r>
        <w:rPr>
          <w:rFonts w:ascii="Arial" w:cs="Arial" w:eastAsia="Arial" w:hAnsi="Arial"/>
          <w:sz w:val="16"/>
          <w:szCs w:val="16"/>
          <w:color w:val="auto"/>
        </w:rPr>
        <w:t>. The Restricted Shares may not be sold, assigned, transferred, pledged or otherwise encumbered, either voluntarily or by operation of law, except by will or the laws of descent and distribution. Any transferee of the Restricted Shares shall hold such Shares subject to all of the provisions hereof and the Exercise Notice and Additional Documents executed by Participant with respect to such Shares. Any transfer or attempted transfer of any of the Restricted Shares not in accordance with the terms of this Option Agreement shall be void and the Company may enforce the terms of this Option Agreement by stop transfer instructions or similar actions by the Company and its agents or designees.</w:t>
      </w:r>
    </w:p>
    <w:p>
      <w:pPr>
        <w:spacing w:after="0" w:line="161"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Except as otherwise provided herein, upon exercise of the Option, Participant shall have all the rights of a stockholder with respect to the Restricted Shares, including the right to receive any cash or stock dividends or other distributions paid to or made with respect to the Restricted Shares, subject to the restrictions described in the following sentence, which restrictions shall lapse when the Restricted Shares are released from the Company Repurchase Right as set forth in Section 3(a)(iv). Unless otherwise provided by the Administrator, if any dividends or distributions are paid in shares, or consist of a dividend or distribution to holders of Common Stock of property other than an ordinary cash dividend, the shares or other property will be subject to the same restrictions on transferability as the Restricted Shares with respect to which they were paid and shall automatically be forfeited to the Company for no consideration in the event the Company exercises the Company Repurchase Right for the Restricted Shares with respect to which they were paid. In no event shall a dividend or distribution be paid with respect to Restricted Shares later than the end of the calendar year in which the dividends are paid to holders of Common Stock or, if later, the 15th day of the third month following the later of (i) the date the dividends are paid to holders of Common Stock and (ii) the date the Restricted Shares with respect to which the dividends are paid vest.</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jc w:val="both"/>
        <w:ind w:firstLine="1296"/>
        <w:spacing w:after="0" w:line="272" w:lineRule="auto"/>
        <w:rPr>
          <w:sz w:val="20"/>
          <w:szCs w:val="20"/>
          <w:color w:val="auto"/>
        </w:rPr>
      </w:pPr>
      <w:r>
        <w:rPr>
          <w:rFonts w:ascii="Arial" w:cs="Arial" w:eastAsia="Arial" w:hAnsi="Arial"/>
          <w:sz w:val="17"/>
          <w:szCs w:val="17"/>
          <w:u w:val="single" w:color="auto"/>
          <w:color w:val="auto"/>
        </w:rPr>
        <w:t>Section 83(b) Election for Restricted Shares</w:t>
      </w:r>
      <w:r>
        <w:rPr>
          <w:rFonts w:ascii="Arial" w:cs="Arial" w:eastAsia="Arial" w:hAnsi="Arial"/>
          <w:sz w:val="17"/>
          <w:szCs w:val="17"/>
          <w:color w:val="auto"/>
        </w:rPr>
        <w:t>. Participant acknowledges that, with respect to the exercise of the Option for Restricted Shares, unless an election is filed by Participant with the Internal Revenue Service and, if necessary, the proper state taxing authorities, within 30 days of the purchase of the Shares, electing pursuant to Section 83(b) of the Code (and similar state tax provisions if applicable) to be taxed currently on any difference between the purchase price of the Shares and their fair market value on the date of purchase, there will be a recognition of taxable income to Participant, measured by the excess, if any, of the fair market value of the Shares, at the time the Company Repurchase Right lapses over the purchase price for the Shares. Participant represents that Participant has consulted any tax consultant(s) Participant deems advisable in connection with the purchase of the Shares or the filing of the election under Section 83(b) of the Code and similar tax provisions.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PARTICIPANT ACKNOWLEDGES THAT IT IS PARTICIPANT’S SOLE RESPONSIBILITY AND NOT THE COMPANY’S TO TIMELY FILE THE ELECTION UNDER SECTION 83(b) OF THE CODE, EVEN IF PARTICIPANT REQUESTS THE COMPANY OR ITS REPRESENTATIVE TO MAKE THIS FILING ON PARTICIPANT’S BEHALF.</w:t>
      </w:r>
    </w:p>
    <w:p>
      <w:pPr>
        <w:spacing w:after="0" w:line="184" w:lineRule="exact"/>
        <w:rPr>
          <w:sz w:val="20"/>
          <w:szCs w:val="20"/>
          <w:color w:val="auto"/>
        </w:rPr>
      </w:pPr>
    </w:p>
    <w:p>
      <w:pPr>
        <w:jc w:val="both"/>
        <w:ind w:firstLine="656"/>
        <w:spacing w:after="0" w:line="286" w:lineRule="auto"/>
        <w:tabs>
          <w:tab w:leader="none" w:pos="1566"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Participant’s Representations</w:t>
      </w:r>
      <w:r>
        <w:rPr>
          <w:rFonts w:ascii="Arial" w:cs="Arial" w:eastAsia="Arial" w:hAnsi="Arial"/>
          <w:sz w:val="17"/>
          <w:szCs w:val="17"/>
          <w:color w:val="auto"/>
        </w:rPr>
        <w:t>. In the event the Shares have not been registered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xml:space="preserve">”),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656"/>
        <w:spacing w:after="0" w:line="270" w:lineRule="auto"/>
        <w:tabs>
          <w:tab w:leader="none" w:pos="1485"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Lock-Up Period</w:t>
      </w:r>
      <w:r>
        <w:rPr>
          <w:rFonts w:ascii="Arial" w:cs="Arial" w:eastAsia="Arial" w:hAnsi="Arial"/>
          <w:sz w:val="17"/>
          <w:szCs w:val="17"/>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NASD Rule 2711(f)(4) or NYSE Rule 472(f)(4), or any successor provisions or amendments thereto).</w:t>
      </w:r>
    </w:p>
    <w:p>
      <w:pPr>
        <w:spacing w:after="0" w:line="181"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5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Option or shares acquired pursuant to the Option shall be bound by this Section 5.</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ind w:left="1380" w:hanging="724"/>
        <w:spacing w:after="0"/>
        <w:tabs>
          <w:tab w:leader="none" w:pos="138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shall be by any of the following, or a combination thereof, at the election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Participant:</w:t>
      </w:r>
    </w:p>
    <w:p>
      <w:pPr>
        <w:spacing w:after="0" w:line="210" w:lineRule="exact"/>
        <w:rPr>
          <w:rFonts w:ascii="Arial" w:cs="Arial" w:eastAsia="Arial" w:hAnsi="Arial"/>
          <w:sz w:val="16"/>
          <w:szCs w:val="16"/>
          <w:color w:val="auto"/>
        </w:rPr>
      </w:pPr>
    </w:p>
    <w:p>
      <w:pPr>
        <w:ind w:left="1960" w:hanging="656"/>
        <w:spacing w:after="0"/>
        <w:tabs>
          <w:tab w:leader="none" w:pos="1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consideration received by the Company under a formal cashless exercise program adopted by the Company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Plan; or</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(d)           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spacing w:after="0" w:line="184" w:lineRule="exact"/>
        <w:rPr>
          <w:sz w:val="20"/>
          <w:szCs w:val="20"/>
          <w:color w:val="auto"/>
        </w:rPr>
      </w:pPr>
    </w:p>
    <w:p>
      <w:pPr>
        <w:jc w:val="both"/>
        <w:ind w:firstLine="656"/>
        <w:spacing w:after="0" w:line="263" w:lineRule="auto"/>
        <w:tabs>
          <w:tab w:leader="none" w:pos="1381"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Restrictions on Exercise</w:t>
      </w:r>
      <w:r>
        <w:rPr>
          <w:rFonts w:ascii="Arial" w:cs="Arial" w:eastAsia="Arial" w:hAnsi="Arial"/>
          <w:sz w:val="18"/>
          <w:szCs w:val="18"/>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           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84"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(b)           Further, until the Company becomes subject to the reporting requirements of Section 13 or 15(d) of the Exchange Act, or after the Administrator determines that it is, will, or may no longer be relying upon the exemption from registration of Options under the Exchange Act as set forth in Rule 12h-1(f) promulgated under the Exchange Act (the “</w:t>
      </w:r>
      <w:r>
        <w:rPr>
          <w:rFonts w:ascii="Arial" w:cs="Arial" w:eastAsia="Arial" w:hAnsi="Arial"/>
          <w:sz w:val="17"/>
          <w:szCs w:val="17"/>
          <w:b w:val="1"/>
          <w:bCs w:val="1"/>
          <w:i w:val="1"/>
          <w:iCs w:val="1"/>
          <w:color w:val="auto"/>
        </w:rPr>
        <w:t>Reliance End Date</w:t>
      </w:r>
      <w:r>
        <w:rPr>
          <w:rFonts w:ascii="Arial" w:cs="Arial" w:eastAsia="Arial" w:hAnsi="Arial"/>
          <w:sz w:val="17"/>
          <w:szCs w:val="17"/>
          <w:color w:val="auto"/>
        </w:rPr>
        <w:t>”), Participant shall not transfer this Option or, prior to exercise, the Shares subject to this Option, in any manner other than (i) to persons who are “family members” (as defined in Rule 701(c)(3) of the Securities Act) through gifts or domestic relations orders, or (ii) to an executor or guardian of Participant upon the death or disability of Participant. Until the Reliance End Date, the Options and, prior to exercise, the Shares subject to this Option, may not be pledged, hypothecated or otherwise transferred or disposed of, including by entering into any short position, any “put equivalent position” or any “call equivalent position” (as defined in Rule 16a-1(h) and Rule 16a-1(b) of the Exchange Act, respectively), other than as permitted in clauses (i) and (ii) of this paragraph.</w:t>
      </w:r>
    </w:p>
    <w:p>
      <w:pPr>
        <w:spacing w:after="0" w:line="178" w:lineRule="exact"/>
        <w:rPr>
          <w:sz w:val="20"/>
          <w:szCs w:val="20"/>
          <w:color w:val="auto"/>
        </w:rPr>
      </w:pPr>
    </w:p>
    <w:p>
      <w:pPr>
        <w:ind w:firstLine="656"/>
        <w:spacing w:after="0" w:line="277" w:lineRule="auto"/>
        <w:tabs>
          <w:tab w:leader="none" w:pos="1404"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This Option may be exercised only within the term set out in the Notice of Stock Option Grant, and may be exercised during such term only in accordance with the Plan and the terms of this Option Agreement.</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ind w:left="1300" w:hanging="644"/>
        <w:spacing w:after="0"/>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Tax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2346" w:val="left"/>
        </w:tabs>
        <w:numPr>
          <w:ilvl w:val="2"/>
          <w:numId w:val="131"/>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186" w:lineRule="exact"/>
        <w:rPr>
          <w:rFonts w:ascii="Arial" w:cs="Arial" w:eastAsia="Arial" w:hAnsi="Arial"/>
          <w:sz w:val="18"/>
          <w:szCs w:val="18"/>
          <w:color w:val="auto"/>
        </w:rPr>
      </w:pPr>
    </w:p>
    <w:p>
      <w:pPr>
        <w:jc w:val="both"/>
        <w:ind w:firstLine="1304"/>
        <w:spacing w:after="0" w:line="287" w:lineRule="auto"/>
        <w:tabs>
          <w:tab w:leader="none" w:pos="2099" w:val="left"/>
        </w:tabs>
        <w:numPr>
          <w:ilvl w:val="2"/>
          <w:numId w:val="131"/>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xml:space="preserve"> Under Code Section 409A, an Option that was granted with a per Share exercise price that is determined by the Internal Revenue Service (the “</w:t>
      </w:r>
      <w:r>
        <w:rPr>
          <w:rFonts w:ascii="Arial" w:cs="Arial" w:eastAsia="Arial" w:hAnsi="Arial"/>
          <w:sz w:val="16"/>
          <w:szCs w:val="16"/>
          <w:b w:val="1"/>
          <w:bCs w:val="1"/>
          <w:i w:val="1"/>
          <w:iCs w:val="1"/>
          <w:color w:val="auto"/>
        </w:rPr>
        <w:t>IRS</w:t>
      </w:r>
      <w:r>
        <w:rPr>
          <w:rFonts w:ascii="Arial" w:cs="Arial" w:eastAsia="Arial" w:hAnsi="Arial"/>
          <w:sz w:val="16"/>
          <w:szCs w:val="16"/>
          <w:color w:val="auto"/>
        </w:rPr>
        <w:t>”) to be less than the Fair Market Value of a Share on the date of grant (a “</w:t>
      </w:r>
      <w:r>
        <w:rPr>
          <w:rFonts w:ascii="Arial" w:cs="Arial" w:eastAsia="Arial" w:hAnsi="Arial"/>
          <w:sz w:val="16"/>
          <w:szCs w:val="16"/>
          <w:b w:val="1"/>
          <w:bCs w:val="1"/>
          <w:i w:val="1"/>
          <w:iCs w:val="1"/>
          <w:color w:val="auto"/>
        </w:rPr>
        <w:t>discount option</w:t>
      </w:r>
      <w:r>
        <w:rPr>
          <w:rFonts w:ascii="Arial" w:cs="Arial" w:eastAsia="Arial" w:hAnsi="Arial"/>
          <w:sz w:val="16"/>
          <w:szCs w:val="16"/>
          <w:color w:val="auto"/>
        </w:rPr>
        <w:t>”) may be considered “deferred compensation.” An Option that is a “discount option” may result in (i) income recognition by Participant prior to the exercise of the Option,</w:t>
      </w:r>
    </w:p>
    <w:p>
      <w:pPr>
        <w:spacing w:after="0" w:line="2" w:lineRule="exact"/>
        <w:rPr>
          <w:rFonts w:ascii="Arial" w:cs="Arial" w:eastAsia="Arial" w:hAnsi="Arial"/>
          <w:sz w:val="16"/>
          <w:szCs w:val="16"/>
          <w:color w:val="auto"/>
        </w:rPr>
      </w:pPr>
    </w:p>
    <w:p>
      <w:pPr>
        <w:jc w:val="both"/>
        <w:ind w:firstLine="8"/>
        <w:spacing w:after="0" w:line="271" w:lineRule="auto"/>
        <w:tabs>
          <w:tab w:leader="none" w:pos="29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78" w:lineRule="exact"/>
        <w:rPr>
          <w:rFonts w:ascii="Arial" w:cs="Arial" w:eastAsia="Arial" w:hAnsi="Arial"/>
          <w:sz w:val="17"/>
          <w:szCs w:val="17"/>
          <w:color w:val="auto"/>
        </w:rPr>
      </w:pPr>
    </w:p>
    <w:p>
      <w:pPr>
        <w:jc w:val="both"/>
        <w:ind w:firstLine="656"/>
        <w:spacing w:after="0" w:line="257" w:lineRule="auto"/>
        <w:tabs>
          <w:tab w:leader="none" w:pos="1514"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Option Agreement is governed by the internal substantive laws but not the choice of law rules of Delaware.</w:t>
      </w:r>
    </w:p>
    <w:p>
      <w:pPr>
        <w:spacing w:after="0" w:line="187" w:lineRule="exact"/>
        <w:rPr>
          <w:rFonts w:ascii="Arial" w:cs="Arial" w:eastAsia="Arial" w:hAnsi="Arial"/>
          <w:sz w:val="18"/>
          <w:szCs w:val="18"/>
          <w:color w:val="auto"/>
        </w:rPr>
      </w:pPr>
    </w:p>
    <w:p>
      <w:pPr>
        <w:jc w:val="both"/>
        <w:ind w:firstLine="656"/>
        <w:spacing w:after="0" w:line="270" w:lineRule="auto"/>
        <w:tabs>
          <w:tab w:leader="none" w:pos="1683"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jc w:val="both"/>
        <w:ind w:firstLine="648"/>
        <w:spacing w:after="0" w:line="275" w:lineRule="auto"/>
        <w:rPr>
          <w:sz w:val="20"/>
          <w:szCs w:val="20"/>
          <w:color w:val="auto"/>
        </w:rPr>
      </w:pPr>
      <w:r>
        <w:rPr>
          <w:rFonts w:ascii="Arial" w:cs="Arial" w:eastAsia="Arial" w:hAnsi="Arial"/>
          <w:sz w:val="17"/>
          <w:szCs w:val="17"/>
          <w:color w:val="auto"/>
        </w:rPr>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7100" w:type="dxa"/>
            <w:vAlign w:val="bottom"/>
          </w:tcPr>
          <w:p>
            <w:pPr>
              <w:ind w:left="1180"/>
              <w:spacing w:after="0"/>
              <w:rPr>
                <w:sz w:val="20"/>
                <w:szCs w:val="20"/>
                <w:color w:val="auto"/>
              </w:rPr>
            </w:pPr>
            <w:r>
              <w:rPr>
                <w:rFonts w:ascii="Arial" w:cs="Arial" w:eastAsia="Arial" w:hAnsi="Arial"/>
                <w:sz w:val="18"/>
                <w:szCs w:val="18"/>
                <w:b w:val="1"/>
                <w:bCs w:val="1"/>
                <w:color w:val="auto"/>
              </w:rPr>
              <w:t>SUREFIRE MEDICAL, INC. DBA</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p>
        </w:tc>
        <w:tc>
          <w:tcPr>
            <w:tcW w:w="7100" w:type="dxa"/>
            <w:vAlign w:val="bottom"/>
          </w:tcPr>
          <w:p>
            <w:pPr>
              <w:ind w:left="1180"/>
              <w:spacing w:after="0"/>
              <w:rPr>
                <w:sz w:val="20"/>
                <w:szCs w:val="20"/>
                <w:color w:val="auto"/>
              </w:rPr>
            </w:pPr>
            <w:r>
              <w:rPr>
                <w:rFonts w:ascii="Arial" w:cs="Arial" w:eastAsia="Arial" w:hAnsi="Arial"/>
                <w:sz w:val="18"/>
                <w:szCs w:val="18"/>
                <w:b w:val="1"/>
                <w:bCs w:val="1"/>
                <w:color w:val="auto"/>
              </w:rPr>
              <w:t>TRISALUS™ LIFE SCIENCES</w:t>
            </w:r>
          </w:p>
        </w:tc>
        <w:tc>
          <w:tcPr>
            <w:tcW w:w="0" w:type="dxa"/>
            <w:vAlign w:val="bottom"/>
          </w:tcPr>
          <w:p>
            <w:pPr>
              <w:spacing w:after="0"/>
              <w:rPr>
                <w:sz w:val="1"/>
                <w:szCs w:val="1"/>
                <w:color w:val="auto"/>
              </w:rPr>
            </w:pP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Signature</w:t>
            </w:r>
          </w:p>
        </w:tc>
        <w:tc>
          <w:tcPr>
            <w:tcW w:w="7100" w:type="dxa"/>
            <w:vAlign w:val="bottom"/>
          </w:tcPr>
          <w:p>
            <w:pPr>
              <w:ind w:left="118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auto"/>
            </w:tcBorders>
          </w:tcPr>
          <w:p>
            <w:pPr>
              <w:spacing w:after="0"/>
              <w:rPr>
                <w:sz w:val="18"/>
                <w:szCs w:val="18"/>
                <w:color w:val="auto"/>
              </w:rPr>
            </w:pPr>
          </w:p>
        </w:tc>
        <w:tc>
          <w:tcPr>
            <w:tcW w:w="7100" w:type="dxa"/>
            <w:vAlign w:val="bottom"/>
            <w:vMerge w:val="restart"/>
          </w:tcPr>
          <w:p>
            <w:pPr>
              <w:ind w:left="1180"/>
              <w:spacing w:after="0"/>
              <w:rPr>
                <w:sz w:val="20"/>
                <w:szCs w:val="20"/>
                <w:color w:val="auto"/>
              </w:rPr>
            </w:pPr>
            <w:r>
              <w:rPr>
                <w:rFonts w:ascii="Arial" w:cs="Arial" w:eastAsia="Arial" w:hAnsi="Arial"/>
                <w:sz w:val="18"/>
                <w:szCs w:val="18"/>
                <w:color w:val="auto"/>
              </w:rPr>
              <w:t>Print Name</w:t>
            </w:r>
          </w:p>
        </w:tc>
        <w:tc>
          <w:tcPr>
            <w:tcW w:w="0" w:type="dxa"/>
            <w:vAlign w:val="bottom"/>
          </w:tcPr>
          <w:p>
            <w:pPr>
              <w:spacing w:after="0"/>
              <w:rPr>
                <w:sz w:val="1"/>
                <w:szCs w:val="1"/>
                <w:color w:val="auto"/>
              </w:rPr>
            </w:pPr>
          </w:p>
        </w:tc>
      </w:tr>
      <w:tr>
        <w:trPr>
          <w:trHeight w:val="224"/>
        </w:trPr>
        <w:tc>
          <w:tcPr>
            <w:tcW w:w="4140" w:type="dxa"/>
            <w:vAlign w:val="bottom"/>
          </w:tcPr>
          <w:p>
            <w:pPr>
              <w:spacing w:after="0"/>
              <w:rPr>
                <w:sz w:val="20"/>
                <w:szCs w:val="20"/>
                <w:color w:val="auto"/>
              </w:rPr>
            </w:pPr>
            <w:r>
              <w:rPr>
                <w:rFonts w:ascii="Arial" w:cs="Arial" w:eastAsia="Arial" w:hAnsi="Arial"/>
                <w:sz w:val="18"/>
                <w:szCs w:val="18"/>
                <w:color w:val="auto"/>
              </w:rPr>
              <w:t>Print Name</w:t>
            </w:r>
          </w:p>
        </w:tc>
        <w:tc>
          <w:tcPr>
            <w:tcW w:w="7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40" w:type="dxa"/>
            <w:vAlign w:val="bottom"/>
          </w:tcPr>
          <w:p>
            <w:pPr>
              <w:spacing w:after="0"/>
              <w:rPr>
                <w:sz w:val="20"/>
                <w:szCs w:val="20"/>
                <w:color w:val="auto"/>
              </w:rPr>
            </w:pPr>
            <w:r>
              <w:rPr>
                <w:rFonts w:ascii="Arial" w:cs="Arial" w:eastAsia="Arial" w:hAnsi="Arial"/>
                <w:sz w:val="18"/>
                <w:szCs w:val="18"/>
                <w:color w:val="auto"/>
              </w:rPr>
              <w:t>Residence Address</w:t>
            </w:r>
          </w:p>
        </w:tc>
        <w:tc>
          <w:tcPr>
            <w:tcW w:w="7100" w:type="dxa"/>
            <w:vAlign w:val="bottom"/>
          </w:tcPr>
          <w:p>
            <w:pPr>
              <w:ind w:left="118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648"/>
        </w:trPr>
        <w:tc>
          <w:tcPr>
            <w:tcW w:w="414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STOCK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SUREFIRE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DBA TRISALUS™ LIFE 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6272 W. 91st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Westminster, CO 80031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w w:val="91"/>
              </w:rPr>
              <w:t>Exercise of Option. Effective as of today,</w:t>
            </w: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w w:val="92"/>
              </w:rPr>
              <w:t>,    , the undersigned (“</w:t>
            </w:r>
            <w:r>
              <w:rPr>
                <w:rFonts w:ascii="Arial" w:cs="Arial" w:eastAsia="Arial" w:hAnsi="Arial"/>
                <w:sz w:val="18"/>
                <w:szCs w:val="18"/>
                <w:b w:val="1"/>
                <w:bCs w:val="1"/>
                <w:i w:val="1"/>
                <w:iCs w:val="1"/>
                <w:color w:val="auto"/>
                <w:w w:val="92"/>
              </w:rPr>
              <w:t>Participant</w:t>
            </w:r>
            <w:r>
              <w:rPr>
                <w:rFonts w:ascii="Arial" w:cs="Arial" w:eastAsia="Arial" w:hAnsi="Arial"/>
                <w:sz w:val="18"/>
                <w:szCs w:val="18"/>
                <w:color w:val="auto"/>
                <w:w w:val="92"/>
              </w:rPr>
              <w:t>”) hereby elects to exercise Participant’s option</w:t>
            </w:r>
          </w:p>
        </w:tc>
      </w:tr>
      <w:tr>
        <w:trPr>
          <w:trHeight w:val="20"/>
        </w:trPr>
        <w:tc>
          <w:tcPr>
            <w:tcW w:w="660" w:type="dxa"/>
            <w:vAlign w:val="bottom"/>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196"/>
        </w:trPr>
        <w:tc>
          <w:tcPr>
            <w:tcW w:w="2020" w:type="dxa"/>
            <w:vAlign w:val="bottom"/>
            <w:gridSpan w:val="2"/>
          </w:tcPr>
          <w:p>
            <w:pPr>
              <w:spacing w:after="0" w:line="196" w:lineRule="exact"/>
              <w:rPr>
                <w:sz w:val="20"/>
                <w:szCs w:val="20"/>
                <w:color w:val="auto"/>
              </w:rPr>
            </w:pPr>
            <w:r>
              <w:rPr>
                <w:rFonts w:ascii="Arial" w:cs="Arial" w:eastAsia="Arial" w:hAnsi="Arial"/>
                <w:sz w:val="18"/>
                <w:szCs w:val="18"/>
                <w:color w:val="auto"/>
                <w:w w:val="93"/>
              </w:rPr>
              <w:t>(the “</w:t>
            </w:r>
            <w:r>
              <w:rPr>
                <w:rFonts w:ascii="Arial" w:cs="Arial" w:eastAsia="Arial" w:hAnsi="Arial"/>
                <w:sz w:val="18"/>
                <w:szCs w:val="18"/>
                <w:b w:val="1"/>
                <w:bCs w:val="1"/>
                <w:i w:val="1"/>
                <w:iCs w:val="1"/>
                <w:color w:val="auto"/>
                <w:w w:val="93"/>
              </w:rPr>
              <w:t>Option</w:t>
            </w:r>
            <w:r>
              <w:rPr>
                <w:rFonts w:ascii="Arial" w:cs="Arial" w:eastAsia="Arial" w:hAnsi="Arial"/>
                <w:sz w:val="18"/>
                <w:szCs w:val="18"/>
                <w:color w:val="auto"/>
                <w:w w:val="93"/>
              </w:rPr>
              <w:t>”) to purchase</w:t>
            </w:r>
          </w:p>
        </w:tc>
        <w:tc>
          <w:tcPr>
            <w:tcW w:w="15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5"/>
          </w:tcPr>
          <w:p>
            <w:pPr>
              <w:ind w:left="20"/>
              <w:spacing w:after="0" w:line="196" w:lineRule="exact"/>
              <w:rPr>
                <w:sz w:val="20"/>
                <w:szCs w:val="20"/>
                <w:color w:val="auto"/>
              </w:rPr>
            </w:pPr>
            <w:r>
              <w:rPr>
                <w:rFonts w:ascii="Arial" w:cs="Arial" w:eastAsia="Arial" w:hAnsi="Arial"/>
                <w:sz w:val="18"/>
                <w:szCs w:val="18"/>
                <w:color w:val="auto"/>
                <w:w w:val="95"/>
              </w:rPr>
              <w:t>shares of the Common Stock (the “</w:t>
            </w:r>
            <w:r>
              <w:rPr>
                <w:rFonts w:ascii="Arial" w:cs="Arial" w:eastAsia="Arial" w:hAnsi="Arial"/>
                <w:sz w:val="18"/>
                <w:szCs w:val="18"/>
                <w:b w:val="1"/>
                <w:bCs w:val="1"/>
                <w:i w:val="1"/>
                <w:iCs w:val="1"/>
                <w:color w:val="auto"/>
                <w:w w:val="95"/>
              </w:rPr>
              <w:t>Shares</w:t>
            </w:r>
            <w:r>
              <w:rPr>
                <w:rFonts w:ascii="Arial" w:cs="Arial" w:eastAsia="Arial" w:hAnsi="Arial"/>
                <w:sz w:val="18"/>
                <w:szCs w:val="18"/>
                <w:color w:val="auto"/>
                <w:w w:val="95"/>
              </w:rPr>
              <w:t>”) of SUREFIRE MEDICAL, INC. DBA TRISALUS™ LIFE</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SCIENCES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and pursuant to the 2009 Stock Option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Early Exercise Stock Option Agreement</w:t>
      </w:r>
    </w:p>
    <w:p>
      <w:pPr>
        <w:spacing w:after="0" w:line="23" w:lineRule="exact"/>
        <w:rPr>
          <w:sz w:val="20"/>
          <w:szCs w:val="20"/>
          <w:color w:val="auto"/>
        </w:rPr>
      </w:pPr>
    </w:p>
    <w:p>
      <w:pPr>
        <w:spacing w:after="0"/>
        <w:tabs>
          <w:tab w:leader="none" w:pos="1780" w:val="left"/>
          <w:tab w:leader="none" w:pos="22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i w:val="1"/>
          <w:iCs w:val="1"/>
          <w:color w:val="auto"/>
        </w:rPr>
        <w:t>Option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-19050</wp:posOffset>
            </wp:positionV>
            <wp:extent cx="11709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Participant herewith delivers to the Company the full purchase price of the Shares, as set forth in the Option Agreement, and any and all withholding taxes due in connection with the exercise of the Option.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rPr>
        <w:t>. Participant acknowledges that Participant has received, read and understood the Plan and the Option Agreement and agrees to abide by and be bound by their terms and conditions.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8 of the Plan.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Company’s Right of First Refusal</w:t>
      </w:r>
      <w:r>
        <w:rPr>
          <w:rFonts w:ascii="Arial" w:cs="Arial" w:eastAsia="Arial" w:hAnsi="Arial"/>
          <w:sz w:val="18"/>
          <w:szCs w:val="18"/>
          <w:color w:val="auto"/>
        </w:rPr>
        <w:t>. Before any Shares held by Participant or any transferee (either being sometimes referred to herein as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may be sold or otherwise transferred (including transfer by gift or operation of law), the Company or its assignee(s) shall have a right of first refusal to purchase the Shares on the terms and conditions set forth in this Section 5 (the “</w:t>
      </w:r>
      <w:r>
        <w:rPr>
          <w:rFonts w:ascii="Arial" w:cs="Arial" w:eastAsia="Arial" w:hAnsi="Arial"/>
          <w:sz w:val="18"/>
          <w:szCs w:val="18"/>
          <w:b w:val="1"/>
          <w:bCs w:val="1"/>
          <w:i w:val="1"/>
          <w:iCs w:val="1"/>
          <w:color w:val="auto"/>
        </w:rPr>
        <w:t>Right of First Refusal</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u w:val="single" w:color="auto"/>
          <w:color w:val="auto"/>
        </w:rPr>
        <w:t>Notice of Proposed Transfer</w:t>
      </w:r>
      <w:r>
        <w:rPr>
          <w:rFonts w:ascii="Arial" w:cs="Arial" w:eastAsia="Arial" w:hAnsi="Arial"/>
          <w:sz w:val="18"/>
          <w:szCs w:val="18"/>
          <w:color w:val="auto"/>
        </w:rPr>
        <w:t>. The Holder of the Shares shall deliver to the Company a written notice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stating: (i) the Holder’s bona fide intention to sell or otherwise transfer such Shares; (ii) the name of each proposed purchaser or other transferee (“</w:t>
      </w:r>
      <w:r>
        <w:rPr>
          <w:rFonts w:ascii="Arial" w:cs="Arial" w:eastAsia="Arial" w:hAnsi="Arial"/>
          <w:sz w:val="18"/>
          <w:szCs w:val="18"/>
          <w:b w:val="1"/>
          <w:bCs w:val="1"/>
          <w:i w:val="1"/>
          <w:iCs w:val="1"/>
          <w:color w:val="auto"/>
        </w:rPr>
        <w:t>Proposed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Transferee</w:t>
      </w:r>
      <w:r>
        <w:rPr>
          <w:rFonts w:ascii="Arial" w:cs="Arial" w:eastAsia="Arial" w:hAnsi="Arial"/>
          <w:sz w:val="18"/>
          <w:szCs w:val="18"/>
          <w:color w:val="auto"/>
        </w:rPr>
        <w:t>”); (iii) the number of Shares to be transferred to each Proposed Transferee; and (iv) the bona fide cash price or other consideration for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 proposes to transfer the Shares (the “</w:t>
      </w:r>
      <w:r>
        <w:rPr>
          <w:rFonts w:ascii="Arial" w:cs="Arial" w:eastAsia="Arial" w:hAnsi="Arial"/>
          <w:sz w:val="18"/>
          <w:szCs w:val="18"/>
          <w:b w:val="1"/>
          <w:bCs w:val="1"/>
          <w:i w:val="1"/>
          <w:iCs w:val="1"/>
          <w:color w:val="auto"/>
        </w:rPr>
        <w:t>Offered Price</w:t>
      </w:r>
      <w:r>
        <w:rPr>
          <w:rFonts w:ascii="Arial" w:cs="Arial" w:eastAsia="Arial" w:hAnsi="Arial"/>
          <w:sz w:val="18"/>
          <w:szCs w:val="18"/>
          <w:color w:val="auto"/>
        </w:rPr>
        <w:t>”), and the Holder shall offer the Shares at the Offered Price to the Company or its assignee(s).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1296"/>
        <w:spacing w:after="0" w:line="263" w:lineRule="auto"/>
        <w:rPr>
          <w:sz w:val="20"/>
          <w:szCs w:val="20"/>
          <w:color w:val="auto"/>
        </w:rPr>
      </w:pPr>
      <w:r>
        <w:rPr>
          <w:rFonts w:ascii="Arial" w:cs="Arial" w:eastAsia="Arial" w:hAnsi="Arial"/>
          <w:sz w:val="18"/>
          <w:szCs w:val="18"/>
          <w:u w:val="single" w:color="auto"/>
          <w:color w:val="auto"/>
        </w:rPr>
        <w:t>Exercise of Right of First Refusal</w:t>
      </w:r>
      <w:r>
        <w:rPr>
          <w:rFonts w:ascii="Arial" w:cs="Arial" w:eastAsia="Arial" w:hAnsi="Arial"/>
          <w:sz w:val="18"/>
          <w:szCs w:val="18"/>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6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u w:val="single" w:color="auto"/>
          <w:color w:val="auto"/>
        </w:rPr>
        <w:t>Holder’s Right to Transfer</w:t>
      </w:r>
      <w:r>
        <w:rPr>
          <w:rFonts w:ascii="Arial" w:cs="Arial" w:eastAsia="Arial" w:hAnsi="Arial"/>
          <w:sz w:val="16"/>
          <w:szCs w:val="16"/>
          <w:color w:val="auto"/>
        </w:rPr>
        <w:t xml:space="preserve">.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sale or other transfer is consummated within one hundred and twenty (120) 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6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u w:val="single" w:color="auto"/>
          <w:color w:val="auto"/>
        </w:rPr>
        <w:t>Exception for Certain Family Transfers</w:t>
      </w:r>
      <w:r>
        <w:rPr>
          <w:rFonts w:ascii="Arial" w:cs="Arial" w:eastAsia="Arial" w:hAnsi="Arial"/>
          <w:sz w:val="16"/>
          <w:szCs w:val="16"/>
          <w:color w:val="auto"/>
        </w:rPr>
        <w:t>.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w:t>
      </w:r>
      <w:r>
        <w:rPr>
          <w:rFonts w:ascii="Arial" w:cs="Arial" w:eastAsia="Arial" w:hAnsi="Arial"/>
          <w:sz w:val="16"/>
          <w:szCs w:val="16"/>
          <w:b w:val="1"/>
          <w:bCs w:val="1"/>
          <w:i w:val="1"/>
          <w:iCs w:val="1"/>
          <w:color w:val="auto"/>
        </w:rPr>
        <w:t>Immediate Family</w:t>
      </w:r>
      <w:r>
        <w:rPr>
          <w:rFonts w:ascii="Arial" w:cs="Arial" w:eastAsia="Arial" w:hAnsi="Arial"/>
          <w:sz w:val="16"/>
          <w:szCs w:val="16"/>
          <w:color w:val="auto"/>
        </w:rPr>
        <w:t>”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61"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u w:val="single" w:color="auto"/>
          <w:color w:val="auto"/>
        </w:rPr>
        <w:t>Termination of Right of First Refusal</w:t>
      </w:r>
      <w:r>
        <w:rPr>
          <w:rFonts w:ascii="Arial" w:cs="Arial" w:eastAsia="Arial" w:hAnsi="Arial"/>
          <w:sz w:val="18"/>
          <w:szCs w:val="18"/>
          <w:color w:val="auto"/>
        </w:rPr>
        <w:t>. The Right of First Refusal shall terminate as to any Shares upon the earlier of (i) the first sale of Common Stock of the Company to the general public, or (ii) a Change in Control in which the successor corporation has equity securities that are publicly traded.</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ind w:left="660"/>
        <w:spacing w:after="0"/>
        <w:rPr>
          <w:sz w:val="20"/>
          <w:szCs w:val="20"/>
          <w:color w:val="auto"/>
        </w:rPr>
      </w:pP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84"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188"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THE SHARES REPRESENTED BY THIS CERTIFICATE MAY BE SUBJECT TO REPURCHASE PURSUANT TO, AND MAY BE TRANSFERRED ONLY IN ACCORDANCE WITH, THE TERMS OF AN AGREEMENT BETWEEN THE ISSUER AND THE ORIGINAL HOLDER OF THESE SHARES, A COPY OF WHICH IS ON FILE AT THE PRINCIPAL OFFICE OF THE ISSUER. SUCH REPURCHASE AND/OR TRANSFER RESTRICTIONS ARE BINDING ON TRANSFEREES OF THESE SHARES.</w:t>
      </w:r>
    </w:p>
    <w:p>
      <w:pPr>
        <w:spacing w:after="0" w:line="171"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jc w:val="both"/>
        <w:ind w:firstLine="648"/>
        <w:spacing w:after="0" w:line="263" w:lineRule="auto"/>
        <w:rPr>
          <w:sz w:val="20"/>
          <w:szCs w:val="20"/>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Exercise Notice is governed by the internal substantive laws, but not the choice of law rules, of Delaware. In the event that any provision hereof becomes or is declared by a court of competent jurisdiction to be illegal, unenforceable or void, this Exercise Notice shall continue in full force and effect.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SUBMITTED BY:</w:t>
            </w:r>
          </w:p>
        </w:tc>
        <w:tc>
          <w:tcPr>
            <w:tcW w:w="2220" w:type="dxa"/>
            <w:vAlign w:val="bottom"/>
          </w:tcPr>
          <w:p>
            <w:pPr>
              <w:spacing w:after="0"/>
              <w:rPr>
                <w:sz w:val="20"/>
                <w:szCs w:val="20"/>
                <w:color w:val="auto"/>
              </w:rPr>
            </w:pPr>
          </w:p>
        </w:tc>
        <w:tc>
          <w:tcPr>
            <w:tcW w:w="5600" w:type="dxa"/>
            <w:vAlign w:val="bottom"/>
          </w:tcPr>
          <w:p>
            <w:pPr>
              <w:ind w:left="560"/>
              <w:spacing w:after="0"/>
              <w:rPr>
                <w:sz w:val="20"/>
                <w:szCs w:val="20"/>
                <w:color w:val="auto"/>
              </w:rPr>
            </w:pPr>
            <w:r>
              <w:rPr>
                <w:rFonts w:ascii="Arial" w:cs="Arial" w:eastAsia="Arial" w:hAnsi="Arial"/>
                <w:sz w:val="18"/>
                <w:szCs w:val="18"/>
                <w:color w:val="auto"/>
              </w:rPr>
              <w:t>ACCEPTED BY:</w:t>
            </w:r>
          </w:p>
        </w:tc>
        <w:tc>
          <w:tcPr>
            <w:tcW w:w="0" w:type="dxa"/>
            <w:vAlign w:val="bottom"/>
          </w:tcPr>
          <w:p>
            <w:pPr>
              <w:spacing w:after="0"/>
              <w:rPr>
                <w:sz w:val="1"/>
                <w:szCs w:val="1"/>
                <w:color w:val="auto"/>
              </w:rPr>
            </w:pPr>
          </w:p>
        </w:tc>
      </w:tr>
      <w:tr>
        <w:trPr>
          <w:trHeight w:val="41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PARTICIPANT</w:t>
            </w:r>
          </w:p>
        </w:tc>
        <w:tc>
          <w:tcPr>
            <w:tcW w:w="2220" w:type="dxa"/>
            <w:vAlign w:val="bottom"/>
          </w:tcPr>
          <w:p>
            <w:pPr>
              <w:spacing w:after="0"/>
              <w:rPr>
                <w:sz w:val="24"/>
                <w:szCs w:val="24"/>
                <w:color w:val="auto"/>
              </w:rPr>
            </w:pPr>
          </w:p>
        </w:tc>
        <w:tc>
          <w:tcPr>
            <w:tcW w:w="5600" w:type="dxa"/>
            <w:vAlign w:val="bottom"/>
          </w:tcPr>
          <w:p>
            <w:pPr>
              <w:ind w:left="560"/>
              <w:spacing w:after="0"/>
              <w:rPr>
                <w:sz w:val="20"/>
                <w:szCs w:val="20"/>
                <w:color w:val="auto"/>
              </w:rPr>
            </w:pPr>
            <w:r>
              <w:rPr>
                <w:rFonts w:ascii="Arial" w:cs="Arial" w:eastAsia="Arial" w:hAnsi="Arial"/>
                <w:sz w:val="18"/>
                <w:szCs w:val="18"/>
                <w:b w:val="1"/>
                <w:bCs w:val="1"/>
                <w:color w:val="auto"/>
              </w:rPr>
              <w:t>SUREFIRE MEDICAL,INC.</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0" w:type="dxa"/>
            <w:vAlign w:val="bottom"/>
          </w:tcPr>
          <w:p>
            <w:pPr>
              <w:ind w:left="560"/>
              <w:spacing w:after="0"/>
              <w:rPr>
                <w:sz w:val="20"/>
                <w:szCs w:val="20"/>
                <w:color w:val="auto"/>
              </w:rPr>
            </w:pPr>
            <w:r>
              <w:rPr>
                <w:rFonts w:ascii="Arial" w:cs="Arial" w:eastAsia="Arial" w:hAnsi="Arial"/>
                <w:sz w:val="18"/>
                <w:szCs w:val="18"/>
                <w:b w:val="1"/>
                <w:bCs w:val="1"/>
                <w:color w:val="auto"/>
              </w:rPr>
              <w:t>DBA TRISALUS™ LIFE SCIENCES</w:t>
            </w:r>
          </w:p>
        </w:tc>
        <w:tc>
          <w:tcPr>
            <w:tcW w:w="0" w:type="dxa"/>
            <w:vAlign w:val="bottom"/>
          </w:tcPr>
          <w:p>
            <w:pPr>
              <w:spacing w:after="0"/>
              <w:rPr>
                <w:sz w:val="1"/>
                <w:szCs w:val="1"/>
                <w:color w:val="auto"/>
              </w:rPr>
            </w:pP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2220" w:type="dxa"/>
            <w:vAlign w:val="bottom"/>
          </w:tcPr>
          <w:p>
            <w:pPr>
              <w:spacing w:after="0"/>
              <w:rPr>
                <w:sz w:val="24"/>
                <w:szCs w:val="24"/>
                <w:color w:val="auto"/>
              </w:rPr>
            </w:pPr>
          </w:p>
        </w:tc>
        <w:tc>
          <w:tcPr>
            <w:tcW w:w="5600" w:type="dxa"/>
            <w:vAlign w:val="bottom"/>
          </w:tcPr>
          <w:p>
            <w:pPr>
              <w:ind w:left="5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6"/>
        </w:trPr>
        <w:tc>
          <w:tcPr>
            <w:tcW w:w="1240" w:type="dxa"/>
            <w:vAlign w:val="bottom"/>
            <w:vMerge w:val="restart"/>
          </w:tcPr>
          <w:p>
            <w:pPr>
              <w:spacing w:after="0"/>
              <w:rPr>
                <w:sz w:val="20"/>
                <w:szCs w:val="20"/>
                <w:color w:val="auto"/>
              </w:rPr>
            </w:pPr>
            <w:r>
              <w:rPr>
                <w:rFonts w:ascii="Arial" w:cs="Arial" w:eastAsia="Arial" w:hAnsi="Arial"/>
                <w:sz w:val="18"/>
                <w:szCs w:val="18"/>
                <w:color w:val="auto"/>
              </w:rPr>
              <w:t>Print Name</w:t>
            </w:r>
          </w:p>
        </w:tc>
        <w:tc>
          <w:tcPr>
            <w:tcW w:w="21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5600" w:type="dxa"/>
            <w:vAlign w:val="bottom"/>
            <w:vMerge w:val="restart"/>
          </w:tcPr>
          <w:p>
            <w:pPr>
              <w:ind w:left="560"/>
              <w:spacing w:after="0"/>
              <w:rPr>
                <w:sz w:val="20"/>
                <w:szCs w:val="20"/>
                <w:color w:val="auto"/>
              </w:rPr>
            </w:pPr>
            <w:r>
              <w:rPr>
                <w:rFonts w:ascii="Arial" w:cs="Arial" w:eastAsia="Arial" w:hAnsi="Arial"/>
                <w:sz w:val="18"/>
                <w:szCs w:val="18"/>
                <w:color w:val="auto"/>
              </w:rPr>
              <w:t>Print Name</w:t>
            </w:r>
          </w:p>
        </w:tc>
        <w:tc>
          <w:tcPr>
            <w:tcW w:w="0" w:type="dxa"/>
            <w:vAlign w:val="bottom"/>
          </w:tcPr>
          <w:p>
            <w:pPr>
              <w:spacing w:after="0"/>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2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220" w:type="dxa"/>
            <w:vAlign w:val="bottom"/>
          </w:tcPr>
          <w:p>
            <w:pPr>
              <w:spacing w:after="0"/>
              <w:rPr>
                <w:sz w:val="24"/>
                <w:szCs w:val="24"/>
                <w:color w:val="auto"/>
              </w:rPr>
            </w:pPr>
          </w:p>
        </w:tc>
        <w:tc>
          <w:tcPr>
            <w:tcW w:w="5600" w:type="dxa"/>
            <w:vAlign w:val="bottom"/>
          </w:tcPr>
          <w:p>
            <w:pPr>
              <w:ind w:left="5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0" w:type="dxa"/>
            <w:vAlign w:val="bottom"/>
          </w:tcPr>
          <w:p>
            <w:pPr>
              <w:ind w:left="56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0" w:type="dxa"/>
            <w:vAlign w:val="bottom"/>
          </w:tcPr>
          <w:p>
            <w:pPr>
              <w:ind w:left="560"/>
              <w:spacing w:after="0"/>
              <w:rPr>
                <w:sz w:val="20"/>
                <w:szCs w:val="20"/>
                <w:color w:val="auto"/>
              </w:rPr>
            </w:pPr>
            <w:r>
              <w:rPr>
                <w:rFonts w:ascii="Arial" w:cs="Arial" w:eastAsia="Arial" w:hAnsi="Arial"/>
                <w:sz w:val="18"/>
                <w:szCs w:val="18"/>
                <w:color w:val="auto"/>
              </w:rPr>
              <w:t>Date Received</w:t>
            </w:r>
          </w:p>
        </w:tc>
        <w:tc>
          <w:tcPr>
            <w:tcW w:w="0" w:type="dxa"/>
            <w:vAlign w:val="bottom"/>
          </w:tcPr>
          <w:p>
            <w:pPr>
              <w:spacing w:after="0"/>
              <w:rPr>
                <w:sz w:val="1"/>
                <w:szCs w:val="1"/>
                <w:color w:val="auto"/>
              </w:rPr>
            </w:pPr>
          </w:p>
        </w:tc>
      </w:tr>
      <w:tr>
        <w:trPr>
          <w:trHeight w:val="648"/>
        </w:trPr>
        <w:tc>
          <w:tcPr>
            <w:tcW w:w="1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1540" w:type="dxa"/>
            <w:vAlign w:val="bottom"/>
          </w:tcPr>
          <w:p>
            <w:pPr>
              <w:spacing w:after="0"/>
              <w:rPr>
                <w:sz w:val="17"/>
                <w:szCs w:val="17"/>
                <w:color w:val="auto"/>
              </w:rPr>
            </w:pPr>
          </w:p>
        </w:tc>
      </w:tr>
      <w:tr>
        <w:trPr>
          <w:trHeight w:val="453"/>
        </w:trPr>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40" w:type="dxa"/>
            <w:vAlign w:val="bottom"/>
            <w:gridSpan w:val="3"/>
          </w:tcPr>
          <w:p>
            <w:pPr>
              <w:jc w:val="center"/>
              <w:ind w:left="1510"/>
              <w:spacing w:after="0"/>
              <w:rPr>
                <w:sz w:val="20"/>
                <w:szCs w:val="20"/>
                <w:color w:val="auto"/>
              </w:rPr>
            </w:pPr>
            <w:r>
              <w:rPr>
                <w:rFonts w:ascii="Arial" w:cs="Arial" w:eastAsia="Arial" w:hAnsi="Arial"/>
                <w:sz w:val="18"/>
                <w:szCs w:val="18"/>
                <w:b w:val="1"/>
                <w:bCs w:val="1"/>
                <w:color w:val="auto"/>
              </w:rPr>
              <w:t>INVESTMENT REPRESENTATION STATEMENT</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PARTICIPANT</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COMPANY</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640" w:type="dxa"/>
            <w:vAlign w:val="bottom"/>
            <w:gridSpan w:val="3"/>
          </w:tcPr>
          <w:p>
            <w:pPr>
              <w:ind w:left="260"/>
              <w:spacing w:after="0"/>
              <w:rPr>
                <w:sz w:val="20"/>
                <w:szCs w:val="20"/>
                <w:color w:val="auto"/>
              </w:rPr>
            </w:pPr>
            <w:r>
              <w:rPr>
                <w:rFonts w:ascii="Arial" w:cs="Arial" w:eastAsia="Arial" w:hAnsi="Arial"/>
                <w:sz w:val="18"/>
                <w:szCs w:val="18"/>
                <w:color w:val="auto"/>
              </w:rPr>
              <w:t>SUREFIRE MEDICAL, INC. DBA TRISALUS™ LIFE SCIENCES</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SECURITY</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640" w:type="dxa"/>
            <w:vAlign w:val="bottom"/>
            <w:gridSpan w:val="3"/>
          </w:tcPr>
          <w:p>
            <w:pPr>
              <w:ind w:left="260"/>
              <w:spacing w:after="0"/>
              <w:rPr>
                <w:sz w:val="20"/>
                <w:szCs w:val="20"/>
                <w:color w:val="auto"/>
              </w:rPr>
            </w:pPr>
            <w:r>
              <w:rPr>
                <w:rFonts w:ascii="Arial" w:cs="Arial" w:eastAsia="Arial" w:hAnsi="Arial"/>
                <w:sz w:val="18"/>
                <w:szCs w:val="18"/>
                <w:color w:val="auto"/>
              </w:rPr>
              <w:t>COMMON STOCK</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AMOUNT</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DATE</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purchase of the above-listed Securities, the undersigned Participant represents to the Company the following: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(90) days thereafter (or such 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 (2) 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9" w:name="page170"/>
    <w:bookmarkEnd w:id="169"/>
    <w:p>
      <w:pPr>
        <w:jc w:val="both"/>
        <w:ind w:firstLine="1296"/>
        <w:spacing w:after="0" w:line="291"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w:t>
      </w:r>
    </w:p>
    <w:p>
      <w:pPr>
        <w:ind w:firstLine="8"/>
        <w:spacing w:after="0" w:line="323" w:lineRule="auto"/>
        <w:tabs>
          <w:tab w:leader="none" w:pos="26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PARTICIPANT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ASSIGNMENT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instructions below</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7640" w:val="left"/>
        </w:tabs>
        <w:rPr>
          <w:sz w:val="20"/>
          <w:szCs w:val="20"/>
          <w:color w:val="auto"/>
        </w:rPr>
      </w:pPr>
      <w:r>
        <w:rPr>
          <w:rFonts w:ascii="Arial" w:cs="Arial" w:eastAsia="Arial" w:hAnsi="Arial"/>
          <w:sz w:val="18"/>
          <w:szCs w:val="18"/>
          <w:color w:val="auto"/>
        </w:rPr>
        <w:t>FOR VALUE RECEIVED I, ___, hereby sell, assign and transfer unto</w:t>
      </w:r>
      <w:r>
        <w:rPr>
          <w:sz w:val="20"/>
          <w:szCs w:val="20"/>
          <w:color w:val="auto"/>
        </w:rPr>
        <w:tab/>
      </w:r>
      <w:r>
        <w:rPr>
          <w:rFonts w:ascii="Arial" w:cs="Arial" w:eastAsia="Arial" w:hAnsi="Arial"/>
          <w:sz w:val="17"/>
          <w:szCs w:val="17"/>
          <w:color w:val="auto"/>
        </w:rPr>
        <w:t>the shares of the Common Stock of SUREFIRE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-10160</wp:posOffset>
            </wp:positionV>
            <wp:extent cx="11137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MEDICAL, INC. DBA TRISALUS™ LIFE SCIENCES registered in my name on the books of said corporation [represented by Certificate No. ______ ]</w:t>
      </w:r>
    </w:p>
    <w:p>
      <w:pPr>
        <w:spacing w:after="0" w:line="2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and do hereby irrevocably constitute and appoint </w:t>
      </w:r>
      <w:r>
        <w:rPr>
          <w:rFonts w:ascii="Arial" w:cs="Arial" w:eastAsia="Arial" w:hAnsi="Arial"/>
          <w:sz w:val="18"/>
          <w:szCs w:val="18"/>
          <w:u w:val="single" w:color="auto"/>
          <w:color w:val="auto"/>
        </w:rPr>
        <w:t>Latham &amp; Watkins LLP</w:t>
      </w:r>
      <w:r>
        <w:rPr>
          <w:rFonts w:ascii="Arial" w:cs="Arial" w:eastAsia="Arial" w:hAnsi="Arial"/>
          <w:sz w:val="18"/>
          <w:szCs w:val="18"/>
          <w:color w:val="auto"/>
        </w:rPr>
        <w:t xml:space="preserve"> to transfer the said stock on the books of the within named corporation with full power of substitution in the premises.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Stock Assignment may be used only in accordance with the Early Exercise Stock Option Agreement between SUREFIRE MEDICAL, INC.</w:t>
      </w:r>
    </w:p>
    <w:p>
      <w:pPr>
        <w:spacing w:after="0" w:line="46" w:lineRule="exact"/>
        <w:rPr>
          <w:sz w:val="20"/>
          <w:szCs w:val="20"/>
          <w:color w:val="auto"/>
        </w:rPr>
      </w:pPr>
    </w:p>
    <w:p>
      <w:pPr>
        <w:spacing w:after="0"/>
        <w:tabs>
          <w:tab w:leader="none" w:pos="5740" w:val="left"/>
          <w:tab w:leader="none" w:pos="6220" w:val="left"/>
        </w:tabs>
        <w:rPr>
          <w:sz w:val="20"/>
          <w:szCs w:val="20"/>
          <w:color w:val="auto"/>
        </w:rPr>
      </w:pPr>
      <w:r>
        <w:rPr>
          <w:rFonts w:ascii="Arial" w:cs="Arial" w:eastAsia="Arial" w:hAnsi="Arial"/>
          <w:sz w:val="18"/>
          <w:szCs w:val="18"/>
          <w:color w:val="auto"/>
        </w:rPr>
        <w:t>DBA TRISALUS™ LIFE SCIENCES and the undersigned 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21"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INSTRUCTIONS: </w:t>
      </w:r>
      <w:r>
        <w:rPr>
          <w:rFonts w:ascii="Arial" w:cs="Arial" w:eastAsia="Arial" w:hAnsi="Arial"/>
          <w:sz w:val="16"/>
          <w:szCs w:val="16"/>
          <w:i w:val="1"/>
          <w:iCs w:val="1"/>
          <w:color w:val="auto"/>
        </w:rPr>
        <w:t>Please do not fill in any blanks other than the signature line. The purpose of this assignment is to enable the Company to exercise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Company Repurchase Right, as set forth in the Early Exercise Stock Option Agreement, without requiring additional signatures on the part of Participant.</w:t>
      </w: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ESCROW INSTRUCTIONS</w:t>
      </w:r>
    </w:p>
    <w:p>
      <w:pPr>
        <w:spacing w:after="0" w:line="229"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 _______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SUREFIRE MEDICAL, INC. DBA TRISALUS™ LIFE SCIENCES</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As Escrow Agent for both SUREFIRE MEDICAL, INC. DBA TRISALUS™ LIFE SCIENCES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undersigned purchaser of stock of the Company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you are hereby authorized and directed to hold the documents delivered to you pursuant to the terms of that certain Early Exercise Stock Option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between the Company and the undersigned, in accordance with the following instructions:</w:t>
      </w:r>
    </w:p>
    <w:p>
      <w:pPr>
        <w:spacing w:after="0" w:line="187" w:lineRule="exact"/>
        <w:rPr>
          <w:sz w:val="20"/>
          <w:szCs w:val="20"/>
          <w:color w:val="auto"/>
        </w:rPr>
      </w:pPr>
    </w:p>
    <w:p>
      <w:pPr>
        <w:jc w:val="both"/>
        <w:ind w:firstLine="656"/>
        <w:spacing w:after="0" w:line="301" w:lineRule="auto"/>
        <w:tabs>
          <w:tab w:leader="none" w:pos="155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the event the Company or any entitled parties (referred to collectively for convenience herein as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exercises the Company Repurchase Right set forth in the Agreement, the Company shall give to Participant and you a written notice specifying the number of shares of stock to be purchased, the purchase price, and the time for a closing hereunder at the principal office of the Company. Participant and the Company hereby irrevocably authorize and direct you to close the transaction contemplated by such notice in accordance with the terms of said notice.</w:t>
      </w:r>
    </w:p>
    <w:p>
      <w:pPr>
        <w:spacing w:after="0" w:line="157" w:lineRule="exact"/>
        <w:rPr>
          <w:rFonts w:ascii="Arial" w:cs="Arial" w:eastAsia="Arial" w:hAnsi="Arial"/>
          <w:sz w:val="16"/>
          <w:szCs w:val="16"/>
          <w:color w:val="auto"/>
        </w:rPr>
      </w:pPr>
    </w:p>
    <w:p>
      <w:pPr>
        <w:jc w:val="both"/>
        <w:ind w:firstLine="656"/>
        <w:spacing w:after="0" w:line="259" w:lineRule="auto"/>
        <w:tabs>
          <w:tab w:leader="none" w:pos="134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At the closing, you are directed (a) to date the stock assignments necessary for the transfer in question, (b) to fill in the number of shares being transferred, and (c) to deliver the same, together with any certificate evidencing the shares of stock to be transferred, to the Company or its assignee, against the simultaneous delivery to you of the purchase price (by cash, a check, or a combination thereof) for the number of shares of stock being purchased pursuant to the exercise of the Company Repurchase Right.</w:t>
      </w:r>
    </w:p>
    <w:p>
      <w:pPr>
        <w:spacing w:after="0" w:line="186" w:lineRule="exact"/>
        <w:rPr>
          <w:rFonts w:ascii="Arial" w:cs="Arial" w:eastAsia="Arial" w:hAnsi="Arial"/>
          <w:sz w:val="18"/>
          <w:szCs w:val="18"/>
          <w:color w:val="auto"/>
        </w:rPr>
      </w:pPr>
    </w:p>
    <w:p>
      <w:pPr>
        <w:jc w:val="both"/>
        <w:ind w:firstLine="656"/>
        <w:spacing w:after="0" w:line="293" w:lineRule="auto"/>
        <w:tabs>
          <w:tab w:leader="none" w:pos="157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Participant irrevocably authorizes the Company to deposit with you any certificates evidencing shares of stock to be held by you hereunder and any additions and substitutions to said shares as defined in the Agreement. Participant hereby irrevocably constitutes and appoints you as Participant’s attorney-in-fact and agent for the term of this escrow to execute, with respect to such securities, all documents necessary or appropriate to make such securities negotiable and to complete any transaction herein contemplated, including but not limited to the filing with any applicable state blue sky authority of any required applications for consent to, or notice of transfer of, the securities. Subject to the provisions of this Section 3 and to the terms of the Agreement, Participant shall exercise all rights and privileges of a stockholder of the Company while the stock is held by you.</w:t>
      </w:r>
    </w:p>
    <w:p>
      <w:pPr>
        <w:spacing w:after="0" w:line="164" w:lineRule="exact"/>
        <w:rPr>
          <w:rFonts w:ascii="Arial" w:cs="Arial" w:eastAsia="Arial" w:hAnsi="Arial"/>
          <w:sz w:val="16"/>
          <w:szCs w:val="16"/>
          <w:color w:val="auto"/>
        </w:rPr>
      </w:pPr>
    </w:p>
    <w:p>
      <w:pPr>
        <w:jc w:val="both"/>
        <w:ind w:firstLine="656"/>
        <w:spacing w:after="0" w:line="293" w:lineRule="auto"/>
        <w:tabs>
          <w:tab w:leader="none" w:pos="134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Upon written request of Participant, but no more than once per calendar year, unless the Company Repurchase Right has been exercised, you will deliver to Participant a certificate or certificates representing the number of shares of stock as are not then subject to the Company Repurchase Right or will provide Participant evidence that such shares have been duly entered into the records of the Company. Within 120 days after the date Participant ceases to be a Service Provider (within the meaning of the Agreement), you will deliver to Participant a certificate or certificates representing the aggregate number of shares held or issued pursuant to the Agreement and not purchased by the Company or any other entitled parties pursuant to exercise of the Company Repurchase Right or will provide Participant evidence that such shares have been duly entered into the records of the Company.</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jc w:val="both"/>
        <w:ind w:right="20" w:firstLine="648"/>
        <w:spacing w:after="0" w:line="277" w:lineRule="auto"/>
        <w:rPr>
          <w:sz w:val="20"/>
          <w:szCs w:val="20"/>
          <w:color w:val="auto"/>
        </w:rPr>
      </w:pPr>
      <w:r>
        <w:rPr>
          <w:rFonts w:ascii="Arial" w:cs="Arial" w:eastAsia="Arial" w:hAnsi="Arial"/>
          <w:sz w:val="18"/>
          <w:szCs w:val="18"/>
          <w:color w:val="auto"/>
        </w:rPr>
        <w:t>5.            If at the time of termination of this escrow you should have in your possession any documents, securities, or other property belonging to Participant, you shall deliver all of the same to Participant and shall be discharged of all further obligations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            Your duties hereunder may be altered, amended, modified or revoked only by a writing signed by all of the parties hereto.</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7.            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for Participant while acting in good faith, and any act done or omitted by you pursuant to the advice of your own attorneys shall be conclusive evidence of such good faith.</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8.            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            You shall not be liable in any respect on account of the identity, authorities or rights of the parties executing or delivering or purporting to execute or deliver the Agreement or any documents or papers deposited or called for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10.          You shall not be liable for the expiration of any rights under any applicable state, federal or local statute of limitations or similar statute or regulation with respect to these Joint Escrow Instructions or any documents deposited with you.</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11.          You shall be entitled to employ such legal counsel and other experts as you may deem necessary properly to advise you in connection with your obligations hereunder, may rely upon the advice of such counsel, and may pay such counsel reasonable compensation therefor.</w:t>
      </w:r>
    </w:p>
    <w:p>
      <w:pPr>
        <w:spacing w:after="0" w:line="12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12.          Your responsibilities as escrow agent hereunder shall terminate if you shall cease to be an officer or agent of the Company or if you shall resign by written notice to each party. In the event of any such termination, the Company shall appoint a successor escrow agent.</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13.          If you reasonably require other or further instruments in connection with these Joint Escrow Instructions or obligations in respect hereto, the necessary parties hereto shall join in furnishing such instruments.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14.          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disputes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jc w:val="both"/>
        <w:ind w:firstLine="656"/>
        <w:spacing w:after="0" w:line="263" w:lineRule="auto"/>
        <w:tabs>
          <w:tab w:leader="none" w:pos="149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such addresses as a party may designate by written notice to each of the other parties hereto.</w:t>
      </w:r>
    </w:p>
    <w:p>
      <w:pPr>
        <w:spacing w:after="0" w:line="183" w:lineRule="exact"/>
        <w:rPr>
          <w:rFonts w:ascii="Arial" w:cs="Arial" w:eastAsia="Arial" w:hAnsi="Arial"/>
          <w:sz w:val="18"/>
          <w:szCs w:val="18"/>
          <w:color w:val="auto"/>
        </w:rPr>
      </w:pPr>
    </w:p>
    <w:p>
      <w:pPr>
        <w:ind w:firstLine="656"/>
        <w:spacing w:after="0" w:line="277" w:lineRule="auto"/>
        <w:tabs>
          <w:tab w:leader="none" w:pos="142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By signing these Joint Escrow Instructions, you become a party hereto only for the purpose of the Joint Escrow Instructions; you do not become a party to the Agreement.</w:t>
      </w:r>
    </w:p>
    <w:p>
      <w:pPr>
        <w:spacing w:after="0" w:line="170" w:lineRule="exact"/>
        <w:rPr>
          <w:rFonts w:ascii="Arial" w:cs="Arial" w:eastAsia="Arial" w:hAnsi="Arial"/>
          <w:sz w:val="18"/>
          <w:szCs w:val="18"/>
          <w:color w:val="auto"/>
        </w:rPr>
      </w:pPr>
    </w:p>
    <w:p>
      <w:pPr>
        <w:ind w:left="1620" w:hanging="964"/>
        <w:spacing w:after="0"/>
        <w:tabs>
          <w:tab w:leader="none" w:pos="16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This instrument shall be binding upon and inure to the benefit of the parties hereto, and their respective successors and permitted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assigns.</w:t>
      </w:r>
    </w:p>
    <w:p>
      <w:pPr>
        <w:spacing w:after="0" w:line="210" w:lineRule="exact"/>
        <w:rPr>
          <w:rFonts w:ascii="Arial" w:cs="Arial" w:eastAsia="Arial" w:hAnsi="Arial"/>
          <w:sz w:val="16"/>
          <w:szCs w:val="16"/>
          <w:color w:val="auto"/>
        </w:rPr>
      </w:pPr>
    </w:p>
    <w:p>
      <w:pPr>
        <w:ind w:right="20" w:firstLine="656"/>
        <w:spacing w:after="0" w:line="277" w:lineRule="auto"/>
        <w:tabs>
          <w:tab w:leader="none" w:pos="169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These Joint Escrow Instructions shall be governed by, and construed and enforced in accordance with, the laws of the State of Delaware, excluding that body of law pertaining to conflicts of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These Joint Escrow Instructions shall be effective as of the date first set forth above.</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SUREFIRE MEDICAL, INC. DBA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TRISALUS™ LIFE SCIENCES.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PARTICIPANT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Address:</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ESCROW AGENT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Title:</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Form of 83(b) Election and Instructions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These instructions are provided to assist you if you choose to make an election under Section 83(b) of the Internal Revenue Code of 1986, as amended, with respect to the shares of common stock of SUREFIRE MEDICAL, INC. DBA TRISALUS™ LIFE SCIENCES transferred to you. </w:t>
      </w:r>
      <w:r>
        <w:rPr>
          <w:rFonts w:ascii="Arial" w:cs="Arial" w:eastAsia="Arial" w:hAnsi="Arial"/>
          <w:sz w:val="16"/>
          <w:szCs w:val="16"/>
          <w:b w:val="1"/>
          <w:bCs w:val="1"/>
          <w:color w:val="auto"/>
        </w:rPr>
        <w:t>Please consult with</w:t>
      </w:r>
      <w:r>
        <w:rPr>
          <w:rFonts w:ascii="Arial" w:cs="Arial" w:eastAsia="Arial" w:hAnsi="Arial"/>
          <w:sz w:val="16"/>
          <w:szCs w:val="16"/>
          <w:color w:val="auto"/>
        </w:rPr>
        <w:t xml:space="preserve"> </w:t>
      </w:r>
      <w:r>
        <w:rPr>
          <w:rFonts w:ascii="Arial" w:cs="Arial" w:eastAsia="Arial" w:hAnsi="Arial"/>
          <w:sz w:val="16"/>
          <w:szCs w:val="16"/>
          <w:b w:val="1"/>
          <w:bCs w:val="1"/>
          <w:color w:val="auto"/>
        </w:rPr>
        <w:t>your personal tax advisor as to whether an election of this nature will be in your best interests in light of your personal tax situation.</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executed original of the Section 83(b) election must be filed with the Internal Revenue Service not later than 30 days after the date the shares were transferred to you. PLEASE NOTE: There is no remedy for failure to file on time. The steps outlined below should be followed to ensure the election is mailed and filed correctly and in a timely manner. ALSO, PLEASE NOTE: If you make the Section 83(b) election, the election is irrevocable.</w:t>
      </w:r>
    </w:p>
    <w:p>
      <w:pPr>
        <w:spacing w:after="0" w:line="14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Complete the Section 83(b) election form (attached as </w:t>
      </w:r>
      <w:r>
        <w:rPr>
          <w:rFonts w:ascii="Arial" w:cs="Arial" w:eastAsia="Arial" w:hAnsi="Arial"/>
          <w:sz w:val="18"/>
          <w:szCs w:val="18"/>
          <w:b w:val="1"/>
          <w:bCs w:val="1"/>
          <w:color w:val="auto"/>
        </w:rPr>
        <w:t>Attachment 1</w:t>
      </w:r>
      <w:r>
        <w:rPr>
          <w:rFonts w:ascii="Arial" w:cs="Arial" w:eastAsia="Arial" w:hAnsi="Arial"/>
          <w:sz w:val="18"/>
          <w:szCs w:val="18"/>
          <w:color w:val="auto"/>
        </w:rPr>
        <w:t>) and make three copies of the signed election form. (If you live in a community property state, your spouse or registered domestic partner should sign the Section 83(b) election form as well.)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Prepare the cover letter to the Internal Revenue Service (sample letter attached as </w:t>
      </w:r>
      <w:r>
        <w:rPr>
          <w:rFonts w:ascii="Arial" w:cs="Arial" w:eastAsia="Arial" w:hAnsi="Arial"/>
          <w:sz w:val="18"/>
          <w:szCs w:val="18"/>
          <w:b w:val="1"/>
          <w:bCs w:val="1"/>
          <w:color w:val="auto"/>
        </w:rPr>
        <w:t>Attachment 2</w:t>
      </w:r>
      <w:r>
        <w:rPr>
          <w:rFonts w:ascii="Arial" w:cs="Arial" w:eastAsia="Arial" w:hAnsi="Arial"/>
          <w:sz w:val="18"/>
          <w:szCs w:val="18"/>
          <w:color w:val="auto"/>
        </w:rPr>
        <w: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Send the cover letter with the originally executed Section 83(b) election form and one copy via certified mail, return receipt requested to the Internal Revenue Service at the address of the Internal Revenue Service where you file your personal tax returns. We suggest that you have the package date-stamped at the post office. The post office will provide you with a certified receipt that includes a dated postmark. Enclose a self-addressed, stamped envelope so that the Internal Revenue Service may return a date-stamped copy to you. However, your postmarked receipt is your proof of having timely filed the Section 83(b) election if you do not receive confirmation from the Internal Revenue Service.</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One copy must be sent to SUREFIRE MEDICAL, INC. DBA TRISALUS™ LIFE SCIENCES for its records. Note that you do </w:t>
      </w:r>
      <w:r>
        <w:rPr>
          <w:rFonts w:ascii="Arial" w:cs="Arial" w:eastAsia="Arial" w:hAnsi="Arial"/>
          <w:sz w:val="18"/>
          <w:szCs w:val="18"/>
          <w:b w:val="1"/>
          <w:bCs w:val="1"/>
          <w:color w:val="auto"/>
        </w:rPr>
        <w:t>not</w:t>
      </w:r>
      <w:r>
        <w:rPr>
          <w:rFonts w:ascii="Arial" w:cs="Arial" w:eastAsia="Arial" w:hAnsi="Arial"/>
          <w:sz w:val="18"/>
          <w:szCs w:val="18"/>
          <w:color w:val="auto"/>
        </w:rPr>
        <w:t xml:space="preserve"> need to attach a copy of your election with your federal income tax return for the applicable calendar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Retain the Internal Revenue Service file stamped copy (when returned) for your records.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Please consult your personal tax advisor for the address of the office of the Internal Revenue Service to which you should mail your election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8"/>
          <w:szCs w:val="18"/>
          <w:b w:val="1"/>
          <w:bCs w:val="1"/>
          <w:color w:val="auto"/>
        </w:rPr>
        <w:t>ATTACHMENT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Under Internal Revenue Code Section 83(b)</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undersigned taxpayer hereby elects, pursuant to Section 83(b) of the Internal Revenue Code of 1986, as amended, to include in taxpayer’s gross income for the current taxable year the amount of any compensation taxable to taxpayer in connection with taxpayer’s receipt of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Common Stock of SUREFIRE MEDICAL, INC. DBA TRISALUS™ LIFE SCIENCES,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name, address and taxpayer identification number of the undersigned taxpayer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580390</wp:posOffset>
            </wp:positionV>
            <wp:extent cx="22117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434975</wp:posOffset>
            </wp:positionV>
            <wp:extent cx="22117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288925</wp:posOffset>
            </wp:positionV>
            <wp:extent cx="22117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SSN: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name, address and taxpayer identification number of the Taxpayer’s spouse/registered domestic partner are (complete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588010</wp:posOffset>
            </wp:positionV>
            <wp:extent cx="22117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441960</wp:posOffset>
            </wp:positionV>
            <wp:extent cx="22117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296545</wp:posOffset>
            </wp:positionV>
            <wp:extent cx="221170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SSN: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the property with respect to which the election is being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 Shares of the Company.</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date on which the property was transferred was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The taxable year to which this election relates is calendar year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3810</wp:posOffset>
            </wp:positionV>
            <wp:extent cx="105664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1056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25400</wp:posOffset>
            </wp:positionV>
            <wp:extent cx="4000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3">
            <w:col w:w="4720" w:space="720"/>
            <w:col w:w="4600" w:space="680"/>
            <w:col w:w="520"/>
          </w:cols>
          <w:pgMar w:left="320" w:top="904"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Nature of restrictions to which the property is subject:</w:t>
      </w:r>
    </w:p>
    <w:p>
      <w:pPr>
        <w:sectPr>
          <w:pgSz w:w="11900" w:h="16838" w:orient="portrait"/>
          <w:cols w:equalWidth="0" w:num="1">
            <w:col w:w="11240"/>
          </w:cols>
          <w:pgMar w:left="320" w:top="904" w:right="339" w:bottom="1440" w:gutter="0" w:footer="0" w:header="0"/>
          <w:type w:val="continuous"/>
        </w:sectPr>
      </w:pPr>
    </w:p>
    <w:p>
      <w:pPr>
        <w:spacing w:after="0" w:line="24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Shares are subject to repurchase by the Company or its assignee upon the occurrence of certain events. This repurchase right lapses based upon the continued performance of services by the taxpayer over time.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fair market value at the time of transfer (determined without regard to any lapse restrictions, as defined in Treasury Regulation Section 1.83-3(i)) of the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w w:val="84"/>
              </w:rPr>
              <w:t>Shares was $</w:t>
            </w:r>
          </w:p>
        </w:tc>
        <w:tc>
          <w:tcPr>
            <w:tcW w:w="1180" w:type="dxa"/>
            <w:vAlign w:val="bottom"/>
            <w:tcBorders>
              <w:bottom w:val="single" w:sz="8" w:color="auto"/>
            </w:tcBorders>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w w:val="90"/>
              </w:rPr>
              <w:t>per Share x</w:t>
            </w:r>
          </w:p>
        </w:tc>
        <w:tc>
          <w:tcPr>
            <w:tcW w:w="680" w:type="dxa"/>
            <w:vAlign w:val="bottom"/>
            <w:tcBorders>
              <w:bottom w:val="single" w:sz="8" w:color="auto"/>
            </w:tcBorders>
            <w:gridSpan w:val="2"/>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4"/>
              </w:rPr>
              <w:t>Shares = $</w:t>
            </w:r>
          </w:p>
        </w:tc>
        <w:tc>
          <w:tcPr>
            <w:tcW w:w="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2"/>
        </w:trPr>
        <w:tc>
          <w:tcPr>
            <w:tcW w:w="3660" w:type="dxa"/>
            <w:vAlign w:val="bottom"/>
            <w:gridSpan w:val="5"/>
          </w:tcPr>
          <w:p>
            <w:pPr>
              <w:spacing w:after="0"/>
              <w:rPr>
                <w:sz w:val="20"/>
                <w:szCs w:val="20"/>
                <w:color w:val="auto"/>
              </w:rPr>
            </w:pPr>
            <w:r>
              <w:rPr>
                <w:rFonts w:ascii="Arial" w:cs="Arial" w:eastAsia="Arial" w:hAnsi="Arial"/>
                <w:sz w:val="18"/>
                <w:szCs w:val="18"/>
                <w:color w:val="auto"/>
                <w:w w:val="90"/>
              </w:rPr>
              <w:t>The amount paid by the taxpayer for Shares was $</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2"/>
              </w:rPr>
              <w:t>per Share x</w:t>
            </w:r>
          </w:p>
        </w:tc>
        <w:tc>
          <w:tcPr>
            <w:tcW w:w="7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w w:val="84"/>
              </w:rPr>
              <w:t>Shares =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12"/>
        </w:trPr>
        <w:tc>
          <w:tcPr>
            <w:tcW w:w="3120" w:type="dxa"/>
            <w:vAlign w:val="bottom"/>
            <w:gridSpan w:val="4"/>
          </w:tcPr>
          <w:p>
            <w:pPr>
              <w:spacing w:after="0"/>
              <w:rPr>
                <w:sz w:val="20"/>
                <w:szCs w:val="20"/>
                <w:color w:val="auto"/>
              </w:rPr>
            </w:pPr>
            <w:r>
              <w:rPr>
                <w:rFonts w:ascii="Arial" w:cs="Arial" w:eastAsia="Arial" w:hAnsi="Arial"/>
                <w:sz w:val="18"/>
                <w:szCs w:val="18"/>
                <w:color w:val="auto"/>
                <w:w w:val="90"/>
              </w:rPr>
              <w:t>The amount to include in gross income is $</w:t>
            </w: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Pr>
          <w:p>
            <w:pPr>
              <w:jc w:val="right"/>
              <w:ind w:right="269"/>
              <w:spacing w:after="0"/>
              <w:rPr>
                <w:sz w:val="20"/>
                <w:szCs w:val="20"/>
                <w:color w:val="auto"/>
              </w:rPr>
            </w:pPr>
            <w:r>
              <w:rPr>
                <w:rFonts w:ascii="Arial" w:cs="Arial" w:eastAsia="Arial" w:hAnsi="Arial"/>
                <w:sz w:val="10"/>
                <w:szCs w:val="10"/>
                <w:color w:val="auto"/>
                <w:w w:val="70"/>
              </w:rPr>
              <w:t>.</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taxpayer will file this election with the Internal Revenue Service office with which taxpayer files his or her annual income tax return not later than 30 days after the date of transfer of the property. A copy of this statement has been furnished to the Company. The undersigned is the person performing the services in connection with which the property was transferred.</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77" w:name="page178"/>
    <w:bookmarkEnd w:id="177"/>
    <w:p>
      <w:pPr>
        <w:spacing w:after="0"/>
        <w:rPr>
          <w:sz w:val="20"/>
          <w:szCs w:val="20"/>
          <w:color w:val="auto"/>
        </w:rPr>
      </w:pPr>
      <w:r>
        <w:rPr>
          <w:rFonts w:ascii="Arial" w:cs="Arial" w:eastAsia="Arial" w:hAnsi="Arial"/>
          <w:sz w:val="18"/>
          <w:szCs w:val="18"/>
          <w:color w:val="auto"/>
        </w:rPr>
        <w:t>The undersigned understands that the foregoing election may not be revoked except with the consent of the Commissioner.</w:t>
      </w:r>
    </w:p>
    <w:p>
      <w:pPr>
        <w:spacing w:after="0" w:line="225"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Dated: _________________,______</w:t>
      </w:r>
      <w:r>
        <w:rPr>
          <w:sz w:val="20"/>
          <w:szCs w:val="20"/>
          <w:color w:val="auto"/>
        </w:rPr>
        <w:tab/>
      </w:r>
      <w:r>
        <w:rPr>
          <w:rFonts w:ascii="Arial" w:cs="Arial" w:eastAsia="Arial" w:hAnsi="Arial"/>
          <w:sz w:val="15"/>
          <w:szCs w:val="15"/>
          <w:color w:val="auto"/>
        </w:rPr>
        <w:t>Taxpayer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spouse or registered domestic partner of Taxpayer joins in this election. (Complete if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Dated:  _________________,______</w:t>
            </w:r>
          </w:p>
        </w:tc>
        <w:tc>
          <w:tcPr>
            <w:tcW w:w="4340" w:type="dxa"/>
            <w:vAlign w:val="bottom"/>
          </w:tcPr>
          <w:p>
            <w:pPr>
              <w:ind w:left="1200"/>
              <w:spacing w:after="0"/>
              <w:rPr>
                <w:sz w:val="20"/>
                <w:szCs w:val="20"/>
                <w:color w:val="auto"/>
              </w:rPr>
            </w:pPr>
            <w:r>
              <w:rPr>
                <w:rFonts w:ascii="Arial" w:cs="Arial" w:eastAsia="Arial" w:hAnsi="Arial"/>
                <w:sz w:val="18"/>
                <w:szCs w:val="18"/>
                <w:color w:val="auto"/>
                <w:w w:val="91"/>
              </w:rPr>
              <w:t>Spouse’s or Domestic Partner’s Signature:</w:t>
            </w:r>
          </w:p>
        </w:tc>
        <w:tc>
          <w:tcPr>
            <w:tcW w:w="2920" w:type="dxa"/>
            <w:vAlign w:val="bottom"/>
            <w:tcBorders>
              <w:bottom w:val="single" w:sz="8" w:color="auto"/>
            </w:tcBorders>
          </w:tcPr>
          <w:p>
            <w:pPr>
              <w:spacing w:after="0"/>
              <w:rPr>
                <w:sz w:val="20"/>
                <w:szCs w:val="20"/>
                <w:color w:val="auto"/>
              </w:rPr>
            </w:pPr>
          </w:p>
        </w:tc>
      </w:tr>
      <w:tr>
        <w:trPr>
          <w:trHeight w:val="668"/>
        </w:trPr>
        <w:tc>
          <w:tcPr>
            <w:tcW w:w="398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D-3</w:t>
            </w:r>
          </w:p>
        </w:tc>
      </w:tr>
    </w:tbl>
    <w:p>
      <w:pPr>
        <w:sectPr>
          <w:pgSz w:w="11900" w:h="16838" w:orient="portrait"/>
          <w:cols w:equalWidth="0" w:num="1">
            <w:col w:w="11240"/>
          </w:cols>
          <w:pgMar w:left="320" w:top="908" w:right="339"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8"/>
          <w:szCs w:val="18"/>
          <w:b w:val="1"/>
          <w:bCs w:val="1"/>
          <w:color w:val="auto"/>
        </w:rPr>
        <w:t>ATTACHMENT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Sample Cover Letter to Internal Revenue Service</w:t>
      </w:r>
    </w:p>
    <w:p>
      <w:pPr>
        <w:spacing w:after="0" w:line="25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_________________________,______</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 CERTIFIED MAIL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RETURN RECEIPT REQUESTED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Internal Revenue Service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where taxpayer files returns]</w:t>
      </w:r>
    </w:p>
    <w:p>
      <w:pPr>
        <w:sectPr>
          <w:pgSz w:w="11900" w:h="16838" w:orient="portrait"/>
          <w:cols w:equalWidth="0" w:num="1">
            <w:col w:w="11240"/>
          </w:cols>
          <w:pgMar w:left="320" w:top="904"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Election under Section 83(b) of the Internal Revenue Code of 1986 Taxpayer: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Taxpayer’s Social Security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Taxpayer’s Spouse/Domestic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Taxpayer’s Spouse’s/Domestic Partner’s Social Security Number:</w:t>
      </w:r>
    </w:p>
    <w:p>
      <w:pPr>
        <w:spacing w:after="0" w:line="200" w:lineRule="exact"/>
        <w:rPr>
          <w:sz w:val="20"/>
          <w:szCs w:val="20"/>
          <w:color w:val="auto"/>
        </w:rPr>
      </w:pPr>
    </w:p>
    <w:p>
      <w:pPr>
        <w:sectPr>
          <w:pgSz w:w="11900" w:h="16838" w:orient="portrait"/>
          <w:cols w:equalWidth="0" w:num="2">
            <w:col w:w="260" w:space="400"/>
            <w:col w:w="10580"/>
          </w:cols>
          <w:pgMar w:left="320" w:top="904"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Enclosed please find an original and one copy of an Election under Section 83(b) of the Internal Revenue Code of 1986, as amended, being made by the taxpayer referenced above. Please acknowledge receipt of the enclosed materials by stamping the enclosed copy of the Election and returning it to me in the self-addressed stamped envelope provided herewith.</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288925</wp:posOffset>
            </wp:positionV>
            <wp:extent cx="3566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5460" w:right="5500" w:hanging="5452"/>
        <w:spacing w:after="0" w:line="539" w:lineRule="auto"/>
        <w:tabs>
          <w:tab w:leader="none" w:pos="53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SUREFIRE MEDICAL, INC. DBA TRISALUS™ LIFE SCIENCES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79" w:name="page180"/>
    <w:bookmarkEnd w:id="179"/>
    <w:p>
      <w:pPr>
        <w:jc w:val="right"/>
        <w:spacing w:after="0"/>
        <w:rPr>
          <w:sz w:val="20"/>
          <w:szCs w:val="20"/>
          <w:color w:val="auto"/>
        </w:rPr>
      </w:pPr>
      <w:r>
        <w:rPr>
          <w:rFonts w:ascii="Arial" w:cs="Arial" w:eastAsia="Arial" w:hAnsi="Arial"/>
          <w:sz w:val="22"/>
          <w:szCs w:val="22"/>
          <w:b w:val="1"/>
          <w:bCs w:val="1"/>
          <w:color w:val="auto"/>
        </w:rPr>
        <w:t>Exhibit 10.18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SUREFIRE MEDICAL, INC. DBA TRISALUS™ LIFE SCIENCES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2009 STOCK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defined herein, the terms defined in the 2009 Stock Option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have the same defined meanings in this Stock Option Agreement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w:t>
      </w:r>
    </w:p>
    <w:p>
      <w:pPr>
        <w:spacing w:after="0" w:line="166" w:lineRule="exact"/>
        <w:rPr>
          <w:sz w:val="20"/>
          <w:szCs w:val="20"/>
          <w:color w:val="auto"/>
        </w:rPr>
      </w:pPr>
    </w:p>
    <w:p>
      <w:pPr>
        <w:ind w:left="660" w:right="7460" w:hanging="652"/>
        <w:spacing w:after="0" w:line="503" w:lineRule="auto"/>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NOTICE OF STOCK OPTION GRANT </w:t>
      </w: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jc w:val="both"/>
        <w:ind w:firstLine="648"/>
        <w:spacing w:after="0" w:line="290" w:lineRule="auto"/>
        <w:rPr>
          <w:sz w:val="20"/>
          <w:szCs w:val="20"/>
          <w:color w:val="auto"/>
        </w:rPr>
      </w:pPr>
      <w:r>
        <w:rPr>
          <w:rFonts w:ascii="Arial" w:cs="Arial" w:eastAsia="Arial" w:hAnsi="Arial"/>
          <w:sz w:val="16"/>
          <w:szCs w:val="16"/>
          <w:color w:val="auto"/>
        </w:rPr>
        <w:t>Pursuant to the option grant summary tab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on the website to which this Option Agreement is associated, SUREFIRE MEDICAL, INC. DBA TRISALUS™ LIFE SCIENCES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to the option holder set forth in the Grant Notice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an option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under the Plan to purchase the number of Shares indicated in the Grant Notice. By Participant’s electronic acceptance of this Option on the Grant Notice, Participant acknowledges receipt of a copy of the Plan and represents that Participant is familiar with the terms and provisions thereof, and hereby accepts this Option subject to all of the terms and provisions of the Plan, this Option Agreement and the Grant Notice. Participant has reviewed the Plan, this Option Agreement and the Grant Notice in their entirety, has had an opportunity to obtain the advice of counsel prior to accepting this Option and fully understands all provisions of this Option Agreement, the Plan and the Grant Notice. Participant hereby agrees to accept as binding, conclusive and final all decisions or interpretations of the Administrator of the Plan upon any questions arising under the Plan or the Option.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Option shall vest and become exercisable in accordance with the vesting schedule set forth in the Grant Notice, subject to Participant remaining a Service Provider of the Company through each applicable vesting date (the “</w:t>
      </w:r>
      <w:r>
        <w:rPr>
          <w:rFonts w:ascii="Arial" w:cs="Arial" w:eastAsia="Arial" w:hAnsi="Arial"/>
          <w:sz w:val="18"/>
          <w:szCs w:val="18"/>
          <w:b w:val="1"/>
          <w:bCs w:val="1"/>
          <w:i w:val="1"/>
          <w:iCs w:val="1"/>
          <w:color w:val="auto"/>
        </w:rPr>
        <w:t>Vesting Schedule</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Termination Period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Option shall be exercisable for three (3) months after Participant ceases to be a Service Provider, unless such termination is as a result of</w:t>
      </w:r>
    </w:p>
    <w:p>
      <w:pPr>
        <w:spacing w:after="0" w:line="46" w:lineRule="exact"/>
        <w:rPr>
          <w:sz w:val="20"/>
          <w:szCs w:val="20"/>
          <w:color w:val="auto"/>
        </w:rPr>
      </w:pPr>
    </w:p>
    <w:p>
      <w:pPr>
        <w:ind w:left="220" w:hanging="212"/>
        <w:spacing w:after="0"/>
        <w:tabs>
          <w:tab w:leader="none" w:pos="2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Participant’s death or Disability, in which case this Option shall be exercisable for twelve (12) months after Participant ceases to be a Service Provider or</w:t>
      </w:r>
    </w:p>
    <w:p>
      <w:pPr>
        <w:spacing w:after="0" w:line="32" w:lineRule="exact"/>
        <w:rPr>
          <w:rFonts w:ascii="Arial" w:cs="Arial" w:eastAsia="Arial" w:hAnsi="Arial"/>
          <w:sz w:val="16"/>
          <w:szCs w:val="16"/>
          <w:color w:val="auto"/>
        </w:rPr>
      </w:pPr>
    </w:p>
    <w:p>
      <w:pPr>
        <w:jc w:val="both"/>
        <w:ind w:firstLine="8"/>
        <w:spacing w:after="0" w:line="271" w:lineRule="auto"/>
        <w:tabs>
          <w:tab w:leader="none" w:pos="28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Participant’s termination by the Company for Cause (as defined below), in which case this Option shall cease to be exercisable as of the date that Participant ceases to be a Service Provider,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Option shall not terminate (and shall remain outstanding) until the three (3)-month anniversary of the date that Participant ceases to be a Service Provider (but shall not vest or be exercisable following the date that Participant ceases to be a Service Provider unless otherwise provided by the Company). Notwithstanding the foregoing sentence, in no event may this Option be exercised after the Term/Expiration Date as provided above and this Option may be subject to earlier termination as provided in Section 8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0" w:name="page181"/>
    <w:bookmarkEnd w:id="180"/>
    <w:p>
      <w:pPr>
        <w:jc w:val="both"/>
        <w:ind w:firstLine="648"/>
        <w:spacing w:after="0" w:line="253" w:lineRule="auto"/>
        <w:rPr>
          <w:sz w:val="20"/>
          <w:szCs w:val="20"/>
          <w:color w:val="auto"/>
        </w:rPr>
      </w:pPr>
      <w:r>
        <w:rPr>
          <w:rFonts w:ascii="Arial" w:cs="Arial" w:eastAsia="Arial" w:hAnsi="Arial"/>
          <w:sz w:val="18"/>
          <w:szCs w:val="18"/>
          <w:color w:val="auto"/>
        </w:rPr>
        <w:t>For purposes hereof, “</w:t>
      </w:r>
      <w:r>
        <w:rPr>
          <w:rFonts w:ascii="Arial" w:cs="Arial" w:eastAsia="Arial" w:hAnsi="Arial"/>
          <w:sz w:val="18"/>
          <w:szCs w:val="18"/>
          <w:u w:val="single" w:color="auto"/>
          <w:color w:val="auto"/>
        </w:rPr>
        <w:t>Cause</w:t>
      </w:r>
      <w:r>
        <w:rPr>
          <w:rFonts w:ascii="Arial" w:cs="Arial" w:eastAsia="Arial" w:hAnsi="Arial"/>
          <w:sz w:val="18"/>
          <w:szCs w:val="18"/>
          <w:color w:val="auto"/>
        </w:rPr>
        <w:t>” means, with respect to the Participant, the occurrence of any of the following events (unless another definition is provided in an employment agreement or other applicable written agreement with the Participant and the Company): (i) the Participant’s willful failure to perform his or her duties and responsibilities to the Company or the Participant’s violation of any written Company policy; (ii) the Participant’s commission of any act of fraud, embezzlement, dishonesty or any other willful misconduct that has caused or is reasonably expected to result in injury to the Company; (iii) the Participant’s unauthorized use or disclosure of any proprietary information or trade secrets of the Company or any other party to whom the Participant owes an obligation of nondisclosure as a result of his or her relationship with the Company; or (iv) the Participant’s material breach of any of his or her obligations under any written agreement or covenant with the Company. The determination as to whether the Participant’s termination as a Service Provider has occurred for Cause shall be made in good faith by the Company and shall be final and binding on the Participant. The foregoing definition does not in any way limit the Company’s ability to terminate the Participant’s employment or consulting relationship at any time, subject to Applicable Laws.</w:t>
      </w:r>
    </w:p>
    <w:p>
      <w:pPr>
        <w:spacing w:after="0" w:line="190"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w:t>
      </w:r>
    </w:p>
    <w:p>
      <w:pPr>
        <w:spacing w:after="0" w:line="229" w:lineRule="exact"/>
        <w:rPr>
          <w:rFonts w:ascii="Arial" w:cs="Arial" w:eastAsia="Arial" w:hAnsi="Arial"/>
          <w:sz w:val="18"/>
          <w:szCs w:val="18"/>
          <w:b w:val="1"/>
          <w:bCs w:val="1"/>
          <w:color w:val="auto"/>
        </w:rPr>
      </w:pPr>
    </w:p>
    <w:p>
      <w:pPr>
        <w:jc w:val="both"/>
        <w:ind w:firstLine="656"/>
        <w:spacing w:after="0" w:line="259" w:lineRule="auto"/>
        <w:tabs>
          <w:tab w:leader="none" w:pos="1444"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The Administrator of the Company hereby grants to the Participant the Option to purchase the number of Shares set forth in the Grant Notice, at the exercise price per Share set forth in the Grant Notice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and subject to the terms and conditions of the Plan, which is incorporated herein by reference. Subject to Section 14 of the Plan, in the event of a conflict between the terms and conditions of the Plan and this Option Agreement, the terms and conditions of the Plan shall prevail.</w:t>
      </w:r>
    </w:p>
    <w:p>
      <w:pPr>
        <w:spacing w:after="0" w:line="18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If designated in the Grant Notice as an Incentive Stock Option (“</w:t>
      </w:r>
      <w:r>
        <w:rPr>
          <w:rFonts w:ascii="Arial" w:cs="Arial" w:eastAsia="Arial" w:hAnsi="Arial"/>
          <w:sz w:val="18"/>
          <w:szCs w:val="18"/>
          <w:b w:val="1"/>
          <w:bCs w:val="1"/>
          <w:i w:val="1"/>
          <w:iCs w:val="1"/>
          <w:color w:val="auto"/>
        </w:rPr>
        <w:t>ISO</w:t>
      </w:r>
      <w:r>
        <w:rPr>
          <w:rFonts w:ascii="Arial" w:cs="Arial" w:eastAsia="Arial" w:hAnsi="Arial"/>
          <w:sz w:val="18"/>
          <w:szCs w:val="18"/>
          <w:color w:val="auto"/>
        </w:rPr>
        <w:t>”), this Option is intended to qualify as an Incentive Stock Option as defined in Section 422 of the Code. Nevertheless, to the extent that this Option exceeds the $100,000 limit imposed by Code Section 422(d), this Option shall be treated as a Nonstatutory Stock Option (“</w:t>
      </w:r>
      <w:r>
        <w:rPr>
          <w:rFonts w:ascii="Arial" w:cs="Arial" w:eastAsia="Arial" w:hAnsi="Arial"/>
          <w:sz w:val="18"/>
          <w:szCs w:val="18"/>
          <w:b w:val="1"/>
          <w:bCs w:val="1"/>
          <w:i w:val="1"/>
          <w:iCs w:val="1"/>
          <w:color w:val="auto"/>
        </w:rPr>
        <w:t>NSO</w:t>
      </w:r>
      <w:r>
        <w:rPr>
          <w:rFonts w:ascii="Arial" w:cs="Arial" w:eastAsia="Arial" w:hAnsi="Arial"/>
          <w:sz w:val="18"/>
          <w:szCs w:val="18"/>
          <w:color w:val="auto"/>
        </w:rPr>
        <w:t>”).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92" w:lineRule="exact"/>
        <w:rPr>
          <w:sz w:val="20"/>
          <w:szCs w:val="20"/>
          <w:color w:val="auto"/>
        </w:rPr>
      </w:pPr>
    </w:p>
    <w:p>
      <w:pPr>
        <w:ind w:left="1300" w:hanging="64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4"/>
        <w:spacing w:after="0" w:line="277" w:lineRule="auto"/>
        <w:tabs>
          <w:tab w:leader="none" w:pos="2049"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shall be exercisable during its term in accordance with the Vesting Schedule set out in the Grant Notice and with the applicable provisions of the Plan and this Option Agreement.</w:t>
      </w:r>
    </w:p>
    <w:p>
      <w:pPr>
        <w:spacing w:after="0" w:line="170" w:lineRule="exact"/>
        <w:rPr>
          <w:rFonts w:ascii="Arial" w:cs="Arial" w:eastAsia="Arial" w:hAnsi="Arial"/>
          <w:sz w:val="18"/>
          <w:szCs w:val="18"/>
          <w:color w:val="auto"/>
        </w:rPr>
      </w:pPr>
    </w:p>
    <w:p>
      <w:pPr>
        <w:jc w:val="both"/>
        <w:ind w:firstLine="1304"/>
        <w:spacing w:after="0" w:line="273" w:lineRule="auto"/>
        <w:tabs>
          <w:tab w:leader="none" w:pos="2113" w:val="left"/>
        </w:tabs>
        <w:numPr>
          <w:ilvl w:val="1"/>
          <w:numId w:val="140"/>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This Option shall be exercisable by delivery of an exercise notice in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Exercise Notice</w:t>
      </w:r>
      <w:r>
        <w:rPr>
          <w:rFonts w:ascii="Arial" w:cs="Arial" w:eastAsia="Arial" w:hAnsi="Arial"/>
          <w:sz w:val="17"/>
          <w:szCs w:val="17"/>
          <w:color w:val="auto"/>
        </w:rPr>
        <w:t>”) or in a manner and pursuant to such procedures as the Administrator may determine, which shall state the election to exercise the Option, the number of Shares with respect to which the Option is being exercised (the “</w:t>
      </w:r>
      <w:r>
        <w:rPr>
          <w:rFonts w:ascii="Arial" w:cs="Arial" w:eastAsia="Arial" w:hAnsi="Arial"/>
          <w:sz w:val="17"/>
          <w:szCs w:val="17"/>
          <w:b w:val="1"/>
          <w:bCs w:val="1"/>
          <w:i w:val="1"/>
          <w:iCs w:val="1"/>
          <w:color w:val="auto"/>
        </w:rPr>
        <w:t>Exercised Shares</w:t>
      </w:r>
      <w:r>
        <w:rPr>
          <w:rFonts w:ascii="Arial" w:cs="Arial" w:eastAsia="Arial" w:hAnsi="Arial"/>
          <w:sz w:val="17"/>
          <w:szCs w:val="17"/>
          <w:color w:val="auto"/>
        </w:rPr>
        <w:t>”),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both"/>
        <w:ind w:firstLine="656"/>
        <w:spacing w:after="0" w:line="286" w:lineRule="auto"/>
        <w:tabs>
          <w:tab w:leader="none" w:pos="1566"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Participant’s Representations</w:t>
      </w:r>
      <w:r>
        <w:rPr>
          <w:rFonts w:ascii="Arial" w:cs="Arial" w:eastAsia="Arial" w:hAnsi="Arial"/>
          <w:sz w:val="17"/>
          <w:szCs w:val="17"/>
          <w:color w:val="auto"/>
        </w:rPr>
        <w:t>. In the event the Shares have not been registered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xml:space="preserve">”),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656"/>
        <w:spacing w:after="0" w:line="270" w:lineRule="auto"/>
        <w:tabs>
          <w:tab w:leader="none" w:pos="1485"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Lock-Up Period</w:t>
      </w:r>
      <w:r>
        <w:rPr>
          <w:rFonts w:ascii="Arial" w:cs="Arial" w:eastAsia="Arial" w:hAnsi="Arial"/>
          <w:sz w:val="17"/>
          <w:szCs w:val="17"/>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FINRA Rule 2241, or any successor provisions or amendments thereto).</w:t>
      </w:r>
    </w:p>
    <w:p>
      <w:pPr>
        <w:spacing w:after="0" w:line="181"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4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Option or shares acquired pursuant to the Option shall be bound by this Section 4.</w:t>
      </w:r>
    </w:p>
    <w:p>
      <w:pPr>
        <w:spacing w:after="0" w:line="166" w:lineRule="exact"/>
        <w:rPr>
          <w:sz w:val="20"/>
          <w:szCs w:val="20"/>
          <w:color w:val="auto"/>
        </w:rPr>
      </w:pPr>
    </w:p>
    <w:p>
      <w:pPr>
        <w:ind w:left="1340" w:hanging="684"/>
        <w:spacing w:after="0"/>
        <w:tabs>
          <w:tab w:leader="none" w:pos="1340"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shall be by any of the following, or a combination thereof, at the election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Participant:</w:t>
      </w:r>
    </w:p>
    <w:p>
      <w:pPr>
        <w:spacing w:after="0" w:line="210" w:lineRule="exact"/>
        <w:rPr>
          <w:rFonts w:ascii="Arial" w:cs="Arial" w:eastAsia="Arial" w:hAnsi="Arial"/>
          <w:sz w:val="16"/>
          <w:szCs w:val="16"/>
          <w:color w:val="auto"/>
        </w:rPr>
      </w:pPr>
    </w:p>
    <w:p>
      <w:pPr>
        <w:ind w:left="1960" w:hanging="656"/>
        <w:spacing w:after="0"/>
        <w:tabs>
          <w:tab w:leader="none" w:pos="19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consideration received by the Company under a formal cashless exercise program adopted by the Company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Plan; or</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(d)           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jc w:val="both"/>
        <w:ind w:firstLine="648"/>
        <w:spacing w:after="0" w:line="263" w:lineRule="auto"/>
        <w:rPr>
          <w:sz w:val="20"/>
          <w:szCs w:val="20"/>
          <w:color w:val="auto"/>
        </w:rPr>
      </w:pPr>
      <w:r>
        <w:rPr>
          <w:rFonts w:ascii="Arial" w:cs="Arial" w:eastAsia="Arial" w:hAnsi="Arial"/>
          <w:sz w:val="18"/>
          <w:szCs w:val="18"/>
          <w:color w:val="auto"/>
        </w:rPr>
        <w:t>6.             </w:t>
      </w:r>
      <w:r>
        <w:rPr>
          <w:rFonts w:ascii="Arial" w:cs="Arial" w:eastAsia="Arial" w:hAnsi="Arial"/>
          <w:sz w:val="18"/>
          <w:szCs w:val="18"/>
          <w:u w:val="single" w:color="auto"/>
          <w:color w:val="auto"/>
        </w:rPr>
        <w:t>Restrictions on Exercise</w:t>
      </w:r>
      <w:r>
        <w:rPr>
          <w:rFonts w:ascii="Arial" w:cs="Arial" w:eastAsia="Arial" w:hAnsi="Arial"/>
          <w:sz w:val="18"/>
          <w:szCs w:val="18"/>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84" w:lineRule="exact"/>
        <w:rPr>
          <w:sz w:val="20"/>
          <w:szCs w:val="20"/>
          <w:color w:val="auto"/>
        </w:rPr>
      </w:pPr>
    </w:p>
    <w:p>
      <w:pPr>
        <w:ind w:left="1300" w:hanging="644"/>
        <w:spacing w:after="0"/>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086" w:val="left"/>
        </w:tabs>
        <w:numPr>
          <w:ilvl w:val="2"/>
          <w:numId w:val="143"/>
        </w:numPr>
        <w:rPr>
          <w:rFonts w:ascii="Arial" w:cs="Arial" w:eastAsia="Arial" w:hAnsi="Arial"/>
          <w:sz w:val="18"/>
          <w:szCs w:val="18"/>
          <w:color w:val="auto"/>
        </w:rPr>
      </w:pPr>
      <w:r>
        <w:rPr>
          <w:rFonts w:ascii="Arial" w:cs="Arial" w:eastAsia="Arial" w:hAnsi="Arial"/>
          <w:sz w:val="18"/>
          <w:szCs w:val="18"/>
          <w:color w:val="auto"/>
        </w:rPr>
        <w:t>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83" w:lineRule="exact"/>
        <w:rPr>
          <w:rFonts w:ascii="Arial" w:cs="Arial" w:eastAsia="Arial" w:hAnsi="Arial"/>
          <w:sz w:val="18"/>
          <w:szCs w:val="18"/>
          <w:color w:val="auto"/>
        </w:rPr>
      </w:pPr>
    </w:p>
    <w:p>
      <w:pPr>
        <w:jc w:val="both"/>
        <w:ind w:firstLine="1304"/>
        <w:spacing w:after="0" w:line="290" w:lineRule="auto"/>
        <w:tabs>
          <w:tab w:leader="none" w:pos="2114" w:val="left"/>
        </w:tabs>
        <w:numPr>
          <w:ilvl w:val="2"/>
          <w:numId w:val="143"/>
        </w:numPr>
        <w:rPr>
          <w:rFonts w:ascii="Arial" w:cs="Arial" w:eastAsia="Arial" w:hAnsi="Arial"/>
          <w:sz w:val="16"/>
          <w:szCs w:val="16"/>
          <w:color w:val="auto"/>
        </w:rPr>
      </w:pPr>
      <w:r>
        <w:rPr>
          <w:rFonts w:ascii="Arial" w:cs="Arial" w:eastAsia="Arial" w:hAnsi="Arial"/>
          <w:sz w:val="16"/>
          <w:szCs w:val="16"/>
          <w:color w:val="auto"/>
        </w:rPr>
        <w:t>Without limiting Section 7(a), until the Company becomes subject to the reporting requirements of Section 13 or 15(d) of the Exchange Act, or after the Administrator determines that it is, will, or may no longer be relying upon the exemption from registration of Options under the Exchange Act as set forth in Rule 12h-1(f) promulgated under the Exchange Act (the “</w:t>
      </w:r>
      <w:r>
        <w:rPr>
          <w:rFonts w:ascii="Arial" w:cs="Arial" w:eastAsia="Arial" w:hAnsi="Arial"/>
          <w:sz w:val="16"/>
          <w:szCs w:val="16"/>
          <w:b w:val="1"/>
          <w:bCs w:val="1"/>
          <w:i w:val="1"/>
          <w:iCs w:val="1"/>
          <w:color w:val="auto"/>
        </w:rPr>
        <w:t>Reliance End Date</w:t>
      </w:r>
      <w:r>
        <w:rPr>
          <w:rFonts w:ascii="Arial" w:cs="Arial" w:eastAsia="Arial" w:hAnsi="Arial"/>
          <w:sz w:val="16"/>
          <w:szCs w:val="16"/>
          <w:color w:val="auto"/>
        </w:rPr>
        <w:t>”), Participant shall not transfer this Option or, prior to exercise, the Shares subject to this Option, in any manner other than (i) to persons who are “family members” (as defined in Rule 701(c)(3) of the Securities Act) through gifts or domestic relations orders, or (ii) to an executor or guardian of Participant upon the death or disability of Participant. Until the Reliance End Date, the Options and, prior to exercise, the Shares subject to this Option, may not be pledged, hypothecated or otherwise transferred or disposed of, including by entering into any short position, any “put equivalent position” or any “call equivalent position” (as defined in Rule 16a-1(h) and Rule 16a-1(b) of the Exchange Act, respectively), other than as permitted in clauses (i) and (ii) of this paragraph.</w:t>
      </w:r>
    </w:p>
    <w:p>
      <w:pPr>
        <w:spacing w:after="0" w:line="165" w:lineRule="exact"/>
        <w:rPr>
          <w:rFonts w:ascii="Arial" w:cs="Arial" w:eastAsia="Arial" w:hAnsi="Arial"/>
          <w:sz w:val="16"/>
          <w:szCs w:val="16"/>
          <w:color w:val="auto"/>
        </w:rPr>
      </w:pPr>
    </w:p>
    <w:p>
      <w:pPr>
        <w:ind w:right="180" w:firstLine="656"/>
        <w:spacing w:after="0" w:line="277" w:lineRule="auto"/>
        <w:tabs>
          <w:tab w:leader="none" w:pos="1323"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This Option may be exercised only within the term set out in the Grant Notice, and may be exercised during such term only in accordance with the Plan and the terms of this Option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Tax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2346" w:val="left"/>
        </w:tabs>
        <w:numPr>
          <w:ilvl w:val="2"/>
          <w:numId w:val="143"/>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any exercise of the Option. Participant acknowledges and agrees that no exercise of the Option shall be deemed complete until such withholding amounts are delivered to the Company.</w:t>
      </w:r>
    </w:p>
    <w:p>
      <w:pPr>
        <w:spacing w:after="0" w:line="186" w:lineRule="exact"/>
        <w:rPr>
          <w:rFonts w:ascii="Arial" w:cs="Arial" w:eastAsia="Arial" w:hAnsi="Arial"/>
          <w:sz w:val="18"/>
          <w:szCs w:val="18"/>
          <w:color w:val="auto"/>
        </w:rPr>
      </w:pPr>
    </w:p>
    <w:p>
      <w:pPr>
        <w:jc w:val="both"/>
        <w:ind w:firstLine="1304"/>
        <w:spacing w:after="0" w:line="279" w:lineRule="auto"/>
        <w:tabs>
          <w:tab w:leader="none" w:pos="2045" w:val="left"/>
        </w:tabs>
        <w:numPr>
          <w:ilvl w:val="2"/>
          <w:numId w:val="143"/>
        </w:numPr>
        <w:rPr>
          <w:rFonts w:ascii="Arial" w:cs="Arial" w:eastAsia="Arial" w:hAnsi="Arial"/>
          <w:sz w:val="17"/>
          <w:szCs w:val="17"/>
          <w:color w:val="auto"/>
        </w:rPr>
      </w:pPr>
      <w:r>
        <w:rPr>
          <w:rFonts w:ascii="Arial" w:cs="Arial" w:eastAsia="Arial" w:hAnsi="Arial"/>
          <w:sz w:val="17"/>
          <w:szCs w:val="17"/>
          <w:u w:val="single" w:color="auto"/>
          <w:color w:val="auto"/>
        </w:rPr>
        <w:t>Notice of Disqualifying Disposition of ISO Shares</w:t>
      </w:r>
      <w:r>
        <w:rPr>
          <w:rFonts w:ascii="Arial" w:cs="Arial" w:eastAsia="Arial" w:hAnsi="Arial"/>
          <w:sz w:val="17"/>
          <w:szCs w:val="17"/>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71" w:lineRule="exact"/>
        <w:rPr>
          <w:rFonts w:ascii="Arial" w:cs="Arial" w:eastAsia="Arial" w:hAnsi="Arial"/>
          <w:sz w:val="17"/>
          <w:szCs w:val="17"/>
          <w:color w:val="auto"/>
        </w:rPr>
      </w:pPr>
    </w:p>
    <w:p>
      <w:pPr>
        <w:jc w:val="both"/>
        <w:ind w:firstLine="1304"/>
        <w:spacing w:after="0" w:line="287" w:lineRule="auto"/>
        <w:tabs>
          <w:tab w:leader="none" w:pos="2089" w:val="left"/>
        </w:tabs>
        <w:numPr>
          <w:ilvl w:val="2"/>
          <w:numId w:val="143"/>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xml:space="preserve"> Under Code Section 409A, an Option that was granted with a per Share exercise price that is determined by the Internal Revenue Service (the “</w:t>
      </w:r>
      <w:r>
        <w:rPr>
          <w:rFonts w:ascii="Arial" w:cs="Arial" w:eastAsia="Arial" w:hAnsi="Arial"/>
          <w:sz w:val="16"/>
          <w:szCs w:val="16"/>
          <w:b w:val="1"/>
          <w:bCs w:val="1"/>
          <w:i w:val="1"/>
          <w:iCs w:val="1"/>
          <w:color w:val="auto"/>
        </w:rPr>
        <w:t>IRS</w:t>
      </w:r>
      <w:r>
        <w:rPr>
          <w:rFonts w:ascii="Arial" w:cs="Arial" w:eastAsia="Arial" w:hAnsi="Arial"/>
          <w:sz w:val="16"/>
          <w:szCs w:val="16"/>
          <w:color w:val="auto"/>
        </w:rPr>
        <w:t>”) to be less than the Fair Market Value of a Share on the date of grant (a “</w:t>
      </w:r>
      <w:r>
        <w:rPr>
          <w:rFonts w:ascii="Arial" w:cs="Arial" w:eastAsia="Arial" w:hAnsi="Arial"/>
          <w:sz w:val="16"/>
          <w:szCs w:val="16"/>
          <w:b w:val="1"/>
          <w:bCs w:val="1"/>
          <w:i w:val="1"/>
          <w:iCs w:val="1"/>
          <w:color w:val="auto"/>
        </w:rPr>
        <w:t>discount option</w:t>
      </w:r>
      <w:r>
        <w:rPr>
          <w:rFonts w:ascii="Arial" w:cs="Arial" w:eastAsia="Arial" w:hAnsi="Arial"/>
          <w:sz w:val="16"/>
          <w:szCs w:val="16"/>
          <w:color w:val="auto"/>
        </w:rPr>
        <w:t>”) may be considered “deferred compensation.” An Option that is a “discount option” may result in (i) income recognition by Participant prior to the exercise of the Option,</w:t>
      </w:r>
    </w:p>
    <w:p>
      <w:pPr>
        <w:spacing w:after="0" w:line="2" w:lineRule="exact"/>
        <w:rPr>
          <w:rFonts w:ascii="Arial" w:cs="Arial" w:eastAsia="Arial" w:hAnsi="Arial"/>
          <w:sz w:val="16"/>
          <w:szCs w:val="16"/>
          <w:color w:val="auto"/>
        </w:rPr>
      </w:pPr>
    </w:p>
    <w:p>
      <w:pPr>
        <w:jc w:val="both"/>
        <w:ind w:firstLine="8"/>
        <w:spacing w:after="0" w:line="271" w:lineRule="auto"/>
        <w:tabs>
          <w:tab w:leader="none" w:pos="29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both"/>
        <w:ind w:firstLine="648"/>
        <w:spacing w:after="0" w:line="257" w:lineRule="auto"/>
        <w:rPr>
          <w:sz w:val="20"/>
          <w:szCs w:val="20"/>
          <w:color w:val="auto"/>
        </w:rPr>
      </w:pPr>
      <w:r>
        <w:rPr>
          <w:rFonts w:ascii="Arial" w:cs="Arial" w:eastAsia="Arial" w:hAnsi="Arial"/>
          <w:sz w:val="18"/>
          <w:szCs w:val="18"/>
          <w:color w:val="auto"/>
        </w:rPr>
        <w:t>10.           </w:t>
      </w: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Option Agreement is governed by the internal substantive laws but not the choice of law rules of Delaware.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OPTION AGREEMENT, THE TRANSACTIONS CONTEMPLATED HEREUNDER AND THE VESTING SCHEDULE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96" w:lineRule="exact"/>
        <w:rPr>
          <w:sz w:val="20"/>
          <w:szCs w:val="20"/>
          <w:color w:val="auto"/>
        </w:rPr>
      </w:pPr>
    </w:p>
    <w:p>
      <w:pPr>
        <w:jc w:val="center"/>
        <w:spacing w:after="0"/>
        <w:tabs>
          <w:tab w:leader="none" w:pos="260" w:val="left"/>
          <w:tab w:leader="none" w:pos="260" w:val="left"/>
          <w:tab w:leader="none" w:pos="260" w:val="left"/>
          <w:tab w:leader="none" w:pos="260" w:val="left"/>
        </w:tabs>
        <w:rPr>
          <w:sz w:val="20"/>
          <w:szCs w:val="20"/>
          <w:color w:val="auto"/>
        </w:rPr>
      </w:pPr>
      <w:r>
        <w:rPr>
          <w:rFonts w:ascii="Arial" w:cs="Arial" w:eastAsia="Arial" w:hAnsi="Arial"/>
          <w:sz w:val="18"/>
          <w:szCs w:val="18"/>
          <w:color w:val="auto"/>
        </w:rPr>
        <w:t>*</w:t>
        <w:tab/>
        <w:t>*</w:t>
        <w:tab/>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STOCK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SUREFIRE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DBA TRISALUS™ LIFE 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6272 W. 91st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Westminster, CO 80031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211" w:lineRule="exact"/>
        <w:rPr>
          <w:sz w:val="20"/>
          <w:szCs w:val="20"/>
          <w:color w:val="auto"/>
        </w:rPr>
      </w:pPr>
    </w:p>
    <w:p>
      <w:pPr>
        <w:ind w:left="660"/>
        <w:spacing w:after="0"/>
        <w:tabs>
          <w:tab w:leader="none" w:pos="6420" w:val="left"/>
          <w:tab w:leader="none" w:pos="6960" w:val="left"/>
        </w:tabs>
        <w:rPr>
          <w:sz w:val="20"/>
          <w:szCs w:val="20"/>
          <w:color w:val="auto"/>
        </w:rPr>
      </w:pPr>
      <w:r>
        <w:rPr>
          <w:rFonts w:ascii="Arial" w:cs="Arial" w:eastAsia="Arial" w:hAnsi="Arial"/>
          <w:sz w:val="18"/>
          <w:szCs w:val="18"/>
          <w:color w:val="auto"/>
        </w:rPr>
        <w:t>1.             </w:t>
      </w:r>
      <w:r>
        <w:rPr>
          <w:rFonts w:ascii="Arial" w:cs="Arial" w:eastAsia="Arial" w:hAnsi="Arial"/>
          <w:sz w:val="18"/>
          <w:szCs w:val="18"/>
          <w:u w:val="single" w:color="auto"/>
          <w:color w:val="auto"/>
        </w:rPr>
        <w:t>Exercise of Option</w:t>
      </w:r>
      <w:r>
        <w:rPr>
          <w:rFonts w:ascii="Arial" w:cs="Arial" w:eastAsia="Arial" w:hAnsi="Arial"/>
          <w:sz w:val="18"/>
          <w:szCs w:val="18"/>
          <w:color w:val="auto"/>
        </w:rPr>
        <w:t>. Effective as of today,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the undersigned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hereby elects to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2733040</wp:posOffset>
            </wp:positionH>
            <wp:positionV relativeFrom="paragraph">
              <wp:posOffset>-10160</wp:posOffset>
            </wp:positionV>
            <wp:extent cx="16992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Participant’s option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shares of the Common Stock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SUREFIRE MEDICAL, INC. DBA TRISALUS™ LIFE SCIENCES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under and pursuant to the 2009 Stock Option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the Stock Option Agreement dated</w:t>
      </w:r>
    </w:p>
    <w:p>
      <w:pPr>
        <w:ind w:left="2300" w:hanging="448"/>
        <w:spacing w:after="0"/>
        <w:tabs>
          <w:tab w:leader="none" w:pos="2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281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             </w:t>
      </w:r>
      <w:r>
        <w:rPr>
          <w:rFonts w:ascii="Arial" w:cs="Arial" w:eastAsia="Arial" w:hAnsi="Arial"/>
          <w:sz w:val="18"/>
          <w:szCs w:val="18"/>
          <w:u w:val="single" w:color="auto"/>
          <w:color w:val="auto"/>
        </w:rPr>
        <w:t>Delivery of Payment</w:t>
      </w:r>
      <w:r>
        <w:rPr>
          <w:rFonts w:ascii="Arial" w:cs="Arial" w:eastAsia="Arial" w:hAnsi="Arial"/>
          <w:sz w:val="18"/>
          <w:szCs w:val="18"/>
          <w:color w:val="auto"/>
        </w:rPr>
        <w:t>. Participant herewith delivers to the Company the full purchase price of the Shares, as set forth in the Option Agreement, and any and all withholding taxes due in connection with the exercise of the Option.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3.             </w:t>
      </w:r>
      <w:r>
        <w:rPr>
          <w:rFonts w:ascii="Arial" w:cs="Arial" w:eastAsia="Arial" w:hAnsi="Arial"/>
          <w:sz w:val="18"/>
          <w:szCs w:val="18"/>
          <w:u w:val="single" w:color="auto"/>
          <w:color w:val="auto"/>
        </w:rPr>
        <w:t>Representations of Participant</w:t>
      </w:r>
      <w:r>
        <w:rPr>
          <w:rFonts w:ascii="Arial" w:cs="Arial" w:eastAsia="Arial" w:hAnsi="Arial"/>
          <w:sz w:val="18"/>
          <w:szCs w:val="18"/>
          <w:color w:val="auto"/>
        </w:rPr>
        <w:t>. Participant acknowledges that Participant has received, read and understood the Plan and the Option Agreement and agrees to abide by and be bound by their terms and conditions.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4.             </w:t>
      </w:r>
      <w:r>
        <w:rPr>
          <w:rFonts w:ascii="Arial" w:cs="Arial" w:eastAsia="Arial" w:hAnsi="Arial"/>
          <w:sz w:val="18"/>
          <w:szCs w:val="18"/>
          <w:u w:val="single" w:color="auto"/>
          <w:color w:val="auto"/>
        </w:rPr>
        <w:t>Rights as Stockholder</w:t>
      </w:r>
      <w:r>
        <w:rPr>
          <w:rFonts w:ascii="Arial" w:cs="Arial" w:eastAsia="Arial" w:hAnsi="Arial"/>
          <w:sz w:val="18"/>
          <w:szCs w:val="18"/>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8 of the Plan.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5.             </w:t>
      </w:r>
      <w:r>
        <w:rPr>
          <w:rFonts w:ascii="Arial" w:cs="Arial" w:eastAsia="Arial" w:hAnsi="Arial"/>
          <w:sz w:val="18"/>
          <w:szCs w:val="18"/>
          <w:u w:val="single" w:color="auto"/>
          <w:color w:val="auto"/>
        </w:rPr>
        <w:t>Company’s Right of First Refusal</w:t>
      </w:r>
      <w:r>
        <w:rPr>
          <w:rFonts w:ascii="Arial" w:cs="Arial" w:eastAsia="Arial" w:hAnsi="Arial"/>
          <w:sz w:val="18"/>
          <w:szCs w:val="18"/>
          <w:color w:val="auto"/>
        </w:rPr>
        <w:t>. Before any Shares held by Participant or any transferee (either being sometimes referred to herein as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may be sold or otherwise transferred (including transfer by gift or operation of law), the Company or its assignee(s) shall have a right of first refusal to purchase the Shares on the terms and conditions set forth in this Section 5 (the “</w:t>
      </w:r>
      <w:r>
        <w:rPr>
          <w:rFonts w:ascii="Arial" w:cs="Arial" w:eastAsia="Arial" w:hAnsi="Arial"/>
          <w:sz w:val="18"/>
          <w:szCs w:val="18"/>
          <w:b w:val="1"/>
          <w:bCs w:val="1"/>
          <w:i w:val="1"/>
          <w:iCs w:val="1"/>
          <w:color w:val="auto"/>
        </w:rPr>
        <w:t>Right of First Refusal</w:t>
      </w:r>
      <w:r>
        <w:rPr>
          <w:rFonts w:ascii="Arial" w:cs="Arial" w:eastAsia="Arial" w:hAnsi="Arial"/>
          <w:sz w:val="18"/>
          <w:szCs w:val="18"/>
          <w:color w:val="auto"/>
        </w:rPr>
        <w:t>”).</w:t>
      </w:r>
    </w:p>
    <w:p>
      <w:pPr>
        <w:spacing w:after="0" w:line="184" w:lineRule="exact"/>
        <w:rPr>
          <w:sz w:val="20"/>
          <w:szCs w:val="20"/>
          <w:color w:val="auto"/>
        </w:rPr>
      </w:pPr>
    </w:p>
    <w:p>
      <w:pPr>
        <w:ind w:left="2160" w:hanging="856"/>
        <w:spacing w:after="0"/>
        <w:tabs>
          <w:tab w:leader="none" w:pos="2160"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Notice of Proposed Transfer</w:t>
      </w:r>
      <w:r>
        <w:rPr>
          <w:rFonts w:ascii="Arial" w:cs="Arial" w:eastAsia="Arial" w:hAnsi="Arial"/>
          <w:sz w:val="16"/>
          <w:szCs w:val="16"/>
          <w:color w:val="auto"/>
        </w:rPr>
        <w:t>. The Holder of the Shares shall deliver to the Company a written notice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stating:</w:t>
      </w:r>
    </w:p>
    <w:p>
      <w:pPr>
        <w:spacing w:after="0" w:line="46" w:lineRule="exact"/>
        <w:rPr>
          <w:rFonts w:ascii="Arial" w:cs="Arial" w:eastAsia="Arial" w:hAnsi="Arial"/>
          <w:sz w:val="16"/>
          <w:szCs w:val="16"/>
          <w:color w:val="auto"/>
        </w:rPr>
      </w:pPr>
    </w:p>
    <w:p>
      <w:pPr>
        <w:jc w:val="both"/>
        <w:ind w:firstLine="8"/>
        <w:spacing w:after="0" w:line="253" w:lineRule="auto"/>
        <w:tabs>
          <w:tab w:leader="none" w:pos="23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Holder’s bona fide intention to sell or otherwise transfer such Shares; (ii) the name of each proposed purchaser or other transferee (“</w:t>
      </w:r>
      <w:r>
        <w:rPr>
          <w:rFonts w:ascii="Arial" w:cs="Arial" w:eastAsia="Arial" w:hAnsi="Arial"/>
          <w:sz w:val="18"/>
          <w:szCs w:val="18"/>
          <w:b w:val="1"/>
          <w:bCs w:val="1"/>
          <w:i w:val="1"/>
          <w:iCs w:val="1"/>
          <w:color w:val="auto"/>
        </w:rPr>
        <w:t>Proposed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Transferee</w:t>
      </w:r>
      <w:r>
        <w:rPr>
          <w:rFonts w:ascii="Arial" w:cs="Arial" w:eastAsia="Arial" w:hAnsi="Arial"/>
          <w:sz w:val="18"/>
          <w:szCs w:val="18"/>
          <w:color w:val="auto"/>
        </w:rPr>
        <w:t>”); (iii) the number of Shares to be transferred to each Proposed Transferee; and (iv) the bona fide cash price or other consideration for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 proposes to transfer the Shares (the “</w:t>
      </w:r>
      <w:r>
        <w:rPr>
          <w:rFonts w:ascii="Arial" w:cs="Arial" w:eastAsia="Arial" w:hAnsi="Arial"/>
          <w:sz w:val="18"/>
          <w:szCs w:val="18"/>
          <w:b w:val="1"/>
          <w:bCs w:val="1"/>
          <w:i w:val="1"/>
          <w:iCs w:val="1"/>
          <w:color w:val="auto"/>
        </w:rPr>
        <w:t>Offered Price</w:t>
      </w:r>
      <w:r>
        <w:rPr>
          <w:rFonts w:ascii="Arial" w:cs="Arial" w:eastAsia="Arial" w:hAnsi="Arial"/>
          <w:sz w:val="18"/>
          <w:szCs w:val="18"/>
          <w:color w:val="auto"/>
        </w:rPr>
        <w:t>”), and the Holder shall offer the Shares at the Offered Price to the Company or its assignee(s).</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2221"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Exercise of Right of First Refusal</w:t>
      </w:r>
      <w:r>
        <w:rPr>
          <w:rFonts w:ascii="Arial" w:cs="Arial" w:eastAsia="Arial" w:hAnsi="Arial"/>
          <w:sz w:val="18"/>
          <w:szCs w:val="18"/>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jc w:val="both"/>
        <w:ind w:left="-656" w:right="20" w:firstLine="1304"/>
        <w:spacing w:after="0" w:line="263" w:lineRule="auto"/>
        <w:tabs>
          <w:tab w:leader="none" w:pos="1433"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183" w:lineRule="exact"/>
        <w:rPr>
          <w:rFonts w:ascii="Arial" w:cs="Arial" w:eastAsia="Arial" w:hAnsi="Arial"/>
          <w:sz w:val="18"/>
          <w:szCs w:val="18"/>
          <w:color w:val="auto"/>
        </w:rPr>
      </w:pPr>
    </w:p>
    <w:p>
      <w:pPr>
        <w:jc w:val="both"/>
        <w:ind w:left="-656" w:firstLine="1304"/>
        <w:spacing w:after="0" w:line="311" w:lineRule="auto"/>
        <w:tabs>
          <w:tab w:leader="none" w:pos="1416"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48" w:lineRule="exact"/>
        <w:rPr>
          <w:rFonts w:ascii="Arial" w:cs="Arial" w:eastAsia="Arial" w:hAnsi="Arial"/>
          <w:sz w:val="16"/>
          <w:szCs w:val="16"/>
          <w:color w:val="auto"/>
        </w:rPr>
      </w:pPr>
    </w:p>
    <w:p>
      <w:pPr>
        <w:jc w:val="both"/>
        <w:ind w:left="-656" w:firstLine="1304"/>
        <w:spacing w:after="0" w:line="291" w:lineRule="auto"/>
        <w:tabs>
          <w:tab w:leader="none" w:pos="1433"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Holder’s Right to Transfer</w:t>
      </w:r>
      <w:r>
        <w:rPr>
          <w:rFonts w:ascii="Arial" w:cs="Arial" w:eastAsia="Arial" w:hAnsi="Arial"/>
          <w:sz w:val="16"/>
          <w:szCs w:val="16"/>
          <w:color w:val="auto"/>
        </w:rPr>
        <w:t xml:space="preserve">.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sale or other transfer is consummated within one hundred and twenty (120) 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66" w:lineRule="exact"/>
        <w:rPr>
          <w:rFonts w:ascii="Arial" w:cs="Arial" w:eastAsia="Arial" w:hAnsi="Arial"/>
          <w:sz w:val="16"/>
          <w:szCs w:val="16"/>
          <w:color w:val="auto"/>
        </w:rPr>
      </w:pPr>
    </w:p>
    <w:p>
      <w:pPr>
        <w:jc w:val="both"/>
        <w:ind w:left="-656" w:firstLine="1304"/>
        <w:spacing w:after="0" w:line="255" w:lineRule="auto"/>
        <w:tabs>
          <w:tab w:leader="none" w:pos="1468"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Exception for Certain Family Transfers</w:t>
      </w:r>
      <w:r>
        <w:rPr>
          <w:rFonts w:ascii="Arial" w:cs="Arial" w:eastAsia="Arial" w:hAnsi="Arial"/>
          <w:sz w:val="18"/>
          <w:szCs w:val="18"/>
          <w:color w:val="auto"/>
        </w:rPr>
        <w:t>.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w:t>
      </w:r>
      <w:r>
        <w:rPr>
          <w:rFonts w:ascii="Arial" w:cs="Arial" w:eastAsia="Arial" w:hAnsi="Arial"/>
          <w:sz w:val="18"/>
          <w:szCs w:val="18"/>
          <w:b w:val="1"/>
          <w:bCs w:val="1"/>
          <w:i w:val="1"/>
          <w:iCs w:val="1"/>
          <w:color w:val="auto"/>
        </w:rPr>
        <w:t>Immediate Family</w:t>
      </w:r>
      <w:r>
        <w:rPr>
          <w:rFonts w:ascii="Arial" w:cs="Arial" w:eastAsia="Arial" w:hAnsi="Arial"/>
          <w:sz w:val="18"/>
          <w:szCs w:val="18"/>
          <w:color w:val="auto"/>
        </w:rPr>
        <w:t>”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92" w:lineRule="exact"/>
        <w:rPr>
          <w:rFonts w:ascii="Arial" w:cs="Arial" w:eastAsia="Arial" w:hAnsi="Arial"/>
          <w:sz w:val="18"/>
          <w:szCs w:val="18"/>
          <w:color w:val="auto"/>
        </w:rPr>
      </w:pPr>
    </w:p>
    <w:p>
      <w:pPr>
        <w:jc w:val="both"/>
        <w:ind w:left="-656" w:firstLine="1304"/>
        <w:spacing w:after="0" w:line="263" w:lineRule="auto"/>
        <w:tabs>
          <w:tab w:leader="none" w:pos="1389"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Termination of Right of First Refusal</w:t>
      </w:r>
      <w:r>
        <w:rPr>
          <w:rFonts w:ascii="Arial" w:cs="Arial" w:eastAsia="Arial" w:hAnsi="Arial"/>
          <w:sz w:val="18"/>
          <w:szCs w:val="18"/>
          <w:color w:val="auto"/>
        </w:rPr>
        <w:t>. The Right of First Refusal shall terminate as to any Shares upon the earlier of (i) the first sale of Common Stock of the Company to the general public, or (ii) a Change in Control in which the successor corporation has equity securities that are publicly traded.</w:t>
      </w:r>
    </w:p>
    <w:p>
      <w:pPr>
        <w:spacing w:after="0" w:line="183" w:lineRule="exact"/>
        <w:rPr>
          <w:rFonts w:ascii="Arial" w:cs="Arial" w:eastAsia="Arial" w:hAnsi="Arial"/>
          <w:sz w:val="18"/>
          <w:szCs w:val="18"/>
          <w:color w:val="auto"/>
        </w:rPr>
      </w:pPr>
    </w:p>
    <w:p>
      <w:pPr>
        <w:jc w:val="both"/>
        <w:ind w:left="-656" w:firstLine="656"/>
        <w:spacing w:after="0" w:line="263" w:lineRule="auto"/>
        <w:tabs>
          <w:tab w:leader="none" w:pos="775"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86" w:name="page187"/>
    <w:bookmarkEnd w:id="186"/>
    <w:p>
      <w:pPr>
        <w:ind w:left="644" w:hanging="644"/>
        <w:spacing w:after="0"/>
        <w:tabs>
          <w:tab w:leader="none" w:pos="644"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4"/>
        <w:spacing w:after="0" w:line="263" w:lineRule="auto"/>
        <w:tabs>
          <w:tab w:leader="none" w:pos="1379"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Participant understands and agrees that the Company shall cause any certificates issued evidencing the Shares to have the legends set forth below or legends substantially equivalent thereto, together with any other legends that may be required by state or federal securities laws:</w:t>
      </w:r>
    </w:p>
    <w:p>
      <w:pPr>
        <w:spacing w:after="0" w:line="184" w:lineRule="exact"/>
        <w:rPr>
          <w:sz w:val="20"/>
          <w:szCs w:val="20"/>
          <w:color w:val="auto"/>
        </w:rPr>
      </w:pPr>
    </w:p>
    <w:p>
      <w:pPr>
        <w:jc w:val="both"/>
        <w:ind w:left="644"/>
        <w:spacing w:after="0" w:line="257" w:lineRule="auto"/>
        <w:rPr>
          <w:sz w:val="20"/>
          <w:szCs w:val="20"/>
          <w:color w:val="auto"/>
        </w:rPr>
      </w:pPr>
      <w:r>
        <w:rPr>
          <w:rFonts w:ascii="Arial" w:cs="Arial" w:eastAsia="Arial" w:hAnsi="Arial"/>
          <w:sz w:val="18"/>
          <w:szCs w:val="18"/>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188" w:lineRule="exact"/>
        <w:rPr>
          <w:sz w:val="20"/>
          <w:szCs w:val="20"/>
          <w:color w:val="auto"/>
        </w:rPr>
      </w:pPr>
    </w:p>
    <w:p>
      <w:pPr>
        <w:jc w:val="both"/>
        <w:ind w:left="644"/>
        <w:spacing w:after="0" w:line="257" w:lineRule="auto"/>
        <w:rPr>
          <w:sz w:val="20"/>
          <w:szCs w:val="20"/>
          <w:color w:val="auto"/>
        </w:rPr>
      </w:pPr>
      <w:r>
        <w:rPr>
          <w:rFonts w:ascii="Arial" w:cs="Arial" w:eastAsia="Arial" w:hAnsi="Arial"/>
          <w:sz w:val="18"/>
          <w:szCs w:val="18"/>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188" w:lineRule="exact"/>
        <w:rPr>
          <w:sz w:val="20"/>
          <w:szCs w:val="20"/>
          <w:color w:val="auto"/>
        </w:rPr>
      </w:pPr>
    </w:p>
    <w:p>
      <w:pPr>
        <w:jc w:val="both"/>
        <w:ind w:left="644" w:firstLine="972"/>
        <w:spacing w:after="0" w:line="257" w:lineRule="auto"/>
        <w:rPr>
          <w:sz w:val="20"/>
          <w:szCs w:val="20"/>
          <w:color w:val="auto"/>
        </w:rPr>
      </w:pPr>
      <w:r>
        <w:rPr>
          <w:rFonts w:ascii="Arial" w:cs="Arial" w:eastAsia="Arial" w:hAnsi="Arial"/>
          <w:sz w:val="18"/>
          <w:szCs w:val="18"/>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88" w:lineRule="exact"/>
        <w:rPr>
          <w:sz w:val="20"/>
          <w:szCs w:val="20"/>
          <w:color w:val="auto"/>
        </w:rPr>
      </w:pPr>
    </w:p>
    <w:p>
      <w:pPr>
        <w:jc w:val="both"/>
        <w:ind w:left="-656" w:firstLine="1304"/>
        <w:spacing w:after="0" w:line="271" w:lineRule="auto"/>
        <w:tabs>
          <w:tab w:leader="none" w:pos="1615"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76" w:lineRule="exact"/>
        <w:rPr>
          <w:rFonts w:ascii="Arial" w:cs="Arial" w:eastAsia="Arial" w:hAnsi="Arial"/>
          <w:sz w:val="18"/>
          <w:szCs w:val="18"/>
          <w:color w:val="auto"/>
        </w:rPr>
      </w:pPr>
    </w:p>
    <w:p>
      <w:pPr>
        <w:jc w:val="both"/>
        <w:ind w:left="-656" w:firstLine="1304"/>
        <w:spacing w:after="0" w:line="263" w:lineRule="auto"/>
        <w:tabs>
          <w:tab w:leader="none" w:pos="1393"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83" w:lineRule="exact"/>
        <w:rPr>
          <w:rFonts w:ascii="Arial" w:cs="Arial" w:eastAsia="Arial" w:hAnsi="Arial"/>
          <w:sz w:val="18"/>
          <w:szCs w:val="18"/>
          <w:color w:val="auto"/>
        </w:rPr>
      </w:pPr>
    </w:p>
    <w:p>
      <w:pPr>
        <w:jc w:val="both"/>
        <w:ind w:left="-656" w:firstLine="1304"/>
        <w:spacing w:after="0" w:line="271" w:lineRule="auto"/>
        <w:tabs>
          <w:tab w:leader="none" w:pos="1488"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Uncertificated Form</w:t>
      </w:r>
      <w:r>
        <w:rPr>
          <w:rFonts w:ascii="Arial" w:cs="Arial" w:eastAsia="Arial" w:hAnsi="Arial"/>
          <w:sz w:val="18"/>
          <w:szCs w:val="18"/>
          <w:color w:val="auto"/>
        </w:rPr>
        <w:t>. To the extent the Shares are issued in uncertificated form, this Section 7 provides the Participant with notice that the Shares are subject to the aforementioned restrictions in satisfaction of the notice requirement set forth in Section 151(f) of the Delaware General Corporation Law.</w:t>
      </w:r>
    </w:p>
    <w:p>
      <w:pPr>
        <w:spacing w:after="0" w:line="176" w:lineRule="exact"/>
        <w:rPr>
          <w:rFonts w:ascii="Arial" w:cs="Arial" w:eastAsia="Arial" w:hAnsi="Arial"/>
          <w:sz w:val="18"/>
          <w:szCs w:val="18"/>
          <w:color w:val="auto"/>
        </w:rPr>
      </w:pPr>
    </w:p>
    <w:p>
      <w:pPr>
        <w:jc w:val="both"/>
        <w:ind w:left="-656" w:firstLine="656"/>
        <w:spacing w:after="0" w:line="286" w:lineRule="auto"/>
        <w:tabs>
          <w:tab w:leader="none" w:pos="748"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405765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87" w:name="page188"/>
    <w:bookmarkEnd w:id="187"/>
    <w:p>
      <w:pPr>
        <w:jc w:val="both"/>
        <w:ind w:left="-656" w:firstLine="656"/>
        <w:spacing w:after="0" w:line="263" w:lineRule="auto"/>
        <w:tabs>
          <w:tab w:leader="none" w:pos="84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183" w:lineRule="exact"/>
        <w:rPr>
          <w:rFonts w:ascii="Arial" w:cs="Arial" w:eastAsia="Arial" w:hAnsi="Arial"/>
          <w:sz w:val="18"/>
          <w:szCs w:val="18"/>
          <w:color w:val="auto"/>
        </w:rPr>
      </w:pPr>
    </w:p>
    <w:p>
      <w:pPr>
        <w:jc w:val="both"/>
        <w:ind w:left="-656" w:firstLine="656"/>
        <w:spacing w:after="0" w:line="263" w:lineRule="auto"/>
        <w:tabs>
          <w:tab w:leader="none" w:pos="905"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Exercise Notice is governed by the internal substantive laws, but not the choice of law rules, of Delaware. In the event that any provision hereof becomes or is declared by a court of competent jurisdiction to be illegal, unenforceable or void, this Exercise Notice shall continue in full force and effect.</w:t>
      </w:r>
    </w:p>
    <w:p>
      <w:pPr>
        <w:spacing w:after="0" w:line="183" w:lineRule="exact"/>
        <w:rPr>
          <w:rFonts w:ascii="Arial" w:cs="Arial" w:eastAsia="Arial" w:hAnsi="Arial"/>
          <w:sz w:val="18"/>
          <w:szCs w:val="18"/>
          <w:color w:val="auto"/>
        </w:rPr>
      </w:pPr>
    </w:p>
    <w:p>
      <w:pPr>
        <w:jc w:val="both"/>
        <w:ind w:left="-656" w:firstLine="656"/>
        <w:spacing w:after="0" w:line="284" w:lineRule="auto"/>
        <w:tabs>
          <w:tab w:leader="none" w:pos="856"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407670</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SUBMITTED BY:</w:t>
            </w:r>
          </w:p>
        </w:tc>
        <w:tc>
          <w:tcPr>
            <w:tcW w:w="7740" w:type="dxa"/>
            <w:vAlign w:val="bottom"/>
          </w:tcPr>
          <w:p>
            <w:pPr>
              <w:ind w:left="2120"/>
              <w:spacing w:after="0"/>
              <w:rPr>
                <w:sz w:val="20"/>
                <w:szCs w:val="20"/>
                <w:color w:val="auto"/>
              </w:rPr>
            </w:pPr>
            <w:r>
              <w:rPr>
                <w:rFonts w:ascii="Arial" w:cs="Arial" w:eastAsia="Arial" w:hAnsi="Arial"/>
                <w:sz w:val="18"/>
                <w:szCs w:val="18"/>
                <w:color w:val="auto"/>
              </w:rPr>
              <w:t>ACCEPTED BY:</w:t>
            </w:r>
          </w:p>
        </w:tc>
      </w:tr>
      <w:tr>
        <w:trPr>
          <w:trHeight w:val="432"/>
        </w:trPr>
        <w:tc>
          <w:tcPr>
            <w:tcW w:w="350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7740" w:type="dxa"/>
            <w:vAlign w:val="bottom"/>
          </w:tcPr>
          <w:p>
            <w:pPr>
              <w:ind w:left="2120"/>
              <w:spacing w:after="0"/>
              <w:rPr>
                <w:sz w:val="20"/>
                <w:szCs w:val="20"/>
                <w:color w:val="auto"/>
              </w:rPr>
            </w:pPr>
            <w:r>
              <w:rPr>
                <w:rFonts w:ascii="Arial" w:cs="Arial" w:eastAsia="Arial" w:hAnsi="Arial"/>
                <w:sz w:val="18"/>
                <w:szCs w:val="18"/>
                <w:b w:val="1"/>
                <w:bCs w:val="1"/>
                <w:color w:val="auto"/>
              </w:rPr>
              <w:t>SUREFIRE MEDICAL, INC.</w:t>
            </w:r>
          </w:p>
        </w:tc>
      </w:tr>
      <w:tr>
        <w:trPr>
          <w:trHeight w:val="432"/>
        </w:trPr>
        <w:tc>
          <w:tcPr>
            <w:tcW w:w="3500" w:type="dxa"/>
            <w:vAlign w:val="bottom"/>
          </w:tcPr>
          <w:p>
            <w:pPr>
              <w:spacing w:after="0"/>
              <w:rPr>
                <w:sz w:val="24"/>
                <w:szCs w:val="24"/>
                <w:color w:val="auto"/>
              </w:rPr>
            </w:pPr>
          </w:p>
        </w:tc>
        <w:tc>
          <w:tcPr>
            <w:tcW w:w="7740" w:type="dxa"/>
            <w:vAlign w:val="bottom"/>
          </w:tcPr>
          <w:p>
            <w:pPr>
              <w:ind w:left="2120"/>
              <w:spacing w:after="0"/>
              <w:rPr>
                <w:sz w:val="20"/>
                <w:szCs w:val="20"/>
                <w:color w:val="auto"/>
              </w:rPr>
            </w:pPr>
            <w:r>
              <w:rPr>
                <w:rFonts w:ascii="Arial" w:cs="Arial" w:eastAsia="Arial" w:hAnsi="Arial"/>
                <w:sz w:val="18"/>
                <w:szCs w:val="18"/>
                <w:b w:val="1"/>
                <w:bCs w:val="1"/>
                <w:color w:val="auto"/>
              </w:rPr>
              <w:t>DBA TRISALUS™ LIFE SCIENCES</w:t>
            </w:r>
          </w:p>
        </w:tc>
      </w:tr>
      <w:tr>
        <w:trPr>
          <w:trHeight w:val="432"/>
        </w:trPr>
        <w:tc>
          <w:tcPr>
            <w:tcW w:w="3500" w:type="dxa"/>
            <w:vAlign w:val="bottom"/>
          </w:tcPr>
          <w:p>
            <w:pPr>
              <w:ind w:left="60"/>
              <w:spacing w:after="0"/>
              <w:rPr>
                <w:sz w:val="20"/>
                <w:szCs w:val="20"/>
                <w:color w:val="auto"/>
              </w:rPr>
            </w:pPr>
            <w:r>
              <w:rPr>
                <w:rFonts w:ascii="Arial" w:cs="Arial" w:eastAsia="Arial" w:hAnsi="Arial"/>
                <w:sz w:val="18"/>
                <w:szCs w:val="18"/>
                <w:color w:val="auto"/>
              </w:rPr>
              <w:t>Signature</w:t>
            </w:r>
          </w:p>
        </w:tc>
        <w:tc>
          <w:tcPr>
            <w:tcW w:w="7740" w:type="dxa"/>
            <w:vAlign w:val="bottom"/>
          </w:tcPr>
          <w:p>
            <w:pPr>
              <w:ind w:left="2120"/>
              <w:spacing w:after="0"/>
              <w:rPr>
                <w:sz w:val="20"/>
                <w:szCs w:val="20"/>
                <w:color w:val="auto"/>
              </w:rPr>
            </w:pPr>
            <w:r>
              <w:rPr>
                <w:rFonts w:ascii="Arial" w:cs="Arial" w:eastAsia="Arial" w:hAnsi="Arial"/>
                <w:sz w:val="18"/>
                <w:szCs w:val="18"/>
                <w:color w:val="auto"/>
              </w:rPr>
              <w:t>By</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Print Name</w:t>
            </w:r>
          </w:p>
        </w:tc>
        <w:tc>
          <w:tcPr>
            <w:tcW w:w="7740" w:type="dxa"/>
            <w:vAlign w:val="bottom"/>
          </w:tcPr>
          <w:p>
            <w:pPr>
              <w:ind w:left="2120"/>
              <w:spacing w:after="0"/>
              <w:rPr>
                <w:sz w:val="20"/>
                <w:szCs w:val="20"/>
                <w:color w:val="auto"/>
              </w:rPr>
            </w:pPr>
            <w:r>
              <w:rPr>
                <w:rFonts w:ascii="Arial" w:cs="Arial" w:eastAsia="Arial" w:hAnsi="Arial"/>
                <w:sz w:val="18"/>
                <w:szCs w:val="18"/>
                <w:color w:val="auto"/>
              </w:rPr>
              <w:t>Print Name</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Address:</w:t>
            </w:r>
          </w:p>
        </w:tc>
        <w:tc>
          <w:tcPr>
            <w:tcW w:w="7740" w:type="dxa"/>
            <w:vAlign w:val="bottom"/>
          </w:tcPr>
          <w:p>
            <w:pPr>
              <w:ind w:left="2120"/>
              <w:spacing w:after="0"/>
              <w:rPr>
                <w:sz w:val="20"/>
                <w:szCs w:val="20"/>
                <w:color w:val="auto"/>
              </w:rPr>
            </w:pPr>
            <w:r>
              <w:rPr>
                <w:rFonts w:ascii="Arial" w:cs="Arial" w:eastAsia="Arial" w:hAnsi="Arial"/>
                <w:sz w:val="18"/>
                <w:szCs w:val="18"/>
                <w:color w:val="auto"/>
              </w:rPr>
              <w:t>Title</w:t>
            </w:r>
          </w:p>
        </w:tc>
      </w:tr>
      <w:tr>
        <w:trPr>
          <w:trHeight w:val="432"/>
        </w:trPr>
        <w:tc>
          <w:tcPr>
            <w:tcW w:w="3500" w:type="dxa"/>
            <w:vAlign w:val="bottom"/>
          </w:tcPr>
          <w:p>
            <w:pPr>
              <w:spacing w:after="0"/>
              <w:rPr>
                <w:sz w:val="24"/>
                <w:szCs w:val="24"/>
                <w:color w:val="auto"/>
              </w:rPr>
            </w:pPr>
          </w:p>
        </w:tc>
        <w:tc>
          <w:tcPr>
            <w:tcW w:w="7740" w:type="dxa"/>
            <w:vAlign w:val="bottom"/>
          </w:tcPr>
          <w:p>
            <w:pPr>
              <w:ind w:left="2120"/>
              <w:spacing w:after="0"/>
              <w:rPr>
                <w:sz w:val="20"/>
                <w:szCs w:val="20"/>
                <w:color w:val="auto"/>
              </w:rPr>
            </w:pPr>
            <w:r>
              <w:rPr>
                <w:rFonts w:ascii="Arial" w:cs="Arial" w:eastAsia="Arial" w:hAnsi="Arial"/>
                <w:sz w:val="18"/>
                <w:szCs w:val="18"/>
                <w:color w:val="auto"/>
              </w:rPr>
              <w:t>Address:</w:t>
            </w:r>
          </w:p>
        </w:tc>
      </w:tr>
      <w:tr>
        <w:trPr>
          <w:trHeight w:val="432"/>
        </w:trPr>
        <w:tc>
          <w:tcPr>
            <w:tcW w:w="3500" w:type="dxa"/>
            <w:vAlign w:val="bottom"/>
          </w:tcPr>
          <w:p>
            <w:pPr>
              <w:spacing w:after="0"/>
              <w:rPr>
                <w:sz w:val="24"/>
                <w:szCs w:val="24"/>
                <w:color w:val="auto"/>
              </w:rPr>
            </w:pPr>
          </w:p>
        </w:tc>
        <w:tc>
          <w:tcPr>
            <w:tcW w:w="7740" w:type="dxa"/>
            <w:vAlign w:val="bottom"/>
          </w:tcPr>
          <w:p>
            <w:pPr>
              <w:ind w:left="2120"/>
              <w:spacing w:after="0"/>
              <w:rPr>
                <w:sz w:val="20"/>
                <w:szCs w:val="20"/>
                <w:color w:val="auto"/>
              </w:rPr>
            </w:pPr>
            <w:r>
              <w:rPr>
                <w:rFonts w:ascii="Arial" w:cs="Arial" w:eastAsia="Arial" w:hAnsi="Arial"/>
                <w:sz w:val="18"/>
                <w:szCs w:val="18"/>
                <w:color w:val="auto"/>
              </w:rPr>
              <w:t>Date Received</w:t>
            </w:r>
          </w:p>
        </w:tc>
      </w:tr>
      <w:tr>
        <w:trPr>
          <w:trHeight w:val="675"/>
        </w:trPr>
        <w:tc>
          <w:tcPr>
            <w:tcW w:w="350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89" w:name="page190"/>
    <w:bookmarkEnd w:id="1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1540" w:type="dxa"/>
            <w:vAlign w:val="bottom"/>
          </w:tcPr>
          <w:p>
            <w:pPr>
              <w:spacing w:after="0"/>
              <w:rPr>
                <w:sz w:val="17"/>
                <w:szCs w:val="17"/>
                <w:color w:val="auto"/>
              </w:rPr>
            </w:pPr>
          </w:p>
        </w:tc>
      </w:tr>
      <w:tr>
        <w:trPr>
          <w:trHeight w:val="453"/>
        </w:trPr>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80" w:type="dxa"/>
            <w:vAlign w:val="bottom"/>
            <w:gridSpan w:val="3"/>
          </w:tcPr>
          <w:p>
            <w:pPr>
              <w:jc w:val="center"/>
              <w:ind w:left="1550"/>
              <w:spacing w:after="0"/>
              <w:rPr>
                <w:sz w:val="20"/>
                <w:szCs w:val="20"/>
                <w:color w:val="auto"/>
              </w:rPr>
            </w:pPr>
            <w:r>
              <w:rPr>
                <w:rFonts w:ascii="Arial" w:cs="Arial" w:eastAsia="Arial" w:hAnsi="Arial"/>
                <w:sz w:val="18"/>
                <w:szCs w:val="18"/>
                <w:b w:val="1"/>
                <w:bCs w:val="1"/>
                <w:color w:val="auto"/>
              </w:rPr>
              <w:t>INVESTMENT REPRESENTATION STATEMENT</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PARTICIPANT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COMPANY</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SUREFIRE MEDICAL, INC. DBA TRISALUS™ LIFE SCIENCES</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SECURITY</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COMMON STOCK</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AMOUNT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DATE</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purchase of the above-listed Securities, the undersigned Participant represents to the Company the following: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87" w:lineRule="exact"/>
        <w:rPr>
          <w:sz w:val="20"/>
          <w:szCs w:val="20"/>
          <w:color w:val="auto"/>
        </w:rPr>
      </w:pPr>
    </w:p>
    <w:p>
      <w:pPr>
        <w:jc w:val="both"/>
        <w:ind w:firstLine="656"/>
        <w:spacing w:after="0" w:line="289" w:lineRule="auto"/>
        <w:tabs>
          <w:tab w:leader="none" w:pos="154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66" w:lineRule="exact"/>
        <w:rPr>
          <w:rFonts w:ascii="Arial" w:cs="Arial" w:eastAsia="Arial" w:hAnsi="Arial"/>
          <w:sz w:val="16"/>
          <w:szCs w:val="16"/>
          <w:color w:val="auto"/>
        </w:rPr>
      </w:pPr>
    </w:p>
    <w:p>
      <w:pPr>
        <w:jc w:val="both"/>
        <w:ind w:firstLine="656"/>
        <w:spacing w:after="0" w:line="289" w:lineRule="auto"/>
        <w:tabs>
          <w:tab w:leader="none" w:pos="148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(90) days thereafter (or such 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 (2) 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0" w:name="page191"/>
    <w:bookmarkEnd w:id="190"/>
    <w:p>
      <w:pPr>
        <w:jc w:val="both"/>
        <w:ind w:firstLine="1296"/>
        <w:spacing w:after="0" w:line="291"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w:t>
      </w:r>
    </w:p>
    <w:p>
      <w:pPr>
        <w:ind w:firstLine="8"/>
        <w:spacing w:after="0" w:line="323" w:lineRule="auto"/>
        <w:tabs>
          <w:tab w:leader="none" w:pos="26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38" w:lineRule="exact"/>
        <w:rPr>
          <w:rFonts w:ascii="Arial" w:cs="Arial" w:eastAsia="Arial" w:hAnsi="Arial"/>
          <w:sz w:val="16"/>
          <w:szCs w:val="16"/>
          <w:color w:val="auto"/>
        </w:rPr>
      </w:pPr>
    </w:p>
    <w:p>
      <w:pPr>
        <w:jc w:val="both"/>
        <w:ind w:firstLine="656"/>
        <w:spacing w:after="0" w:line="293" w:lineRule="auto"/>
        <w:tabs>
          <w:tab w:leader="none" w:pos="1392" w:val="left"/>
        </w:tabs>
        <w:numPr>
          <w:ilvl w:val="1"/>
          <w:numId w:val="155"/>
        </w:numPr>
        <w:rPr>
          <w:rFonts w:ascii="Arial" w:cs="Arial" w:eastAsia="Arial" w:hAnsi="Arial"/>
          <w:sz w:val="16"/>
          <w:szCs w:val="16"/>
          <w:color w:val="auto"/>
        </w:rPr>
      </w:pPr>
      <w:r>
        <w:rPr>
          <w:rFonts w:ascii="Arial" w:cs="Arial" w:eastAsia="Arial" w:hAnsi="Arial"/>
          <w:sz w:val="16"/>
          <w:szCs w:val="16"/>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PARTICIPANT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2"/>
          <w:szCs w:val="22"/>
          <w:b w:val="1"/>
          <w:bCs w:val="1"/>
          <w:color w:val="auto"/>
        </w:rPr>
        <w:t>Exhibit 10.19</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SUREFIRE MEDICAL, INC. DBA TRISALUS™ LIFE SCIENCES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2009 STOCK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EARLY EXERCISE STOCK OPTION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defined herein, the terms defined in the 2009 Stock Option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have the same defined meanings in this Early Exercise Stock Option Agreement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w:t>
      </w:r>
    </w:p>
    <w:p>
      <w:pPr>
        <w:spacing w:after="0" w:line="166" w:lineRule="exact"/>
        <w:rPr>
          <w:sz w:val="20"/>
          <w:szCs w:val="20"/>
          <w:color w:val="auto"/>
        </w:rPr>
      </w:pPr>
    </w:p>
    <w:p>
      <w:pPr>
        <w:ind w:left="660" w:right="7460" w:hanging="652"/>
        <w:spacing w:after="0" w:line="503" w:lineRule="auto"/>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NOTICE OF STOCK OPTION GRANT </w:t>
      </w:r>
      <w:r>
        <w:rPr>
          <w:rFonts w:ascii="Arial" w:cs="Arial" w:eastAsia="Arial" w:hAnsi="Arial"/>
          <w:sz w:val="18"/>
          <w:szCs w:val="18"/>
          <w:u w:val="single" w:color="auto"/>
          <w:color w:val="auto"/>
        </w:rPr>
        <w:t>Grant of Option:</w:t>
      </w:r>
    </w:p>
    <w:p>
      <w:pPr>
        <w:jc w:val="both"/>
        <w:ind w:firstLine="648"/>
        <w:spacing w:after="0" w:line="290" w:lineRule="auto"/>
        <w:rPr>
          <w:sz w:val="20"/>
          <w:szCs w:val="20"/>
          <w:color w:val="auto"/>
        </w:rPr>
      </w:pPr>
      <w:r>
        <w:rPr>
          <w:rFonts w:ascii="Arial" w:cs="Arial" w:eastAsia="Arial" w:hAnsi="Arial"/>
          <w:sz w:val="16"/>
          <w:szCs w:val="16"/>
          <w:color w:val="auto"/>
        </w:rPr>
        <w:t>Pursuant to the option grant summary tab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on the website to which this Option Agreement is associated, SUREFIRE MEDICAL, INC. DBA TRISALUS™ LIFE SCIENCES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to the option holder set forth in the Grant Notice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an option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under the Plan to purchase the number of Shares indicated in the Grant Notice. By Participant’s electronic acceptance of this Option on the Grant Notice, Participant acknowledges receipt of a copy of the Plan and represents that Participant is familiar with the terms and provisions thereof, and hereby accepts this Option subject to all of the terms and provisions of the Plan, this Option Agreement and the Grant Notice. Participant has reviewed the Plan, this Option Agreement and the Grant Notice in their entirety, has had an opportunity to obtain the advice of counsel prior to accepting this Option and fully understands all provisions of this Option Agreement, the Plan and the Grant Notice. Participant hereby agrees to accept as binding, conclusive and final all decisions or interpretations of the Administrator of the Plan upon any questions arising under the Plan or the Option.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Option shall vest in accordance with the vesting schedule set forth in the Grant Notice, subject to Participant remaining a Service Provider of the Company through each applicable vesting date (the “</w:t>
      </w:r>
      <w:r>
        <w:rPr>
          <w:rFonts w:ascii="Arial" w:cs="Arial" w:eastAsia="Arial" w:hAnsi="Arial"/>
          <w:sz w:val="18"/>
          <w:szCs w:val="18"/>
          <w:b w:val="1"/>
          <w:bCs w:val="1"/>
          <w:i w:val="1"/>
          <w:iCs w:val="1"/>
          <w:color w:val="auto"/>
        </w:rPr>
        <w:t>Vesting Schedule</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Termination Period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This Option shall be exercisable with respect to any vested portion of the Option for three (3) months after Participant ceases to be a Service Provider, unless such termination is as a result of (i) Participant’s death or Disability, in which case this Option shall be exercisable with respect to any vested portion of the Option for twelve (12) months after Participant ceases to be a Service Provider or (ii) Participant’s termination by the Company for Cause (as defined below), in which case this Option shall cease to be exercisable as of the date that Participant ceases to be a Service Provider,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Option shall not terminate (and shall remain outstanding) until the three (3)-month anniversary of the date that Participant ceases to be a</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Provider (but shall not vest or be exercisable following the date that Participant ceases to be a Service Provider unless otherwise provided by the Company). Notwithstanding the foregoing sentence, in no event may this Option be exercised after the Term/Expiration Date as provided above and this Option may be subject to earlier termination as provided in Section 8 of the Plan. No unvested portion of this Option shall be exercisable after Participant ceases to be a Service Provider, unless otherwise provided by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2" w:name="page193"/>
    <w:bookmarkEnd w:id="192"/>
    <w:p>
      <w:pPr>
        <w:jc w:val="both"/>
        <w:spacing w:after="0" w:line="289" w:lineRule="auto"/>
        <w:rPr>
          <w:sz w:val="20"/>
          <w:szCs w:val="20"/>
          <w:color w:val="auto"/>
        </w:rPr>
      </w:pPr>
      <w:r>
        <w:rPr>
          <w:rFonts w:ascii="Arial" w:cs="Arial" w:eastAsia="Arial" w:hAnsi="Arial"/>
          <w:sz w:val="16"/>
          <w:szCs w:val="16"/>
          <w:color w:val="auto"/>
        </w:rPr>
        <w:t>For purposes hereof, “</w:t>
      </w:r>
      <w:r>
        <w:rPr>
          <w:rFonts w:ascii="Arial" w:cs="Arial" w:eastAsia="Arial" w:hAnsi="Arial"/>
          <w:sz w:val="16"/>
          <w:szCs w:val="16"/>
          <w:u w:val="single" w:color="auto"/>
          <w:color w:val="auto"/>
        </w:rPr>
        <w:t>Cause</w:t>
      </w:r>
      <w:r>
        <w:rPr>
          <w:rFonts w:ascii="Arial" w:cs="Arial" w:eastAsia="Arial" w:hAnsi="Arial"/>
          <w:sz w:val="16"/>
          <w:szCs w:val="16"/>
          <w:color w:val="auto"/>
        </w:rPr>
        <w:t>” means, with respect to the Participant, the occurrence of any of the following events (unless another definition is provided in an employment agreement or other applicable written agreement with the Participant and the Company): (i) the Participant’s willful failure to perform his or her duties and responsibilities to the Company or the Participant’s violation of any written Company policy; (ii) the Participant’s commission of any act of fraud, embezzlement, dishonesty or any other willful misconduct that has caused or is reasonably expected to result in injury to the Company; (iii) the Participant’s unauthorized use or disclosure of any proprietary information or trade secrets of the Company or any other party to whom the Participant owes an obligation of nondisclosure as a result of his or her relationship with the Company; or (iv) the Participant’s material breach of any of his or her obligations under any written agreement or covenant with the Company. The determination as to whether the Participant’s termination as a Service Provider has occurred for Cause shall be made in good faith by the Company and shall be final and binding on the Participant. The foregoing definition does not in any way limit the Company’s ability to terminate the Participant’s employment or consulting relationship at any time, subject to Applicable Laws.</w:t>
      </w:r>
    </w:p>
    <w:p>
      <w:pPr>
        <w:spacing w:after="0" w:line="162"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w:t>
      </w:r>
    </w:p>
    <w:p>
      <w:pPr>
        <w:spacing w:after="0" w:line="229" w:lineRule="exact"/>
        <w:rPr>
          <w:rFonts w:ascii="Arial" w:cs="Arial" w:eastAsia="Arial" w:hAnsi="Arial"/>
          <w:sz w:val="18"/>
          <w:szCs w:val="18"/>
          <w:b w:val="1"/>
          <w:bCs w:val="1"/>
          <w:color w:val="auto"/>
        </w:rPr>
      </w:pPr>
    </w:p>
    <w:p>
      <w:pPr>
        <w:jc w:val="both"/>
        <w:ind w:firstLine="656"/>
        <w:spacing w:after="0" w:line="257" w:lineRule="auto"/>
        <w:tabs>
          <w:tab w:leader="none" w:pos="1444"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The Administrator of the Company hereby grants to the Participant the Option to purchase the number of Shares set forth in the Grant Notice, at the exercise price per Share set forth in the Grant Notice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and subject to the terms and conditions of the Plan, which is incorporated herein by reference. As set forth in the Grant Notice, the Option constitutes a Nonstatutory Stock Option. Subject to Section 14 of the Plan, in the event of a conflict between the terms and conditions of the Plan and this Option Agreement, the terms and conditions of the Plan shall prevail.</w:t>
      </w:r>
    </w:p>
    <w:p>
      <w:pPr>
        <w:spacing w:after="0" w:line="187" w:lineRule="exact"/>
        <w:rPr>
          <w:rFonts w:ascii="Arial" w:cs="Arial" w:eastAsia="Arial" w:hAnsi="Arial"/>
          <w:sz w:val="18"/>
          <w:szCs w:val="18"/>
          <w:color w:val="auto"/>
        </w:rPr>
      </w:pPr>
    </w:p>
    <w:p>
      <w:pPr>
        <w:ind w:left="1300" w:hanging="644"/>
        <w:spacing w:after="0"/>
        <w:tabs>
          <w:tab w:leader="none" w:pos="1300"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2089" w:val="left"/>
        </w:tabs>
        <w:numPr>
          <w:ilvl w:val="2"/>
          <w:numId w:val="157"/>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This Option shall become vested in such amounts and at such times as are set forth in the Vesting Schedule set out in the Grant Notice. The installments provided for in the Vesting Schedule are cumulative.</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2072" w:val="left"/>
        </w:tabs>
        <w:numPr>
          <w:ilvl w:val="2"/>
          <w:numId w:val="157"/>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xml:space="preserve">. Any portion of this Option or the entire Option may be exercised in whole or in part at any time prior to the time when the Option or portion thereof becomes unexercisable under Section 9,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each unvested Share with respect to which the Option is exercised (a “</w:t>
      </w:r>
      <w:r>
        <w:rPr>
          <w:rFonts w:ascii="Arial" w:cs="Arial" w:eastAsia="Arial" w:hAnsi="Arial"/>
          <w:sz w:val="18"/>
          <w:szCs w:val="18"/>
          <w:b w:val="1"/>
          <w:bCs w:val="1"/>
          <w:i w:val="1"/>
          <w:iCs w:val="1"/>
          <w:color w:val="auto"/>
        </w:rPr>
        <w:t>Restricted Share</w:t>
      </w:r>
      <w:r>
        <w:rPr>
          <w:rFonts w:ascii="Arial" w:cs="Arial" w:eastAsia="Arial" w:hAnsi="Arial"/>
          <w:sz w:val="18"/>
          <w:szCs w:val="18"/>
          <w:color w:val="auto"/>
        </w:rPr>
        <w:t>”) shall be subject to the Company Repurchase Right (as defined below) for so long as the Option shall remain unvested with respect to such Share under the terms of this Option Agreement. The Restricted Shares shall be released from the Company Repurchase Right as set forth in Section 3(a)(iv).</w:t>
      </w:r>
    </w:p>
    <w:p>
      <w:pPr>
        <w:spacing w:after="0" w:line="187" w:lineRule="exact"/>
        <w:rPr>
          <w:rFonts w:ascii="Arial" w:cs="Arial" w:eastAsia="Arial" w:hAnsi="Arial"/>
          <w:sz w:val="18"/>
          <w:szCs w:val="18"/>
          <w:color w:val="auto"/>
        </w:rPr>
      </w:pPr>
    </w:p>
    <w:p>
      <w:pPr>
        <w:jc w:val="both"/>
        <w:ind w:firstLine="1304"/>
        <w:spacing w:after="0" w:line="289" w:lineRule="auto"/>
        <w:tabs>
          <w:tab w:leader="none" w:pos="2116" w:val="left"/>
        </w:tabs>
        <w:numPr>
          <w:ilvl w:val="2"/>
          <w:numId w:val="157"/>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This Option shall be exercisable by delivery of an exercise notice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Exercise Notice</w:t>
      </w:r>
      <w:r>
        <w:rPr>
          <w:rFonts w:ascii="Arial" w:cs="Arial" w:eastAsia="Arial" w:hAnsi="Arial"/>
          <w:sz w:val="16"/>
          <w:szCs w:val="16"/>
          <w:color w:val="auto"/>
        </w:rPr>
        <w:t>”) or in a manner and pursuant to such procedures as the Administrator may determine, which shall state the election to exercise the Option, the number of Shares with respect to which the Option is being exercised (the “</w:t>
      </w:r>
      <w:r>
        <w:rPr>
          <w:rFonts w:ascii="Arial" w:cs="Arial" w:eastAsia="Arial" w:hAnsi="Arial"/>
          <w:sz w:val="16"/>
          <w:szCs w:val="16"/>
          <w:b w:val="1"/>
          <w:bCs w:val="1"/>
          <w:i w:val="1"/>
          <w:iCs w:val="1"/>
          <w:color w:val="auto"/>
        </w:rPr>
        <w:t>Exercised Shares</w:t>
      </w:r>
      <w:r>
        <w:rPr>
          <w:rFonts w:ascii="Arial" w:cs="Arial" w:eastAsia="Arial" w:hAnsi="Arial"/>
          <w:sz w:val="16"/>
          <w:szCs w:val="16"/>
          <w:color w:val="auto"/>
        </w:rPr>
        <w:t>”), and such other representations and agreements as may be required by the Company. The Exercise Notice shall be accompanied by payment of the aggregate Exercise Price as to all Exercised Shares, together with any applicable tax withholding, and if the Option is exercised as to any Restricted Shares, each of the following (the “</w:t>
      </w:r>
      <w:r>
        <w:rPr>
          <w:rFonts w:ascii="Arial" w:cs="Arial" w:eastAsia="Arial" w:hAnsi="Arial"/>
          <w:sz w:val="16"/>
          <w:szCs w:val="16"/>
          <w:b w:val="1"/>
          <w:bCs w:val="1"/>
          <w:i w:val="1"/>
          <w:i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(i) any share certificate(s) representing such Restricted Shares; (ii) the stock assignment duly endorsed in blank, attached as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Exhibit 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Stock Assignment</w:t>
      </w:r>
      <w:r>
        <w:rPr>
          <w:rFonts w:ascii="Arial" w:cs="Arial" w:eastAsia="Arial" w:hAnsi="Arial"/>
          <w:sz w:val="16"/>
          <w:szCs w:val="16"/>
          <w:color w:val="auto"/>
        </w:rPr>
        <w:t xml:space="preserve">”), executed by Participant; and (iii) the Joint Escrow Instructions of the Company and Participant, attached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Joint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Escrow Instructions</w:t>
      </w:r>
      <w:r>
        <w:rPr>
          <w:rFonts w:ascii="Arial" w:cs="Arial" w:eastAsia="Arial" w:hAnsi="Arial"/>
          <w:sz w:val="16"/>
          <w:szCs w:val="16"/>
          <w:color w:val="auto"/>
        </w:rPr>
        <w:t>”), executed by Participant. This Option shall be deemed to be exercised upon receipt by the Company of such fully executed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Notice accompanied by the aggregate Exercise Price, together with any applicable tax withholding and any required Additional Documents.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ind w:left="1300"/>
        <w:spacing w:after="0"/>
        <w:rPr>
          <w:sz w:val="20"/>
          <w:szCs w:val="20"/>
          <w:color w:val="auto"/>
        </w:rPr>
      </w:pPr>
      <w:r>
        <w:rPr>
          <w:rFonts w:ascii="Arial" w:cs="Arial" w:eastAsia="Arial" w:hAnsi="Arial"/>
          <w:sz w:val="16"/>
          <w:szCs w:val="16"/>
          <w:color w:val="auto"/>
        </w:rPr>
        <w:t>No Shares shall be issued pursuant to the exercise of an Option unless such issuance and such exercise comply with Applicable Laws.</w:t>
      </w:r>
    </w:p>
    <w:p>
      <w:pPr>
        <w:spacing w:after="0" w:line="248" w:lineRule="exact"/>
        <w:rPr>
          <w:sz w:val="20"/>
          <w:szCs w:val="20"/>
          <w:color w:val="auto"/>
        </w:rPr>
      </w:pPr>
    </w:p>
    <w:p>
      <w:pPr>
        <w:ind w:left="1300" w:hanging="644"/>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Restricted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Company Repurchase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600"/>
        <w:spacing w:after="0" w:line="263" w:lineRule="auto"/>
        <w:tabs>
          <w:tab w:leader="none" w:pos="3452" w:val="left"/>
        </w:tabs>
        <w:numPr>
          <w:ilvl w:val="2"/>
          <w:numId w:val="158"/>
        </w:numPr>
        <w:rPr>
          <w:rFonts w:ascii="Arial" w:cs="Arial" w:eastAsia="Arial" w:hAnsi="Arial"/>
          <w:sz w:val="18"/>
          <w:szCs w:val="18"/>
          <w:color w:val="auto"/>
        </w:rPr>
      </w:pPr>
      <w:r>
        <w:rPr>
          <w:rFonts w:ascii="Arial" w:cs="Arial" w:eastAsia="Arial" w:hAnsi="Arial"/>
          <w:sz w:val="18"/>
          <w:szCs w:val="18"/>
          <w:color w:val="auto"/>
        </w:rPr>
        <w:t>Upon Participant’s ceasing to be a Service Provider for any reason, the Company shall have the right and option to repurchase all of the Restricted Shares from Participant, or Participant’s transferee or legal representative, as the case may be, for a purchase price equal to the price per Share paid for such Restricted Shares (the “</w:t>
      </w:r>
      <w:r>
        <w:rPr>
          <w:rFonts w:ascii="Arial" w:cs="Arial" w:eastAsia="Arial" w:hAnsi="Arial"/>
          <w:sz w:val="18"/>
          <w:szCs w:val="18"/>
          <w:b w:val="1"/>
          <w:bCs w:val="1"/>
          <w:i w:val="1"/>
          <w:iCs w:val="1"/>
          <w:color w:val="auto"/>
        </w:rPr>
        <w:t>Company Repurchase Right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2600"/>
        <w:spacing w:after="0" w:line="254" w:lineRule="auto"/>
        <w:tabs>
          <w:tab w:leader="none" w:pos="3395"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Company may exercise the Company Repurchase Right by delivering, personally or by registered mail, to Participant (or his or her transferee or legal representative, as the case may be), within ninety (90) days of the date Participant ceases to be a Service Provider, a notice in writing indicating the Company’s intention to exercise the Company Repurchase Right and setting forth a date for closing not later than thirty (30) days from the mailing of such notice. The closing shall take place at the Company’s office. At the closing, the holder of any certificates for the Restricted Shares shall deliver the stock certificate or certificates evidencing the Restricted Shares, and the Company shall deliver the purchase price therefore. At its option, the Company may elect to make payment for the Restricted Shares to a bank selected by the Company. The Company shall avail itself of this option by a notice in writing to Participant stating the name and address of the bank, date of closing, and waiving the closing at the Company’s office.</w:t>
      </w:r>
    </w:p>
    <w:p>
      <w:pPr>
        <w:spacing w:after="0" w:line="191" w:lineRule="exact"/>
        <w:rPr>
          <w:rFonts w:ascii="Arial" w:cs="Arial" w:eastAsia="Arial" w:hAnsi="Arial"/>
          <w:sz w:val="18"/>
          <w:szCs w:val="18"/>
          <w:color w:val="auto"/>
        </w:rPr>
      </w:pPr>
    </w:p>
    <w:p>
      <w:pPr>
        <w:ind w:left="3560" w:hanging="960"/>
        <w:spacing w:after="0"/>
        <w:tabs>
          <w:tab w:leader="none" w:pos="3560" w:val="left"/>
        </w:tabs>
        <w:numPr>
          <w:ilvl w:val="2"/>
          <w:numId w:val="158"/>
        </w:numPr>
        <w:rPr>
          <w:rFonts w:ascii="Arial" w:cs="Arial" w:eastAsia="Arial" w:hAnsi="Arial"/>
          <w:sz w:val="16"/>
          <w:szCs w:val="16"/>
          <w:color w:val="auto"/>
        </w:rPr>
      </w:pPr>
      <w:r>
        <w:rPr>
          <w:rFonts w:ascii="Arial" w:cs="Arial" w:eastAsia="Arial" w:hAnsi="Arial"/>
          <w:sz w:val="16"/>
          <w:szCs w:val="16"/>
          <w:color w:val="auto"/>
        </w:rPr>
        <w:t>If the Company does not elect to exercise the Company Repurchase Right by giving the requisite notice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within ninety (90) days following the date Participant ceases to be a Service Provider, the Company Repurchase Right shall terminate.</w:t>
      </w:r>
    </w:p>
    <w:p>
      <w:pPr>
        <w:spacing w:after="0" w:line="210" w:lineRule="exact"/>
        <w:rPr>
          <w:rFonts w:ascii="Arial" w:cs="Arial" w:eastAsia="Arial" w:hAnsi="Arial"/>
          <w:sz w:val="16"/>
          <w:szCs w:val="16"/>
          <w:color w:val="auto"/>
        </w:rPr>
      </w:pPr>
    </w:p>
    <w:p>
      <w:pPr>
        <w:jc w:val="both"/>
        <w:ind w:firstLine="2600"/>
        <w:spacing w:after="0" w:line="259" w:lineRule="auto"/>
        <w:tabs>
          <w:tab w:leader="none" w:pos="353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Restricted Shares shall be released from the Company Repurchase Right upon vesting of the Option with respect to such Shares in accordance with the terms of this Option Agreement. For the avoidance of doubt, all Restricted Shares shall at all times be assumed to be unvested Shares to the fullest extent possible under the terms of this Option Agreement, unless otherwise provided by the Administrator. Fractional Shares shall be rounded down to the nearest whole Share.</w:t>
      </w:r>
    </w:p>
    <w:p>
      <w:pPr>
        <w:spacing w:after="0" w:line="186" w:lineRule="exact"/>
        <w:rPr>
          <w:rFonts w:ascii="Arial" w:cs="Arial" w:eastAsia="Arial" w:hAnsi="Arial"/>
          <w:sz w:val="18"/>
          <w:szCs w:val="18"/>
          <w:color w:val="auto"/>
        </w:rPr>
      </w:pPr>
    </w:p>
    <w:p>
      <w:pPr>
        <w:ind w:left="1960" w:hanging="656"/>
        <w:spacing w:after="0"/>
        <w:tabs>
          <w:tab w:leader="none" w:pos="1960"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Escrow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600"/>
        <w:spacing w:after="0" w:line="263" w:lineRule="auto"/>
        <w:tabs>
          <w:tab w:leader="none" w:pos="3398" w:val="left"/>
        </w:tabs>
        <w:numPr>
          <w:ilvl w:val="2"/>
          <w:numId w:val="158"/>
        </w:numPr>
        <w:rPr>
          <w:rFonts w:ascii="Arial" w:cs="Arial" w:eastAsia="Arial" w:hAnsi="Arial"/>
          <w:sz w:val="18"/>
          <w:szCs w:val="18"/>
          <w:color w:val="auto"/>
        </w:rPr>
      </w:pPr>
      <w:r>
        <w:rPr>
          <w:rFonts w:ascii="Arial" w:cs="Arial" w:eastAsia="Arial" w:hAnsi="Arial"/>
          <w:sz w:val="18"/>
          <w:szCs w:val="18"/>
          <w:color w:val="auto"/>
        </w:rPr>
        <w:t>Participant hereby authorizes and directs the Secretary of the Company, or such other person designated by the Administrator from time to time, to transfer the Restricted Shares as to which the Company Repurchase Right has been exercised from Participant (or his or her transferee or legal representative, as the case may be) to the Company.</w:t>
      </w:r>
    </w:p>
    <w:p>
      <w:pPr>
        <w:spacing w:after="0" w:line="183" w:lineRule="exact"/>
        <w:rPr>
          <w:rFonts w:ascii="Arial" w:cs="Arial" w:eastAsia="Arial" w:hAnsi="Arial"/>
          <w:sz w:val="18"/>
          <w:szCs w:val="18"/>
          <w:color w:val="auto"/>
        </w:rPr>
      </w:pPr>
    </w:p>
    <w:p>
      <w:pPr>
        <w:jc w:val="both"/>
        <w:ind w:firstLine="2600"/>
        <w:spacing w:after="0" w:line="269" w:lineRule="auto"/>
        <w:tabs>
          <w:tab w:leader="none" w:pos="3392" w:val="left"/>
        </w:tabs>
        <w:numPr>
          <w:ilvl w:val="2"/>
          <w:numId w:val="158"/>
        </w:numPr>
        <w:rPr>
          <w:rFonts w:ascii="Arial" w:cs="Arial" w:eastAsia="Arial" w:hAnsi="Arial"/>
          <w:sz w:val="17"/>
          <w:szCs w:val="17"/>
          <w:color w:val="auto"/>
        </w:rPr>
      </w:pPr>
      <w:r>
        <w:rPr>
          <w:rFonts w:ascii="Arial" w:cs="Arial" w:eastAsia="Arial" w:hAnsi="Arial"/>
          <w:sz w:val="17"/>
          <w:szCs w:val="17"/>
          <w:color w:val="auto"/>
        </w:rPr>
        <w:t>To ensure the availability for delivery of the Restricted Shares upon repurchase by the Company pursuant to the Company Repurchase Right, Participant appoints the Secretary of the Company, or such other person designated by the Administrator from time to time as escrow agent, as its attorney-in-fact to sell, assign and transfer unto the Company, such Restricted Shares, if any, repurchased by the Company pursuant to the Company Repurchase Right and shall, upon execution of the applicable Exercise Notice, deliver and deposit with the Secretary of the Company, or such other person designated by the Administrator from time to time, any share certificate(s) representing the Restricted Shares, together with the Stock Assignment. The Restricted Shares and Stock Assignment shall be held by the Secretary, or such other person designated by the Administrator from time to time, in escrow, pursuant to the Joint Escrow Instructions, until the Company exercises the Company Repurchase Right, until such Restricted Shares are released from the Company Repurchase Right as set forth in Section 3(a)(iv) or until such time as this Option Agreement no longer is in effect. Upon release of the Restricted Shares from the Company’s Repurchase Right, the escrow agent shall as soon as reasonably practicable deliver to Participant any certificate or certificates representing such Shares in the escrow agent’s possession belonging to Participant, and the escrow agent shall be discharged of all further obligations hereunder.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ind w:right="20" w:firstLine="2600"/>
        <w:spacing w:after="0" w:line="277" w:lineRule="auto"/>
        <w:tabs>
          <w:tab w:leader="none" w:pos="343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Company, or its designee, shall not be liable for any act it may do or omit to do with respect to holding the Restricted Shares in escrow and while acting in good faith and in the exercise of its judgment.</w:t>
      </w:r>
    </w:p>
    <w:p>
      <w:pPr>
        <w:spacing w:after="0" w:line="170" w:lineRule="exact"/>
        <w:rPr>
          <w:rFonts w:ascii="Arial" w:cs="Arial" w:eastAsia="Arial" w:hAnsi="Arial"/>
          <w:sz w:val="18"/>
          <w:szCs w:val="18"/>
          <w:color w:val="auto"/>
        </w:rPr>
      </w:pPr>
    </w:p>
    <w:p>
      <w:pPr>
        <w:jc w:val="both"/>
        <w:ind w:firstLine="1304"/>
        <w:spacing w:after="0" w:line="296" w:lineRule="auto"/>
        <w:tabs>
          <w:tab w:leader="none" w:pos="2292"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Transferability of Restricted Shares</w:t>
      </w:r>
      <w:r>
        <w:rPr>
          <w:rFonts w:ascii="Arial" w:cs="Arial" w:eastAsia="Arial" w:hAnsi="Arial"/>
          <w:sz w:val="16"/>
          <w:szCs w:val="16"/>
          <w:color w:val="auto"/>
        </w:rPr>
        <w:t>. The Restricted Shares may not be sold, assigned, transferred, pledged or otherwise encumbered, either voluntarily or by operation of law, except by will or the laws of descent and distribution. Any transferee of the Restricted Shares shall hold such Shares subject to all of the provisions hereof and the Exercise Notice and Additional Documents executed by Participant with respect to such Shares. Any transfer or attempted transfer of any of the Restricted Shares not in accordance with the terms of this Option Agreement shall be void and the Company may enforce the terms of this Option Agreement by stop transfer instructions or similar actions by the Company and its agents or designees.</w:t>
      </w:r>
    </w:p>
    <w:p>
      <w:pPr>
        <w:spacing w:after="0" w:line="161" w:lineRule="exact"/>
        <w:rPr>
          <w:rFonts w:ascii="Arial" w:cs="Arial" w:eastAsia="Arial" w:hAnsi="Arial"/>
          <w:sz w:val="16"/>
          <w:szCs w:val="16"/>
          <w:color w:val="auto"/>
        </w:rPr>
      </w:pPr>
    </w:p>
    <w:p>
      <w:pPr>
        <w:jc w:val="both"/>
        <w:ind w:firstLine="1304"/>
        <w:spacing w:after="0" w:line="288" w:lineRule="auto"/>
        <w:tabs>
          <w:tab w:leader="none" w:pos="2072"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Except as otherwise provided herein, upon exercise of the Option, Participant shall have all the rights of a stockholder with respect to the Restricted Shares, including the right to receive any cash or stock dividends or other distributions paid to or made with respect to the Restricted Shares, subject to the restrictions described in the following sentence, which restrictions shall lapse when the Restricted Shares are released from the Company Repurchase Right as set forth in Section 3(a)(iv). Unless otherwise provided by the Administrator, if any dividends or distributions are paid in shares, or consist of a dividend or distribution to holders of Common Stock of property other than an ordinary cash dividend, the shares or other property will be subject to the same restrictions on transferability as the Restricted Shares with respect to which they were paid and shall automatically be forfeited to the Company for no consideration in the event the Company exercises the Company Repurchase Right for the Restricted Shares with respect to which they were paid. In no event shall a dividend or distribution be paid with respect to Restricted Shares later than the end of the calendar year in which the dividends are paid to holders of Common Stock or, if later, the 15th day of the third month following the later of (i) the date the dividends are paid to holders of Common Stock and (ii) the date the Restricted Shares with respect to which the dividends are paid vest.</w:t>
      </w:r>
    </w:p>
    <w:p>
      <w:pPr>
        <w:spacing w:after="0" w:line="168" w:lineRule="exact"/>
        <w:rPr>
          <w:rFonts w:ascii="Arial" w:cs="Arial" w:eastAsia="Arial" w:hAnsi="Arial"/>
          <w:sz w:val="16"/>
          <w:szCs w:val="16"/>
          <w:color w:val="auto"/>
        </w:rPr>
      </w:pPr>
    </w:p>
    <w:p>
      <w:pPr>
        <w:jc w:val="both"/>
        <w:ind w:firstLine="1304"/>
        <w:spacing w:after="0" w:line="291" w:lineRule="auto"/>
        <w:tabs>
          <w:tab w:leader="none" w:pos="2224"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Section 83(b) Election for Restricted Shares</w:t>
      </w:r>
      <w:r>
        <w:rPr>
          <w:rFonts w:ascii="Arial" w:cs="Arial" w:eastAsia="Arial" w:hAnsi="Arial"/>
          <w:sz w:val="16"/>
          <w:szCs w:val="16"/>
          <w:color w:val="auto"/>
        </w:rPr>
        <w:t>. Participant acknowledges that, with respect to the exercise of the Option for Restricted Shares, unless an election is filed by Participant with the Internal Revenue Service and, if necessary, the proper state taxing authorities, within 30 days of the purchase of the Shares, electing pursuant to Section 83(b) of the Code (and similar state tax provisions if applicable) to be taxed currently on any difference between the purchase price of the Shares and their fair market value on the date of purchase, there will be a recognition of taxable income to Participant, measured by the excess, if any, of the fair market value of the Shares, at the time the Company Repurchase Right lapses over the purchase price for the Shares. Participant represents that Participant has consulted any tax consultant(s) Participant deems advisable in connection with the purchase of the Shares or the filing of the election under Section 83(b) of the Code and similar tax provisions.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both"/>
        <w:ind w:firstLine="648"/>
        <w:spacing w:after="0" w:line="263" w:lineRule="auto"/>
        <w:rPr>
          <w:sz w:val="20"/>
          <w:szCs w:val="20"/>
          <w:color w:val="auto"/>
        </w:rPr>
      </w:pPr>
      <w:r>
        <w:rPr>
          <w:rFonts w:ascii="Arial" w:cs="Arial" w:eastAsia="Arial" w:hAnsi="Arial"/>
          <w:sz w:val="18"/>
          <w:szCs w:val="18"/>
          <w:color w:val="auto"/>
        </w:rPr>
        <w:t>PARTICIPANT ACKNOWLEDGES THAT IT IS PARTICIPANT’S SOLE RESPONSIBILITY AND NOT THE COMPANY’S TO TIMELY FILE THE ELECTION UNDER SECTION 83(b) OF THE CODE, EVEN IF PARTICIPANT REQUESTS THE COMPANY OR ITS REPRESENTATIVE TO MAKE THIS FILING ON PARTICIPANT’S BEHALF.</w:t>
      </w:r>
    </w:p>
    <w:p>
      <w:pPr>
        <w:spacing w:after="0" w:line="184" w:lineRule="exact"/>
        <w:rPr>
          <w:sz w:val="20"/>
          <w:szCs w:val="20"/>
          <w:color w:val="auto"/>
        </w:rPr>
      </w:pPr>
    </w:p>
    <w:p>
      <w:pPr>
        <w:jc w:val="both"/>
        <w:ind w:firstLine="656"/>
        <w:spacing w:after="0" w:line="286" w:lineRule="auto"/>
        <w:tabs>
          <w:tab w:leader="none" w:pos="1566"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Participant’s Representations</w:t>
      </w:r>
      <w:r>
        <w:rPr>
          <w:rFonts w:ascii="Arial" w:cs="Arial" w:eastAsia="Arial" w:hAnsi="Arial"/>
          <w:sz w:val="17"/>
          <w:szCs w:val="17"/>
          <w:color w:val="auto"/>
        </w:rPr>
        <w:t>. In the event the Shares have not been registered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xml:space="preserve">”),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656"/>
        <w:spacing w:after="0" w:line="270" w:lineRule="auto"/>
        <w:tabs>
          <w:tab w:leader="none" w:pos="1485"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Lock-Up Period</w:t>
      </w:r>
      <w:r>
        <w:rPr>
          <w:rFonts w:ascii="Arial" w:cs="Arial" w:eastAsia="Arial" w:hAnsi="Arial"/>
          <w:sz w:val="17"/>
          <w:szCs w:val="17"/>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FINRA Rule 2241, or any successor provisions or amendments thereto).</w:t>
      </w:r>
    </w:p>
    <w:p>
      <w:pPr>
        <w:spacing w:after="0" w:line="181"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5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Option or shares acquired pursuant to the Option shall be bound by this Section 5.</w:t>
      </w:r>
    </w:p>
    <w:p>
      <w:pPr>
        <w:spacing w:after="0" w:line="166" w:lineRule="exact"/>
        <w:rPr>
          <w:sz w:val="20"/>
          <w:szCs w:val="20"/>
          <w:color w:val="auto"/>
        </w:rPr>
      </w:pPr>
    </w:p>
    <w:p>
      <w:pPr>
        <w:ind w:left="1380" w:hanging="724"/>
        <w:spacing w:after="0"/>
        <w:tabs>
          <w:tab w:leader="none" w:pos="1380"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shall be by any of the following, or a combination thereof, at the election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Participant:</w:t>
      </w:r>
    </w:p>
    <w:p>
      <w:pPr>
        <w:spacing w:after="0" w:line="210" w:lineRule="exact"/>
        <w:rPr>
          <w:rFonts w:ascii="Arial" w:cs="Arial" w:eastAsia="Arial" w:hAnsi="Arial"/>
          <w:sz w:val="16"/>
          <w:szCs w:val="16"/>
          <w:color w:val="auto"/>
        </w:rPr>
      </w:pPr>
    </w:p>
    <w:p>
      <w:pPr>
        <w:ind w:left="1960" w:hanging="656"/>
        <w:spacing w:after="0"/>
        <w:tabs>
          <w:tab w:leader="none" w:pos="19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rFonts w:ascii="Arial" w:cs="Arial" w:eastAsia="Arial" w:hAnsi="Arial"/>
          <w:sz w:val="18"/>
          <w:szCs w:val="18"/>
          <w:color w:val="auto"/>
        </w:rPr>
      </w:pPr>
    </w:p>
    <w:p>
      <w:pPr>
        <w:ind w:left="2080" w:hanging="776"/>
        <w:spacing w:after="0"/>
        <w:tabs>
          <w:tab w:leader="none" w:pos="208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consideration received by the Company under a formal cashless exercise program adopted by the Company in connection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 or</w:t>
      </w:r>
    </w:p>
    <w:p>
      <w:pPr>
        <w:spacing w:after="0" w:line="210" w:lineRule="exact"/>
        <w:rPr>
          <w:rFonts w:ascii="Arial" w:cs="Arial" w:eastAsia="Arial" w:hAnsi="Arial"/>
          <w:sz w:val="16"/>
          <w:szCs w:val="16"/>
          <w:color w:val="auto"/>
        </w:rPr>
      </w:pPr>
    </w:p>
    <w:p>
      <w:pPr>
        <w:jc w:val="both"/>
        <w:ind w:firstLine="1304"/>
        <w:spacing w:after="0" w:line="263" w:lineRule="auto"/>
        <w:tabs>
          <w:tab w:leader="none" w:pos="206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jc w:val="both"/>
        <w:ind w:firstLine="656"/>
        <w:spacing w:after="0" w:line="263" w:lineRule="auto"/>
        <w:tabs>
          <w:tab w:leader="none" w:pos="1458"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Restrictions on Exercise</w:t>
      </w:r>
      <w:r>
        <w:rPr>
          <w:rFonts w:ascii="Arial" w:cs="Arial" w:eastAsia="Arial" w:hAnsi="Arial"/>
          <w:sz w:val="18"/>
          <w:szCs w:val="18"/>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086" w:val="left"/>
        </w:tabs>
        <w:numPr>
          <w:ilvl w:val="2"/>
          <w:numId w:val="163"/>
        </w:numPr>
        <w:rPr>
          <w:rFonts w:ascii="Arial" w:cs="Arial" w:eastAsia="Arial" w:hAnsi="Arial"/>
          <w:sz w:val="18"/>
          <w:szCs w:val="18"/>
          <w:color w:val="auto"/>
        </w:rPr>
      </w:pPr>
      <w:r>
        <w:rPr>
          <w:rFonts w:ascii="Arial" w:cs="Arial" w:eastAsia="Arial" w:hAnsi="Arial"/>
          <w:sz w:val="18"/>
          <w:szCs w:val="18"/>
          <w:color w:val="auto"/>
        </w:rPr>
        <w:t>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83" w:lineRule="exact"/>
        <w:rPr>
          <w:rFonts w:ascii="Arial" w:cs="Arial" w:eastAsia="Arial" w:hAnsi="Arial"/>
          <w:sz w:val="18"/>
          <w:szCs w:val="18"/>
          <w:color w:val="auto"/>
        </w:rPr>
      </w:pPr>
    </w:p>
    <w:p>
      <w:pPr>
        <w:jc w:val="both"/>
        <w:ind w:firstLine="1304"/>
        <w:spacing w:after="0" w:line="290" w:lineRule="auto"/>
        <w:tabs>
          <w:tab w:leader="none" w:pos="2114" w:val="left"/>
        </w:tabs>
        <w:numPr>
          <w:ilvl w:val="2"/>
          <w:numId w:val="163"/>
        </w:numPr>
        <w:rPr>
          <w:rFonts w:ascii="Arial" w:cs="Arial" w:eastAsia="Arial" w:hAnsi="Arial"/>
          <w:sz w:val="16"/>
          <w:szCs w:val="16"/>
          <w:color w:val="auto"/>
        </w:rPr>
      </w:pPr>
      <w:r>
        <w:rPr>
          <w:rFonts w:ascii="Arial" w:cs="Arial" w:eastAsia="Arial" w:hAnsi="Arial"/>
          <w:sz w:val="16"/>
          <w:szCs w:val="16"/>
          <w:color w:val="auto"/>
        </w:rPr>
        <w:t>Without limiting Section 8(a), until the Company becomes subject to the reporting requirements of Section 13 or 15(d) of the Exchange Act, or after the Administrator determines that it is, will, or may no longer be relying upon the exemption from registration of Options under the Exchange Act as set forth in Rule 12h-1(f) promulgated under the Exchange Act (the “</w:t>
      </w:r>
      <w:r>
        <w:rPr>
          <w:rFonts w:ascii="Arial" w:cs="Arial" w:eastAsia="Arial" w:hAnsi="Arial"/>
          <w:sz w:val="16"/>
          <w:szCs w:val="16"/>
          <w:b w:val="1"/>
          <w:bCs w:val="1"/>
          <w:i w:val="1"/>
          <w:iCs w:val="1"/>
          <w:color w:val="auto"/>
        </w:rPr>
        <w:t>Reliance End Date</w:t>
      </w:r>
      <w:r>
        <w:rPr>
          <w:rFonts w:ascii="Arial" w:cs="Arial" w:eastAsia="Arial" w:hAnsi="Arial"/>
          <w:sz w:val="16"/>
          <w:szCs w:val="16"/>
          <w:color w:val="auto"/>
        </w:rPr>
        <w:t>”), Participant shall not transfer this Option or, prior to exercise, the Shares subject to this Option, in any manner other than (i) to persons who are “family members” (as defined in Rule 701(c)(3) of the Securities Act) through gifts or domestic relations orders, or (ii) to an executor or guardian of Participant upon the death or disability of Participant. Until the Reliance End Date, the Options and, prior to exercise, the Shares subject to this Option, may not be pledged, hypothecated or otherwise transferred or disposed of, including by entering into any short position, any “put equivalent position” or any “call equivalent position” (as defined in Rule 16a-1(h) and Rule 16a-1(b) of the Exchange Act, respectively), other than as permitted in clauses (i) and (ii) of this paragraph.</w:t>
      </w:r>
    </w:p>
    <w:p>
      <w:pPr>
        <w:spacing w:after="0" w:line="165" w:lineRule="exact"/>
        <w:rPr>
          <w:rFonts w:ascii="Arial" w:cs="Arial" w:eastAsia="Arial" w:hAnsi="Arial"/>
          <w:sz w:val="16"/>
          <w:szCs w:val="16"/>
          <w:color w:val="auto"/>
        </w:rPr>
      </w:pPr>
    </w:p>
    <w:p>
      <w:pPr>
        <w:ind w:firstLine="656"/>
        <w:spacing w:after="0" w:line="277" w:lineRule="auto"/>
        <w:tabs>
          <w:tab w:leader="none" w:pos="1377"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This Option may be exercised only within the term set out in the Grant Notice, and may be exercised during such term only in accordance with the Plan and the terms of this Option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Tax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2346" w:val="left"/>
        </w:tabs>
        <w:numPr>
          <w:ilvl w:val="2"/>
          <w:numId w:val="163"/>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any exercise of the Option. Participant acknowledges and agrees that no exercise of the Option shall be deemed complete until such withholding amounts are delivered to the Company.</w:t>
      </w:r>
    </w:p>
    <w:p>
      <w:pPr>
        <w:spacing w:after="0" w:line="186" w:lineRule="exact"/>
        <w:rPr>
          <w:rFonts w:ascii="Arial" w:cs="Arial" w:eastAsia="Arial" w:hAnsi="Arial"/>
          <w:sz w:val="18"/>
          <w:szCs w:val="18"/>
          <w:color w:val="auto"/>
        </w:rPr>
      </w:pPr>
    </w:p>
    <w:p>
      <w:pPr>
        <w:jc w:val="both"/>
        <w:ind w:firstLine="1304"/>
        <w:spacing w:after="0" w:line="287" w:lineRule="auto"/>
        <w:tabs>
          <w:tab w:leader="none" w:pos="2099" w:val="left"/>
        </w:tabs>
        <w:numPr>
          <w:ilvl w:val="2"/>
          <w:numId w:val="163"/>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xml:space="preserve"> Under Code Section 409A, an Option that was granted with a per Share exercise price that is determined by the Internal Revenue Service (the “</w:t>
      </w:r>
      <w:r>
        <w:rPr>
          <w:rFonts w:ascii="Arial" w:cs="Arial" w:eastAsia="Arial" w:hAnsi="Arial"/>
          <w:sz w:val="16"/>
          <w:szCs w:val="16"/>
          <w:b w:val="1"/>
          <w:bCs w:val="1"/>
          <w:i w:val="1"/>
          <w:iCs w:val="1"/>
          <w:color w:val="auto"/>
        </w:rPr>
        <w:t>IRS</w:t>
      </w:r>
      <w:r>
        <w:rPr>
          <w:rFonts w:ascii="Arial" w:cs="Arial" w:eastAsia="Arial" w:hAnsi="Arial"/>
          <w:sz w:val="16"/>
          <w:szCs w:val="16"/>
          <w:color w:val="auto"/>
        </w:rPr>
        <w:t>”) to be less than the Fair Market Value of a Share on the date of grant (a “</w:t>
      </w:r>
      <w:r>
        <w:rPr>
          <w:rFonts w:ascii="Arial" w:cs="Arial" w:eastAsia="Arial" w:hAnsi="Arial"/>
          <w:sz w:val="16"/>
          <w:szCs w:val="16"/>
          <w:b w:val="1"/>
          <w:bCs w:val="1"/>
          <w:i w:val="1"/>
          <w:iCs w:val="1"/>
          <w:color w:val="auto"/>
        </w:rPr>
        <w:t>discount option</w:t>
      </w:r>
      <w:r>
        <w:rPr>
          <w:rFonts w:ascii="Arial" w:cs="Arial" w:eastAsia="Arial" w:hAnsi="Arial"/>
          <w:sz w:val="16"/>
          <w:szCs w:val="16"/>
          <w:color w:val="auto"/>
        </w:rPr>
        <w:t>”) may be considered “deferred compensation.” An Option that is a “discount option” may result in (i) income recognition by Participant prior to the exercise of the Option,</w:t>
      </w:r>
    </w:p>
    <w:p>
      <w:pPr>
        <w:spacing w:after="0" w:line="2" w:lineRule="exact"/>
        <w:rPr>
          <w:rFonts w:ascii="Arial" w:cs="Arial" w:eastAsia="Arial" w:hAnsi="Arial"/>
          <w:sz w:val="16"/>
          <w:szCs w:val="16"/>
          <w:color w:val="auto"/>
        </w:rPr>
      </w:pPr>
    </w:p>
    <w:p>
      <w:pPr>
        <w:jc w:val="both"/>
        <w:ind w:firstLine="8"/>
        <w:spacing w:after="0" w:line="271" w:lineRule="auto"/>
        <w:tabs>
          <w:tab w:leader="none" w:pos="294"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jc w:val="both"/>
        <w:ind w:firstLine="656"/>
        <w:spacing w:after="0" w:line="257" w:lineRule="auto"/>
        <w:tabs>
          <w:tab w:leader="none" w:pos="1514"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Option Agreement is governed by the internal substantive laws but not the choice of law rules of Delaware.</w:t>
      </w:r>
    </w:p>
    <w:p>
      <w:pPr>
        <w:spacing w:after="0" w:line="187" w:lineRule="exact"/>
        <w:rPr>
          <w:rFonts w:ascii="Arial" w:cs="Arial" w:eastAsia="Arial" w:hAnsi="Arial"/>
          <w:sz w:val="18"/>
          <w:szCs w:val="18"/>
          <w:color w:val="auto"/>
        </w:rPr>
      </w:pPr>
    </w:p>
    <w:p>
      <w:pPr>
        <w:jc w:val="both"/>
        <w:ind w:firstLine="656"/>
        <w:spacing w:after="0" w:line="270" w:lineRule="auto"/>
        <w:tabs>
          <w:tab w:leader="none" w:pos="1683"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OPTION AGREEMENT, THE TRANSACTIONS CONTEMPLATED HEREUNDER AND THE VESTING SCHEDULE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80" w:lineRule="exact"/>
        <w:rPr>
          <w:rFonts w:ascii="Arial" w:cs="Arial" w:eastAsia="Arial" w:hAnsi="Arial"/>
          <w:sz w:val="17"/>
          <w:szCs w:val="17"/>
          <w:color w:val="auto"/>
        </w:rPr>
      </w:pPr>
    </w:p>
    <w:p>
      <w:pPr>
        <w:ind w:left="466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STOCK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SUREFIRE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DBA TRISALUS™ LIFE 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6272 W. 91st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Westminster, CO 80031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225" w:lineRule="exact"/>
        <w:rPr>
          <w:sz w:val="20"/>
          <w:szCs w:val="20"/>
          <w:color w:val="auto"/>
        </w:rPr>
      </w:pPr>
    </w:p>
    <w:p>
      <w:pPr>
        <w:jc w:val="both"/>
        <w:ind w:firstLine="656"/>
        <w:spacing w:after="0" w:line="259" w:lineRule="auto"/>
        <w:tabs>
          <w:tab w:leader="none" w:pos="1314"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Effective as of today, _____________, ____, the undersigned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hereby elects to exercise Participant’s option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to purchase shares of the Common Stock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SUREFIRE MEDICAL, INC. DBA TRISALUS™ LIFE SCIENCES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and pursuant to the 2009 Stock Option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Early Exercise Stock Option Agreement dated ____________, ___(the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656"/>
        <w:spacing w:after="0" w:line="277" w:lineRule="auto"/>
        <w:tabs>
          <w:tab w:leader="none" w:pos="1512"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Participant herewith delivers to the Company the full purchase price of the Shares, as set forth in the Option Agreement, and any and all withholding taxes due in connection with the exercise of the Option.</w:t>
      </w:r>
    </w:p>
    <w:p>
      <w:pPr>
        <w:spacing w:after="0" w:line="170" w:lineRule="exact"/>
        <w:rPr>
          <w:rFonts w:ascii="Arial" w:cs="Arial" w:eastAsia="Arial" w:hAnsi="Arial"/>
          <w:sz w:val="18"/>
          <w:szCs w:val="18"/>
          <w:color w:val="auto"/>
        </w:rPr>
      </w:pPr>
    </w:p>
    <w:p>
      <w:pPr>
        <w:ind w:firstLine="656"/>
        <w:spacing w:after="0" w:line="277" w:lineRule="auto"/>
        <w:tabs>
          <w:tab w:leader="none" w:pos="1498"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rPr>
        <w:t>. Participant acknowledges that Participant has received, read and understood the Plan and the Option Agreement and agrees to abide by and be bound by their terms and conditions.</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350"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8 of the Plan.</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377"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Company’s Right of First Refusal</w:t>
      </w:r>
      <w:r>
        <w:rPr>
          <w:rFonts w:ascii="Arial" w:cs="Arial" w:eastAsia="Arial" w:hAnsi="Arial"/>
          <w:sz w:val="18"/>
          <w:szCs w:val="18"/>
          <w:color w:val="auto"/>
        </w:rPr>
        <w:t>. Before any Shares held by Participant or any transferee (either being sometimes referred to herein as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may be sold or otherwise transferred (including transfer by gift or operation of law), the Company or its assignee(s) shall have a right of first refusal to purchase the Shares on the terms and conditions set forth in this Section 5 (the “</w:t>
      </w:r>
      <w:r>
        <w:rPr>
          <w:rFonts w:ascii="Arial" w:cs="Arial" w:eastAsia="Arial" w:hAnsi="Arial"/>
          <w:sz w:val="18"/>
          <w:szCs w:val="18"/>
          <w:b w:val="1"/>
          <w:bCs w:val="1"/>
          <w:i w:val="1"/>
          <w:iCs w:val="1"/>
          <w:color w:val="auto"/>
        </w:rPr>
        <w:t>Right of First Refusal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160" w:hanging="856"/>
        <w:spacing w:after="0"/>
        <w:tabs>
          <w:tab w:leader="none" w:pos="2160" w:val="left"/>
        </w:tabs>
        <w:numPr>
          <w:ilvl w:val="2"/>
          <w:numId w:val="166"/>
        </w:numPr>
        <w:rPr>
          <w:rFonts w:ascii="Arial" w:cs="Arial" w:eastAsia="Arial" w:hAnsi="Arial"/>
          <w:sz w:val="16"/>
          <w:szCs w:val="16"/>
          <w:color w:val="auto"/>
        </w:rPr>
      </w:pPr>
      <w:r>
        <w:rPr>
          <w:rFonts w:ascii="Arial" w:cs="Arial" w:eastAsia="Arial" w:hAnsi="Arial"/>
          <w:sz w:val="16"/>
          <w:szCs w:val="16"/>
          <w:u w:val="single" w:color="auto"/>
          <w:color w:val="auto"/>
        </w:rPr>
        <w:t>Notice of Proposed Transfer</w:t>
      </w:r>
      <w:r>
        <w:rPr>
          <w:rFonts w:ascii="Arial" w:cs="Arial" w:eastAsia="Arial" w:hAnsi="Arial"/>
          <w:sz w:val="16"/>
          <w:szCs w:val="16"/>
          <w:color w:val="auto"/>
        </w:rPr>
        <w:t>. The Holder of the Shares shall deliver to the Company a written notice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stating:</w:t>
      </w:r>
    </w:p>
    <w:p>
      <w:pPr>
        <w:spacing w:after="0" w:line="46" w:lineRule="exact"/>
        <w:rPr>
          <w:rFonts w:ascii="Arial" w:cs="Arial" w:eastAsia="Arial" w:hAnsi="Arial"/>
          <w:sz w:val="16"/>
          <w:szCs w:val="16"/>
          <w:color w:val="auto"/>
        </w:rPr>
      </w:pPr>
    </w:p>
    <w:p>
      <w:pPr>
        <w:jc w:val="both"/>
        <w:ind w:firstLine="8"/>
        <w:spacing w:after="0" w:line="253" w:lineRule="auto"/>
        <w:tabs>
          <w:tab w:leader="none" w:pos="23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Holder’s bona fide intention to sell or otherwise transfer such Shares; (ii) the name of each proposed purchaser or other transferee (“</w:t>
      </w:r>
      <w:r>
        <w:rPr>
          <w:rFonts w:ascii="Arial" w:cs="Arial" w:eastAsia="Arial" w:hAnsi="Arial"/>
          <w:sz w:val="18"/>
          <w:szCs w:val="18"/>
          <w:b w:val="1"/>
          <w:bCs w:val="1"/>
          <w:i w:val="1"/>
          <w:iCs w:val="1"/>
          <w:color w:val="auto"/>
        </w:rPr>
        <w:t>Proposed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Transferee</w:t>
      </w:r>
      <w:r>
        <w:rPr>
          <w:rFonts w:ascii="Arial" w:cs="Arial" w:eastAsia="Arial" w:hAnsi="Arial"/>
          <w:sz w:val="18"/>
          <w:szCs w:val="18"/>
          <w:color w:val="auto"/>
        </w:rPr>
        <w:t>”); (iii) the number of Shares to be transferred to each Proposed Transferee; and (iv) the bona fide cash price or other consideration for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 proposes to transfer the Shares (the “</w:t>
      </w:r>
      <w:r>
        <w:rPr>
          <w:rFonts w:ascii="Arial" w:cs="Arial" w:eastAsia="Arial" w:hAnsi="Arial"/>
          <w:sz w:val="18"/>
          <w:szCs w:val="18"/>
          <w:b w:val="1"/>
          <w:bCs w:val="1"/>
          <w:i w:val="1"/>
          <w:iCs w:val="1"/>
          <w:color w:val="auto"/>
        </w:rPr>
        <w:t>Offered Price</w:t>
      </w:r>
      <w:r>
        <w:rPr>
          <w:rFonts w:ascii="Arial" w:cs="Arial" w:eastAsia="Arial" w:hAnsi="Arial"/>
          <w:sz w:val="18"/>
          <w:szCs w:val="18"/>
          <w:color w:val="auto"/>
        </w:rPr>
        <w:t>”), and the Holder shall offer the Shares at the Offered Price to the Company or its assignee(s).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jc w:val="both"/>
        <w:ind w:firstLine="1304"/>
        <w:spacing w:after="0" w:line="263" w:lineRule="auto"/>
        <w:tabs>
          <w:tab w:leader="none" w:pos="2221"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Exercise of Right of First Refusal</w:t>
      </w:r>
      <w:r>
        <w:rPr>
          <w:rFonts w:ascii="Arial" w:cs="Arial" w:eastAsia="Arial" w:hAnsi="Arial"/>
          <w:sz w:val="18"/>
          <w:szCs w:val="18"/>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83" w:lineRule="exact"/>
        <w:rPr>
          <w:rFonts w:ascii="Arial" w:cs="Arial" w:eastAsia="Arial" w:hAnsi="Arial"/>
          <w:sz w:val="18"/>
          <w:szCs w:val="18"/>
          <w:color w:val="auto"/>
        </w:rPr>
      </w:pPr>
    </w:p>
    <w:p>
      <w:pPr>
        <w:jc w:val="both"/>
        <w:ind w:right="20" w:firstLine="1304"/>
        <w:spacing w:after="0" w:line="263" w:lineRule="auto"/>
        <w:tabs>
          <w:tab w:leader="none" w:pos="2089"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183" w:lineRule="exact"/>
        <w:rPr>
          <w:rFonts w:ascii="Arial" w:cs="Arial" w:eastAsia="Arial" w:hAnsi="Arial"/>
          <w:sz w:val="18"/>
          <w:szCs w:val="18"/>
          <w:color w:val="auto"/>
        </w:rPr>
      </w:pPr>
    </w:p>
    <w:p>
      <w:pPr>
        <w:jc w:val="both"/>
        <w:ind w:firstLine="1304"/>
        <w:spacing w:after="0" w:line="311" w:lineRule="auto"/>
        <w:tabs>
          <w:tab w:leader="none" w:pos="2072"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48" w:lineRule="exact"/>
        <w:rPr>
          <w:rFonts w:ascii="Arial" w:cs="Arial" w:eastAsia="Arial" w:hAnsi="Arial"/>
          <w:sz w:val="16"/>
          <w:szCs w:val="16"/>
          <w:color w:val="auto"/>
        </w:rPr>
      </w:pPr>
    </w:p>
    <w:p>
      <w:pPr>
        <w:jc w:val="both"/>
        <w:ind w:firstLine="1304"/>
        <w:spacing w:after="0" w:line="291" w:lineRule="auto"/>
        <w:tabs>
          <w:tab w:leader="none" w:pos="2089"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t>Holder’s Right to Transfer</w:t>
      </w:r>
      <w:r>
        <w:rPr>
          <w:rFonts w:ascii="Arial" w:cs="Arial" w:eastAsia="Arial" w:hAnsi="Arial"/>
          <w:sz w:val="16"/>
          <w:szCs w:val="16"/>
          <w:color w:val="auto"/>
        </w:rPr>
        <w:t xml:space="preserve">.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sale or other transfer is consummated within one hundred and twenty (120) 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66" w:lineRule="exact"/>
        <w:rPr>
          <w:rFonts w:ascii="Arial" w:cs="Arial" w:eastAsia="Arial" w:hAnsi="Arial"/>
          <w:sz w:val="16"/>
          <w:szCs w:val="16"/>
          <w:color w:val="auto"/>
        </w:rPr>
      </w:pPr>
    </w:p>
    <w:p>
      <w:pPr>
        <w:jc w:val="both"/>
        <w:ind w:firstLine="1304"/>
        <w:spacing w:after="0" w:line="255" w:lineRule="auto"/>
        <w:tabs>
          <w:tab w:leader="none" w:pos="2124"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Exception for Certain Family Transfers</w:t>
      </w:r>
      <w:r>
        <w:rPr>
          <w:rFonts w:ascii="Arial" w:cs="Arial" w:eastAsia="Arial" w:hAnsi="Arial"/>
          <w:sz w:val="18"/>
          <w:szCs w:val="18"/>
          <w:color w:val="auto"/>
        </w:rPr>
        <w:t>.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w:t>
      </w:r>
      <w:r>
        <w:rPr>
          <w:rFonts w:ascii="Arial" w:cs="Arial" w:eastAsia="Arial" w:hAnsi="Arial"/>
          <w:sz w:val="18"/>
          <w:szCs w:val="18"/>
          <w:b w:val="1"/>
          <w:bCs w:val="1"/>
          <w:i w:val="1"/>
          <w:iCs w:val="1"/>
          <w:color w:val="auto"/>
        </w:rPr>
        <w:t>Immediate Family</w:t>
      </w:r>
      <w:r>
        <w:rPr>
          <w:rFonts w:ascii="Arial" w:cs="Arial" w:eastAsia="Arial" w:hAnsi="Arial"/>
          <w:sz w:val="18"/>
          <w:szCs w:val="18"/>
          <w:color w:val="auto"/>
        </w:rPr>
        <w:t>”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2045"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Termination of Right of First Refusal</w:t>
      </w:r>
      <w:r>
        <w:rPr>
          <w:rFonts w:ascii="Arial" w:cs="Arial" w:eastAsia="Arial" w:hAnsi="Arial"/>
          <w:sz w:val="18"/>
          <w:szCs w:val="18"/>
          <w:color w:val="auto"/>
        </w:rPr>
        <w:t>. The Right of First Refusal shall terminate as to any Shares upon the earlier of (i) the first sale of Common Stock of the Company to the general public, or (ii) a Change in Control in which the successor corporation has equity securities that are publicly traded.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431"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ind w:left="1300" w:hanging="644"/>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4"/>
        <w:spacing w:after="0" w:line="263" w:lineRule="auto"/>
        <w:tabs>
          <w:tab w:leader="none" w:pos="2035"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Participant understands and agrees that the Company shall cause any certificates issued evidencing the Shares to have the legends set forth below or legends substantially equivalent thereto, together with any other legends that may be required by state or federal securities laws:</w:t>
      </w:r>
    </w:p>
    <w:p>
      <w:pPr>
        <w:spacing w:after="0" w:line="184"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188"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THE SHARES REPRESENTED BY THIS CERTIFICATE MAY BE SUBJECT TO REPURCHASE PURSUANT TO, AND MAY BE TRANSFERRED ONLY IN ACCORDANCE WITH, THE TERMS OF AN AGREEMENT BETWEEN THE ISSUER AND THE ORIGINAL HOLDER OF THESE SHARES, A COPY OF WHICH IS ON FILE AT THE PRINCIPAL OFFICE OF THE ISSUER. SUCH REPURCHASE AND/OR TRANSFER RESTRICTIONS ARE BINDING ON TRANSFEREES OF THESE SHARES.</w:t>
      </w:r>
    </w:p>
    <w:p>
      <w:pPr>
        <w:spacing w:after="0" w:line="171"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88" w:lineRule="exact"/>
        <w:rPr>
          <w:sz w:val="20"/>
          <w:szCs w:val="20"/>
          <w:color w:val="auto"/>
        </w:rPr>
      </w:pPr>
    </w:p>
    <w:p>
      <w:pPr>
        <w:jc w:val="both"/>
        <w:ind w:firstLine="1304"/>
        <w:spacing w:after="0" w:line="263" w:lineRule="auto"/>
        <w:tabs>
          <w:tab w:leader="none" w:pos="2302"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049"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180"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Uncertificated Form</w:t>
      </w:r>
      <w:r>
        <w:rPr>
          <w:rFonts w:ascii="Arial" w:cs="Arial" w:eastAsia="Arial" w:hAnsi="Arial"/>
          <w:sz w:val="18"/>
          <w:szCs w:val="18"/>
          <w:color w:val="auto"/>
        </w:rPr>
        <w:t>. To the extent the Shares are issued in uncertificated form, this Section 7 provides the Participant with notice that the Shares are subject to the aforementioned restrictions in satisfaction of the notice requirement set forth in Section 151(f) of the Delaware General Corporation Law.</w:t>
      </w:r>
    </w:p>
    <w:p>
      <w:pPr>
        <w:spacing w:after="0" w:line="183" w:lineRule="exact"/>
        <w:rPr>
          <w:rFonts w:ascii="Arial" w:cs="Arial" w:eastAsia="Arial" w:hAnsi="Arial"/>
          <w:sz w:val="18"/>
          <w:szCs w:val="18"/>
          <w:color w:val="auto"/>
        </w:rPr>
      </w:pPr>
    </w:p>
    <w:p>
      <w:pPr>
        <w:jc w:val="both"/>
        <w:ind w:firstLine="656"/>
        <w:spacing w:after="0" w:line="286" w:lineRule="auto"/>
        <w:tabs>
          <w:tab w:leader="none" w:pos="1404"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ind w:left="-20" w:firstLine="656"/>
        <w:spacing w:after="0" w:line="263" w:lineRule="auto"/>
        <w:tabs>
          <w:tab w:leader="none" w:pos="147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183" w:lineRule="exact"/>
        <w:rPr>
          <w:rFonts w:ascii="Arial" w:cs="Arial" w:eastAsia="Arial" w:hAnsi="Arial"/>
          <w:sz w:val="18"/>
          <w:szCs w:val="18"/>
          <w:color w:val="auto"/>
        </w:rPr>
      </w:pPr>
    </w:p>
    <w:p>
      <w:pPr>
        <w:jc w:val="both"/>
        <w:ind w:left="-20" w:firstLine="656"/>
        <w:spacing w:after="0" w:line="263" w:lineRule="auto"/>
        <w:tabs>
          <w:tab w:leader="none" w:pos="1541"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Exercise Notice is governed by the internal substantive laws, but not the choice of law rules, of Delaware. In the event that any provision hereof becomes or is declared by a court of competent jurisdiction to be illegal, unenforceable or void, this Exercise Notice shall continue in full force and effect.</w:t>
      </w:r>
    </w:p>
    <w:p>
      <w:pPr>
        <w:spacing w:after="0" w:line="183" w:lineRule="exact"/>
        <w:rPr>
          <w:rFonts w:ascii="Arial" w:cs="Arial" w:eastAsia="Arial" w:hAnsi="Arial"/>
          <w:sz w:val="18"/>
          <w:szCs w:val="18"/>
          <w:color w:val="auto"/>
        </w:rPr>
      </w:pPr>
    </w:p>
    <w:p>
      <w:pPr>
        <w:jc w:val="both"/>
        <w:ind w:left="-20" w:firstLine="656"/>
        <w:spacing w:after="0" w:line="279" w:lineRule="auto"/>
        <w:tabs>
          <w:tab w:leader="none" w:pos="1521"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12"/>
        </w:trPr>
        <w:tc>
          <w:tcPr>
            <w:tcW w:w="5400" w:type="dxa"/>
            <w:vAlign w:val="bottom"/>
          </w:tcPr>
          <w:p>
            <w:pPr>
              <w:spacing w:after="0"/>
              <w:rPr>
                <w:sz w:val="20"/>
                <w:szCs w:val="20"/>
                <w:color w:val="auto"/>
              </w:rPr>
            </w:pPr>
            <w:r>
              <w:rPr>
                <w:rFonts w:ascii="Arial" w:cs="Arial" w:eastAsia="Arial" w:hAnsi="Arial"/>
                <w:sz w:val="18"/>
                <w:szCs w:val="18"/>
                <w:color w:val="auto"/>
              </w:rPr>
              <w:t>SUBMITTED BY:</w:t>
            </w:r>
          </w:p>
        </w:tc>
        <w:tc>
          <w:tcPr>
            <w:tcW w:w="5840" w:type="dxa"/>
            <w:vAlign w:val="bottom"/>
          </w:tcPr>
          <w:p>
            <w:pPr>
              <w:ind w:left="220"/>
              <w:spacing w:after="0"/>
              <w:rPr>
                <w:sz w:val="20"/>
                <w:szCs w:val="20"/>
                <w:color w:val="auto"/>
              </w:rPr>
            </w:pPr>
            <w:r>
              <w:rPr>
                <w:rFonts w:ascii="Arial" w:cs="Arial" w:eastAsia="Arial" w:hAnsi="Arial"/>
                <w:sz w:val="18"/>
                <w:szCs w:val="18"/>
                <w:color w:val="auto"/>
              </w:rPr>
              <w:t>ACCEPTED BY:</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b w:val="1"/>
                <w:bCs w:val="1"/>
                <w:color w:val="auto"/>
              </w:rPr>
              <w:t>SUREFIRE MEDICAL, INC.</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5840" w:type="dxa"/>
            <w:vAlign w:val="bottom"/>
          </w:tcPr>
          <w:p>
            <w:pPr>
              <w:ind w:left="220"/>
              <w:spacing w:after="0"/>
              <w:rPr>
                <w:sz w:val="20"/>
                <w:szCs w:val="20"/>
                <w:color w:val="auto"/>
              </w:rPr>
            </w:pPr>
            <w:r>
              <w:rPr>
                <w:rFonts w:ascii="Arial" w:cs="Arial" w:eastAsia="Arial" w:hAnsi="Arial"/>
                <w:sz w:val="18"/>
                <w:szCs w:val="18"/>
                <w:b w:val="1"/>
                <w:bCs w:val="1"/>
                <w:color w:val="auto"/>
              </w:rPr>
              <w:t>DBA TRISALUS™ LIFE SCIENCES</w:t>
            </w: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0"/>
                <w:szCs w:val="20"/>
                <w:color w:val="auto"/>
              </w:rPr>
            </w:pPr>
            <w:r>
              <w:rPr>
                <w:rFonts w:ascii="Arial" w:cs="Arial" w:eastAsia="Arial" w:hAnsi="Arial"/>
                <w:sz w:val="18"/>
                <w:szCs w:val="18"/>
                <w:color w:val="auto"/>
              </w:rPr>
              <w:t>Signature</w:t>
            </w:r>
          </w:p>
        </w:tc>
        <w:tc>
          <w:tcPr>
            <w:tcW w:w="5840" w:type="dxa"/>
            <w:vAlign w:val="bottom"/>
          </w:tcPr>
          <w:p>
            <w:pPr>
              <w:ind w:left="2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32"/>
        </w:trPr>
        <w:tc>
          <w:tcPr>
            <w:tcW w:w="5400" w:type="dxa"/>
            <w:vAlign w:val="bottom"/>
            <w:tcBorders>
              <w:bottom w:val="single" w:sz="8" w:color="auto"/>
            </w:tcBorders>
          </w:tcPr>
          <w:p>
            <w:pPr>
              <w:spacing w:after="0"/>
              <w:rPr>
                <w:sz w:val="24"/>
                <w:szCs w:val="24"/>
                <w:color w:val="auto"/>
              </w:rPr>
            </w:pPr>
          </w:p>
        </w:tc>
        <w:tc>
          <w:tcPr>
            <w:tcW w:w="5840" w:type="dxa"/>
            <w:vAlign w:val="bottom"/>
            <w:vMerge w:val="restart"/>
          </w:tcPr>
          <w:p>
            <w:pPr>
              <w:ind w:left="220"/>
              <w:spacing w:after="0"/>
              <w:rPr>
                <w:sz w:val="20"/>
                <w:szCs w:val="20"/>
                <w:color w:val="auto"/>
              </w:rPr>
            </w:pPr>
            <w:r>
              <w:rPr>
                <w:rFonts w:ascii="Arial" w:cs="Arial" w:eastAsia="Arial" w:hAnsi="Arial"/>
                <w:sz w:val="18"/>
                <w:szCs w:val="18"/>
                <w:color w:val="auto"/>
              </w:rPr>
              <w:t>Print Name</w:t>
            </w:r>
          </w:p>
        </w:tc>
        <w:tc>
          <w:tcPr>
            <w:tcW w:w="0" w:type="dxa"/>
            <w:vAlign w:val="bottom"/>
          </w:tcPr>
          <w:p>
            <w:pPr>
              <w:spacing w:after="0"/>
              <w:rPr>
                <w:sz w:val="1"/>
                <w:szCs w:val="1"/>
                <w:color w:val="auto"/>
              </w:rPr>
            </w:pPr>
          </w:p>
        </w:tc>
      </w:t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Print Name</w:t>
            </w:r>
          </w:p>
        </w:tc>
        <w:tc>
          <w:tcPr>
            <w:tcW w:w="5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400" w:type="dxa"/>
            <w:vAlign w:val="bottom"/>
            <w:vMerge w:val="restart"/>
          </w:tcPr>
          <w:p>
            <w:pPr>
              <w:spacing w:after="0"/>
              <w:rPr>
                <w:sz w:val="20"/>
                <w:szCs w:val="20"/>
                <w:color w:val="auto"/>
              </w:rPr>
            </w:pPr>
            <w:r>
              <w:rPr>
                <w:rFonts w:ascii="Arial" w:cs="Arial" w:eastAsia="Arial" w:hAnsi="Arial"/>
                <w:sz w:val="18"/>
                <w:szCs w:val="18"/>
                <w:color w:val="auto"/>
              </w:rPr>
              <w:t>Address:</w:t>
            </w:r>
          </w:p>
        </w:tc>
        <w:tc>
          <w:tcPr>
            <w:tcW w:w="5840" w:type="dxa"/>
            <w:vAlign w:val="bottom"/>
          </w:tcPr>
          <w:p>
            <w:pPr>
              <w:ind w:left="2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16"/>
        </w:trPr>
        <w:tc>
          <w:tcPr>
            <w:tcW w:w="5400" w:type="dxa"/>
            <w:vAlign w:val="bottom"/>
            <w:vMerge w:val="continue"/>
          </w:tcPr>
          <w:p>
            <w:pPr>
              <w:spacing w:after="0"/>
              <w:rPr>
                <w:sz w:val="18"/>
                <w:szCs w:val="18"/>
                <w:color w:val="auto"/>
              </w:rPr>
            </w:pPr>
          </w:p>
        </w:tc>
        <w:tc>
          <w:tcPr>
            <w:tcW w:w="5840" w:type="dxa"/>
            <w:vAlign w:val="bottom"/>
            <w:vMerge w:val="restart"/>
          </w:tcPr>
          <w:p>
            <w:pPr>
              <w:ind w:left="22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5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4"/>
                <w:szCs w:val="24"/>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Date Received</w:t>
            </w:r>
          </w:p>
        </w:tc>
        <w:tc>
          <w:tcPr>
            <w:tcW w:w="0" w:type="dxa"/>
            <w:vAlign w:val="bottom"/>
          </w:tcPr>
          <w:p>
            <w:pPr>
              <w:spacing w:after="0"/>
              <w:rPr>
                <w:sz w:val="1"/>
                <w:szCs w:val="1"/>
                <w:color w:val="auto"/>
              </w:rPr>
            </w:pPr>
          </w:p>
        </w:tc>
      </w:tr>
      <w:tr>
        <w:trPr>
          <w:trHeight w:val="648"/>
        </w:trPr>
        <w:tc>
          <w:tcPr>
            <w:tcW w:w="540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24" w:right="339" w:bottom="1440" w:gutter="0" w:footer="0" w:header="0"/>
        </w:sectPr>
      </w:pPr>
    </w:p>
    <w:bookmarkStart w:id="203" w:name="page204"/>
    <w:bookmarkEnd w:id="2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2260" w:type="dxa"/>
            <w:vAlign w:val="bottom"/>
          </w:tcPr>
          <w:p>
            <w:pPr>
              <w:spacing w:after="0"/>
              <w:rPr>
                <w:sz w:val="17"/>
                <w:szCs w:val="17"/>
                <w:color w:val="auto"/>
              </w:rPr>
            </w:pPr>
          </w:p>
        </w:tc>
      </w:tr>
      <w:tr>
        <w:trPr>
          <w:trHeight w:val="453"/>
        </w:trPr>
        <w:tc>
          <w:tcPr>
            <w:tcW w:w="1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INVESTMENT REPRESENTATION STATEMENT</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PARTICIPANT</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COMPANY</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5400" w:type="dxa"/>
            <w:vAlign w:val="bottom"/>
            <w:gridSpan w:val="3"/>
          </w:tcPr>
          <w:p>
            <w:pPr>
              <w:ind w:left="420"/>
              <w:spacing w:after="0"/>
              <w:rPr>
                <w:sz w:val="20"/>
                <w:szCs w:val="20"/>
                <w:color w:val="auto"/>
              </w:rPr>
            </w:pPr>
            <w:r>
              <w:rPr>
                <w:rFonts w:ascii="Arial" w:cs="Arial" w:eastAsia="Arial" w:hAnsi="Arial"/>
                <w:sz w:val="18"/>
                <w:szCs w:val="18"/>
                <w:color w:val="auto"/>
                <w:w w:val="96"/>
              </w:rPr>
              <w:t>SUREFIRE MEDICAL, INC. DBA TRISALUS™ LIFE SCIENCES</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SECURITY</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5400" w:type="dxa"/>
            <w:vAlign w:val="bottom"/>
            <w:gridSpan w:val="3"/>
          </w:tcPr>
          <w:p>
            <w:pPr>
              <w:ind w:left="460"/>
              <w:spacing w:after="0"/>
              <w:rPr>
                <w:sz w:val="20"/>
                <w:szCs w:val="20"/>
                <w:color w:val="auto"/>
              </w:rPr>
            </w:pPr>
            <w:r>
              <w:rPr>
                <w:rFonts w:ascii="Arial" w:cs="Arial" w:eastAsia="Arial" w:hAnsi="Arial"/>
                <w:sz w:val="18"/>
                <w:szCs w:val="18"/>
                <w:color w:val="auto"/>
              </w:rPr>
              <w:t>COMMON STOCK</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AMOUNT</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DATE</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purchase of the above-listed Securities, the undersigned Participant represents to the Company the following:</w:t>
      </w:r>
    </w:p>
    <w:p>
      <w:pPr>
        <w:spacing w:after="0" w:line="225" w:lineRule="exact"/>
        <w:rPr>
          <w:sz w:val="20"/>
          <w:szCs w:val="20"/>
          <w:color w:val="auto"/>
        </w:rPr>
      </w:pPr>
    </w:p>
    <w:p>
      <w:pPr>
        <w:jc w:val="both"/>
        <w:ind w:firstLine="656"/>
        <w:spacing w:after="0" w:line="259" w:lineRule="auto"/>
        <w:tabs>
          <w:tab w:leader="none" w:pos="166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89" w:lineRule="auto"/>
        <w:tabs>
          <w:tab w:leader="none" w:pos="154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(90) days thereafter (or such 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 (2) 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4" w:name="page205"/>
    <w:bookmarkEnd w:id="204"/>
    <w:p>
      <w:pPr>
        <w:jc w:val="both"/>
        <w:ind w:firstLine="1296"/>
        <w:spacing w:after="0" w:line="291"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w:t>
      </w:r>
    </w:p>
    <w:p>
      <w:pPr>
        <w:ind w:firstLine="8"/>
        <w:spacing w:after="0" w:line="323" w:lineRule="auto"/>
        <w:tabs>
          <w:tab w:leader="none" w:pos="26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38" w:lineRule="exact"/>
        <w:rPr>
          <w:rFonts w:ascii="Arial" w:cs="Arial" w:eastAsia="Arial" w:hAnsi="Arial"/>
          <w:sz w:val="16"/>
          <w:szCs w:val="16"/>
          <w:color w:val="auto"/>
        </w:rPr>
      </w:pPr>
    </w:p>
    <w:p>
      <w:pPr>
        <w:jc w:val="both"/>
        <w:ind w:firstLine="656"/>
        <w:spacing w:after="0" w:line="293" w:lineRule="auto"/>
        <w:tabs>
          <w:tab w:leader="none" w:pos="1392" w:val="left"/>
        </w:tabs>
        <w:numPr>
          <w:ilvl w:val="1"/>
          <w:numId w:val="175"/>
        </w:numPr>
        <w:rPr>
          <w:rFonts w:ascii="Arial" w:cs="Arial" w:eastAsia="Arial" w:hAnsi="Arial"/>
          <w:sz w:val="16"/>
          <w:szCs w:val="16"/>
          <w:color w:val="auto"/>
        </w:rPr>
      </w:pPr>
      <w:r>
        <w:rPr>
          <w:rFonts w:ascii="Arial" w:cs="Arial" w:eastAsia="Arial" w:hAnsi="Arial"/>
          <w:sz w:val="16"/>
          <w:szCs w:val="16"/>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PARTICIPANT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EXHIBIT C</w:t>
            </w:r>
          </w:p>
        </w:tc>
        <w:tc>
          <w:tcPr>
            <w:tcW w:w="5140" w:type="dxa"/>
            <w:vAlign w:val="bottom"/>
            <w:gridSpan w:val="2"/>
          </w:tcPr>
          <w:p>
            <w:pPr>
              <w:spacing w:after="0"/>
              <w:rPr>
                <w:sz w:val="17"/>
                <w:szCs w:val="17"/>
                <w:color w:val="auto"/>
              </w:rPr>
            </w:pPr>
          </w:p>
        </w:tc>
      </w:tr>
      <w:tr>
        <w:trPr>
          <w:trHeight w:val="453"/>
        </w:trPr>
        <w:tc>
          <w:tcPr>
            <w:tcW w:w="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600" w:type="dxa"/>
            <w:vAlign w:val="bottom"/>
            <w:gridSpan w:val="7"/>
          </w:tcPr>
          <w:p>
            <w:pPr>
              <w:jc w:val="center"/>
              <w:ind w:right="3640"/>
              <w:spacing w:after="0"/>
              <w:rPr>
                <w:sz w:val="20"/>
                <w:szCs w:val="20"/>
                <w:color w:val="auto"/>
              </w:rPr>
            </w:pPr>
            <w:r>
              <w:rPr>
                <w:rFonts w:ascii="Arial" w:cs="Arial" w:eastAsia="Arial" w:hAnsi="Arial"/>
                <w:sz w:val="18"/>
                <w:szCs w:val="18"/>
                <w:b w:val="1"/>
                <w:bCs w:val="1"/>
                <w:color w:val="auto"/>
                <w:w w:val="99"/>
              </w:rPr>
              <w:t>STOCK ASSIGNMENT</w:t>
            </w:r>
          </w:p>
        </w:tc>
      </w:tr>
      <w:tr>
        <w:trPr>
          <w:trHeight w:val="432"/>
        </w:trPr>
        <w:tc>
          <w:tcPr>
            <w:tcW w:w="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500" w:type="dxa"/>
            <w:vAlign w:val="bottom"/>
            <w:gridSpan w:val="6"/>
          </w:tcPr>
          <w:p>
            <w:pPr>
              <w:jc w:val="center"/>
              <w:ind w:right="47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see instructions below</w:t>
            </w:r>
            <w:r>
              <w:rPr>
                <w:rFonts w:ascii="Arial" w:cs="Arial" w:eastAsia="Arial" w:hAnsi="Arial"/>
                <w:sz w:val="18"/>
                <w:szCs w:val="18"/>
                <w:color w:val="auto"/>
                <w:w w:val="90"/>
              </w:rPr>
              <w:t>)</w:t>
            </w:r>
          </w:p>
        </w:tc>
      </w:tr>
      <w:tr>
        <w:trPr>
          <w:trHeight w:val="418"/>
        </w:trPr>
        <w:tc>
          <w:tcPr>
            <w:tcW w:w="58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18"/>
                <w:szCs w:val="18"/>
                <w:color w:val="auto"/>
              </w:rPr>
              <w:t>FOR VALUE RECEIVED I,</w:t>
            </w:r>
          </w:p>
        </w:tc>
        <w:tc>
          <w:tcPr>
            <w:tcW w:w="7600" w:type="dxa"/>
            <w:vAlign w:val="bottom"/>
            <w:gridSpan w:val="7"/>
          </w:tcPr>
          <w:p>
            <w:pPr>
              <w:ind w:left="880"/>
              <w:spacing w:after="0"/>
              <w:rPr>
                <w:sz w:val="20"/>
                <w:szCs w:val="20"/>
                <w:color w:val="auto"/>
              </w:rPr>
            </w:pPr>
            <w:r>
              <w:rPr>
                <w:rFonts w:ascii="Arial" w:cs="Arial" w:eastAsia="Arial" w:hAnsi="Arial"/>
                <w:sz w:val="18"/>
                <w:szCs w:val="18"/>
                <w:color w:val="auto"/>
                <w:w w:val="92"/>
              </w:rPr>
              <w:t>, hereby sell, assign and transfer unto _____________ the shares of the Common Stock of</w:t>
            </w:r>
          </w:p>
        </w:tc>
      </w:tr>
      <w:tr>
        <w:trPr>
          <w:trHeight w:val="216"/>
        </w:trPr>
        <w:tc>
          <w:tcPr>
            <w:tcW w:w="580" w:type="dxa"/>
            <w:vAlign w:val="bottom"/>
          </w:tcPr>
          <w:p>
            <w:pPr>
              <w:spacing w:after="0"/>
              <w:rPr>
                <w:sz w:val="18"/>
                <w:szCs w:val="18"/>
                <w:color w:val="auto"/>
              </w:rPr>
            </w:pPr>
          </w:p>
        </w:tc>
        <w:tc>
          <w:tcPr>
            <w:tcW w:w="10660" w:type="dxa"/>
            <w:vAlign w:val="bottom"/>
            <w:gridSpan w:val="8"/>
          </w:tcPr>
          <w:p>
            <w:pPr>
              <w:ind w:left="80"/>
              <w:spacing w:after="0"/>
              <w:rPr>
                <w:sz w:val="20"/>
                <w:szCs w:val="20"/>
                <w:color w:val="auto"/>
              </w:rPr>
            </w:pPr>
            <w:r>
              <w:rPr>
                <w:rFonts w:ascii="Arial" w:cs="Arial" w:eastAsia="Arial" w:hAnsi="Arial"/>
                <w:sz w:val="18"/>
                <w:szCs w:val="18"/>
                <w:color w:val="auto"/>
                <w:w w:val="96"/>
              </w:rPr>
              <w:t>SUREFIRE MEDICAL, INC. DBA TRISALUS™ LIFE SCIENCES registered in my name on the books of said corporation [represented by</w:t>
            </w:r>
          </w:p>
        </w:tc>
      </w:tr>
      <w:tr>
        <w:trPr>
          <w:trHeight w:val="190"/>
        </w:trPr>
        <w:tc>
          <w:tcPr>
            <w:tcW w:w="580" w:type="dxa"/>
            <w:vAlign w:val="bottom"/>
          </w:tcPr>
          <w:p>
            <w:pPr>
              <w:spacing w:after="0"/>
              <w:rPr>
                <w:sz w:val="16"/>
                <w:szCs w:val="16"/>
                <w:color w:val="auto"/>
              </w:rPr>
            </w:pPr>
          </w:p>
        </w:tc>
        <w:tc>
          <w:tcPr>
            <w:tcW w:w="10660" w:type="dxa"/>
            <w:vAlign w:val="bottom"/>
            <w:gridSpan w:val="8"/>
          </w:tcPr>
          <w:p>
            <w:pPr>
              <w:ind w:left="80"/>
              <w:spacing w:after="0" w:line="190" w:lineRule="exact"/>
              <w:rPr>
                <w:sz w:val="20"/>
                <w:szCs w:val="20"/>
                <w:color w:val="auto"/>
              </w:rPr>
            </w:pPr>
            <w:r>
              <w:rPr>
                <w:rFonts w:ascii="Arial" w:cs="Arial" w:eastAsia="Arial" w:hAnsi="Arial"/>
                <w:sz w:val="18"/>
                <w:szCs w:val="18"/>
                <w:color w:val="auto"/>
                <w:w w:val="94"/>
              </w:rPr>
              <w:t>Certificate No. _____ ] and do hereby irrevocably constitute and appoint Latham &amp; Watkins LLP to transfer the said stock on the books of the</w:t>
            </w:r>
          </w:p>
        </w:tc>
      </w:tr>
      <w:tr>
        <w:trPr>
          <w:trHeight w:val="237"/>
        </w:trPr>
        <w:tc>
          <w:tcPr>
            <w:tcW w:w="580" w:type="dxa"/>
            <w:vAlign w:val="bottom"/>
          </w:tcPr>
          <w:p>
            <w:pPr>
              <w:spacing w:after="0"/>
              <w:rPr>
                <w:sz w:val="20"/>
                <w:szCs w:val="20"/>
                <w:color w:val="auto"/>
              </w:rPr>
            </w:pPr>
          </w:p>
        </w:tc>
        <w:tc>
          <w:tcPr>
            <w:tcW w:w="5500" w:type="dxa"/>
            <w:vAlign w:val="bottom"/>
            <w:gridSpan w:val="5"/>
          </w:tcPr>
          <w:p>
            <w:pPr>
              <w:ind w:left="80"/>
              <w:spacing w:after="0"/>
              <w:rPr>
                <w:sz w:val="20"/>
                <w:szCs w:val="20"/>
                <w:color w:val="auto"/>
              </w:rPr>
            </w:pPr>
            <w:r>
              <w:rPr>
                <w:rFonts w:ascii="Arial" w:cs="Arial" w:eastAsia="Arial" w:hAnsi="Arial"/>
                <w:sz w:val="18"/>
                <w:szCs w:val="18"/>
                <w:color w:val="auto"/>
                <w:w w:val="95"/>
              </w:rPr>
              <w:t>within named corporation with full power of substitution in the premises.</w:t>
            </w:r>
          </w:p>
        </w:tc>
        <w:tc>
          <w:tcPr>
            <w:tcW w:w="1780" w:type="dxa"/>
            <w:vAlign w:val="bottom"/>
            <w:tcBorders>
              <w:top w:val="single" w:sz="8" w:color="auto"/>
            </w:tcBorders>
            <w:gridSpan w:val="2"/>
          </w:tcPr>
          <w:p>
            <w:pPr>
              <w:spacing w:after="0"/>
              <w:rPr>
                <w:sz w:val="20"/>
                <w:szCs w:val="20"/>
                <w:color w:val="auto"/>
              </w:rPr>
            </w:pPr>
          </w:p>
        </w:tc>
        <w:tc>
          <w:tcPr>
            <w:tcW w:w="3380" w:type="dxa"/>
            <w:vAlign w:val="bottom"/>
          </w:tcPr>
          <w:p>
            <w:pPr>
              <w:spacing w:after="0"/>
              <w:rPr>
                <w:sz w:val="20"/>
                <w:szCs w:val="20"/>
                <w:color w:val="auto"/>
              </w:rPr>
            </w:pPr>
          </w:p>
        </w:tc>
      </w:tr>
      <w:tr>
        <w:trPr>
          <w:trHeight w:val="418"/>
        </w:trPr>
        <w:tc>
          <w:tcPr>
            <w:tcW w:w="580" w:type="dxa"/>
            <w:vAlign w:val="bottom"/>
          </w:tcPr>
          <w:p>
            <w:pPr>
              <w:spacing w:after="0"/>
              <w:rPr>
                <w:sz w:val="24"/>
                <w:szCs w:val="24"/>
                <w:color w:val="auto"/>
              </w:rPr>
            </w:pPr>
          </w:p>
        </w:tc>
        <w:tc>
          <w:tcPr>
            <w:tcW w:w="10660" w:type="dxa"/>
            <w:vAlign w:val="bottom"/>
            <w:gridSpan w:val="8"/>
          </w:tcPr>
          <w:p>
            <w:pPr>
              <w:ind w:left="80"/>
              <w:spacing w:after="0"/>
              <w:rPr>
                <w:sz w:val="20"/>
                <w:szCs w:val="20"/>
                <w:color w:val="auto"/>
              </w:rPr>
            </w:pPr>
            <w:r>
              <w:rPr>
                <w:rFonts w:ascii="Arial" w:cs="Arial" w:eastAsia="Arial" w:hAnsi="Arial"/>
                <w:sz w:val="18"/>
                <w:szCs w:val="18"/>
                <w:color w:val="auto"/>
                <w:w w:val="93"/>
              </w:rPr>
              <w:t>This Stock Assignment may be used only in accordance with the Early Exercise Stock Option Agreement between SUREFIRE MEDICAL, INC.</w:t>
            </w: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w w:val="93"/>
              </w:rPr>
              <w:t>DBA TRISALUS™ LIFE SCIENCES and the undersigned dated</w:t>
            </w:r>
          </w:p>
        </w:tc>
        <w:tc>
          <w:tcPr>
            <w:tcW w:w="8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060" w:type="dxa"/>
            <w:vAlign w:val="bottom"/>
          </w:tcPr>
          <w:p>
            <w:pPr>
              <w:ind w:left="8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80" w:type="dxa"/>
            <w:vAlign w:val="bottom"/>
          </w:tcPr>
          <w:p>
            <w:pPr>
              <w:spacing w:after="0"/>
              <w:rPr>
                <w:sz w:val="24"/>
                <w:szCs w:val="2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1"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INSTRUCTIONS: </w:t>
      </w:r>
      <w:r>
        <w:rPr>
          <w:rFonts w:ascii="Arial" w:cs="Arial" w:eastAsia="Arial" w:hAnsi="Arial"/>
          <w:sz w:val="16"/>
          <w:szCs w:val="16"/>
          <w:i w:val="1"/>
          <w:iCs w:val="1"/>
          <w:color w:val="auto"/>
        </w:rPr>
        <w:t>Please do not fill in any blanks other than the signature line. The purpose of this assignment is to enable the Company to exercise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Company Repurchase Right, as set forth in the Early Exercise Stock Option Agreement, without requiring additional signatures on the part of Participant.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ESCROW INSTRUCTIONS</w:t>
      </w:r>
    </w:p>
    <w:p>
      <w:pPr>
        <w:spacing w:after="0" w:line="229" w:lineRule="exact"/>
        <w:rPr>
          <w:sz w:val="20"/>
          <w:szCs w:val="20"/>
          <w:color w:val="auto"/>
        </w:rPr>
      </w:pPr>
    </w:p>
    <w:p>
      <w:pPr>
        <w:ind w:left="10440"/>
        <w:spacing w:after="0"/>
        <w:rPr>
          <w:sz w:val="20"/>
          <w:szCs w:val="20"/>
          <w:color w:val="auto"/>
        </w:rPr>
      </w:pPr>
      <w:r>
        <w:rPr>
          <w:rFonts w:ascii="Arial" w:cs="Arial" w:eastAsia="Arial" w:hAnsi="Arial"/>
          <w:sz w:val="15"/>
          <w:szCs w:val="15"/>
          <w:color w:val="auto"/>
        </w:rPr>
        <w:t>, ________</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SUREFIRE MEDICAL, INC. DBA TRISALUS™ LIFE SCIENCES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Escrow Agent for both SUREFIRE MEDICAL, INC. DBA TRISALUS™ LIFE SCIENCES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undersigned purchaser of stock of the Company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you are hereby authorized and directed to hold the documents delivered to you pursuant to the terms of that certain Early Exercise Stock Option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between the Company and the undersigned, in accordance with the following instructions:</w:t>
      </w:r>
    </w:p>
    <w:p>
      <w:pPr>
        <w:spacing w:after="0" w:line="187" w:lineRule="exact"/>
        <w:rPr>
          <w:sz w:val="20"/>
          <w:szCs w:val="20"/>
          <w:color w:val="auto"/>
        </w:rPr>
      </w:pPr>
    </w:p>
    <w:p>
      <w:pPr>
        <w:jc w:val="both"/>
        <w:ind w:firstLine="656"/>
        <w:spacing w:after="0" w:line="301" w:lineRule="auto"/>
        <w:tabs>
          <w:tab w:leader="none" w:pos="155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 the event the Company or any entitled parties (referred to collectively for convenience herein as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exercises the Company Repurchase Right set forth in the Agreement, the Company shall give to Participant and you a written notice specifying the number of shares of stock to be purchased, the purchase price, and the time for a closing hereunder at the principal office of the Company. Participant and the Company hereby irrevocably authorize and direct you to close the transaction contemplated by such notice in accordance with the terms of said notice.</w:t>
      </w:r>
    </w:p>
    <w:p>
      <w:pPr>
        <w:spacing w:after="0" w:line="157" w:lineRule="exact"/>
        <w:rPr>
          <w:rFonts w:ascii="Arial" w:cs="Arial" w:eastAsia="Arial" w:hAnsi="Arial"/>
          <w:sz w:val="16"/>
          <w:szCs w:val="16"/>
          <w:color w:val="auto"/>
        </w:rPr>
      </w:pPr>
    </w:p>
    <w:p>
      <w:pPr>
        <w:jc w:val="both"/>
        <w:ind w:firstLine="656"/>
        <w:spacing w:after="0" w:line="259" w:lineRule="auto"/>
        <w:tabs>
          <w:tab w:leader="none" w:pos="134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At the closing, you are directed (a) to date the stock assignments necessary for the transfer in question, (b) to fill in the number of shares being transferred, and (c) to deliver the same, together with any certificate evidencing the shares of stock to be transferred, to the Company or its assignee, against the simultaneous delivery to you of the purchase price (by cash, a check, or a combination thereof) for the number of shares of stock being purchased pursuant to the exercise of the Company Repurchase Right.</w:t>
      </w:r>
    </w:p>
    <w:p>
      <w:pPr>
        <w:spacing w:after="0" w:line="186" w:lineRule="exact"/>
        <w:rPr>
          <w:rFonts w:ascii="Arial" w:cs="Arial" w:eastAsia="Arial" w:hAnsi="Arial"/>
          <w:sz w:val="18"/>
          <w:szCs w:val="18"/>
          <w:color w:val="auto"/>
        </w:rPr>
      </w:pPr>
    </w:p>
    <w:p>
      <w:pPr>
        <w:jc w:val="both"/>
        <w:ind w:firstLine="656"/>
        <w:spacing w:after="0" w:line="293" w:lineRule="auto"/>
        <w:tabs>
          <w:tab w:leader="none" w:pos="157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Participant irrevocably authorizes the Company to deposit with you any certificates evidencing shares of stock to be held by you hereunder and any additions and substitutions to said shares as defined in the Agreement. Participant hereby irrevocably constitutes and appoints you as Participant’s attorney-in-fact and agent for the term of this escrow to execute, with respect to such securities, all documents necessary or appropriate to make such securities negotiable and to complete any transaction herein contemplated, including but not limited to the filing with any applicable state blue sky authority of any required applications for consent to, or notice of transfer of, the securities. Subject to the provisions of this Section 3 and to the terms of the Agreement, Participant shall exercise all rights and privileges of a stockholder of the Company while the stock is held by you.</w:t>
      </w:r>
    </w:p>
    <w:p>
      <w:pPr>
        <w:spacing w:after="0" w:line="164" w:lineRule="exact"/>
        <w:rPr>
          <w:rFonts w:ascii="Arial" w:cs="Arial" w:eastAsia="Arial" w:hAnsi="Arial"/>
          <w:sz w:val="16"/>
          <w:szCs w:val="16"/>
          <w:color w:val="auto"/>
        </w:rPr>
      </w:pPr>
    </w:p>
    <w:p>
      <w:pPr>
        <w:jc w:val="both"/>
        <w:ind w:firstLine="656"/>
        <w:spacing w:after="0" w:line="293" w:lineRule="auto"/>
        <w:tabs>
          <w:tab w:leader="none" w:pos="134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Upon written request of Participant, but no more than once per calendar year, unless the Company Repurchase Right has been exercised, you will deliver to Participant a certificate or certificates representing the number of shares of stock as are not then subject to the Company Repurchase Right or will provide Participant evidence that such shares have been duly entered into the records of the Company. Within 120 days after the date Participant ceases to be a Service Provider (within the meaning of the Agreement), you will deliver to Participant a certificate or certificates representing the aggregate number of shares held or issued pursuant to the Agreement and not purchased by the Company or any other entitled parties pursuant to exercise of the Company Repurchase Right or will provide Participant evidence that such shares have been duly entered into the records of the Company.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ind w:right="20" w:firstLine="656"/>
        <w:spacing w:after="0" w:line="277" w:lineRule="auto"/>
        <w:tabs>
          <w:tab w:leader="none" w:pos="135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at the time of termination of this escrow you should have in your possession any documents, securities, or other property belonging to Participant, you shall deliver all of the same to Participant and shall be discharged of all further obligations hereunder.</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Your duties hereunder may be altered, amended, modified or revoked only by a writing signed by all of the parties hereto.</w:t>
      </w:r>
    </w:p>
    <w:p>
      <w:pPr>
        <w:spacing w:after="0" w:line="225" w:lineRule="exact"/>
        <w:rPr>
          <w:rFonts w:ascii="Arial" w:cs="Arial" w:eastAsia="Arial" w:hAnsi="Arial"/>
          <w:sz w:val="18"/>
          <w:szCs w:val="18"/>
          <w:color w:val="auto"/>
        </w:rPr>
      </w:pPr>
    </w:p>
    <w:p>
      <w:pPr>
        <w:jc w:val="both"/>
        <w:ind w:firstLine="656"/>
        <w:spacing w:after="0" w:line="301" w:lineRule="auto"/>
        <w:tabs>
          <w:tab w:leader="none" w:pos="137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for Participant while acting in good faith, and any act done or omitted by you pursuant to the advice of your own attorneys shall be conclusive evidence of such good faith.</w:t>
      </w:r>
    </w:p>
    <w:p>
      <w:pPr>
        <w:spacing w:after="0" w:line="157" w:lineRule="exact"/>
        <w:rPr>
          <w:rFonts w:ascii="Arial" w:cs="Arial" w:eastAsia="Arial" w:hAnsi="Arial"/>
          <w:sz w:val="16"/>
          <w:szCs w:val="16"/>
          <w:color w:val="auto"/>
        </w:rPr>
      </w:pPr>
    </w:p>
    <w:p>
      <w:pPr>
        <w:jc w:val="both"/>
        <w:ind w:firstLine="656"/>
        <w:spacing w:after="0" w:line="257" w:lineRule="auto"/>
        <w:tabs>
          <w:tab w:leader="none" w:pos="150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87" w:lineRule="exact"/>
        <w:rPr>
          <w:rFonts w:ascii="Arial" w:cs="Arial" w:eastAsia="Arial" w:hAnsi="Arial"/>
          <w:sz w:val="18"/>
          <w:szCs w:val="18"/>
          <w:color w:val="auto"/>
        </w:rPr>
      </w:pPr>
    </w:p>
    <w:p>
      <w:pPr>
        <w:ind w:firstLine="656"/>
        <w:spacing w:after="0" w:line="277" w:lineRule="auto"/>
        <w:tabs>
          <w:tab w:leader="none" w:pos="132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You shall not be liable in any respect on account of the identity, authorities or rights of the parties executing or delivering or purporting to execute or deliver the Agreement or any documents or papers deposited or called for hereunder.</w:t>
      </w:r>
    </w:p>
    <w:p>
      <w:pPr>
        <w:spacing w:after="0" w:line="170" w:lineRule="exact"/>
        <w:rPr>
          <w:rFonts w:ascii="Arial" w:cs="Arial" w:eastAsia="Arial" w:hAnsi="Arial"/>
          <w:sz w:val="18"/>
          <w:szCs w:val="18"/>
          <w:color w:val="auto"/>
        </w:rPr>
      </w:pPr>
    </w:p>
    <w:p>
      <w:pPr>
        <w:ind w:firstLine="656"/>
        <w:spacing w:after="0" w:line="277" w:lineRule="auto"/>
        <w:tabs>
          <w:tab w:leader="none" w:pos="14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You shall not be liable for the expiration of any rights under any applicable state, federal or local statute of limitations or similar statute or regulation with respect to these Joint Escrow Instructions or any documents deposited with you.</w:t>
      </w:r>
    </w:p>
    <w:p>
      <w:pPr>
        <w:spacing w:after="0" w:line="170" w:lineRule="exact"/>
        <w:rPr>
          <w:rFonts w:ascii="Arial" w:cs="Arial" w:eastAsia="Arial" w:hAnsi="Arial"/>
          <w:sz w:val="18"/>
          <w:szCs w:val="18"/>
          <w:color w:val="auto"/>
        </w:rPr>
      </w:pPr>
    </w:p>
    <w:p>
      <w:pPr>
        <w:ind w:firstLine="656"/>
        <w:spacing w:after="0" w:line="308" w:lineRule="auto"/>
        <w:tabs>
          <w:tab w:leader="none" w:pos="147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You shall be entitled to employ such legal counsel and other experts as you may deem necessary properly to advise you in connection with your obligations hereunder, may rely upon the advice of such counsel, and may pay such counsel reasonable compensation therefor.</w:t>
      </w:r>
    </w:p>
    <w:p>
      <w:pPr>
        <w:spacing w:after="0" w:line="146" w:lineRule="exact"/>
        <w:rPr>
          <w:rFonts w:ascii="Arial" w:cs="Arial" w:eastAsia="Arial" w:hAnsi="Arial"/>
          <w:sz w:val="17"/>
          <w:szCs w:val="17"/>
          <w:color w:val="auto"/>
        </w:rPr>
      </w:pPr>
    </w:p>
    <w:p>
      <w:pPr>
        <w:ind w:firstLine="656"/>
        <w:spacing w:after="0" w:line="308" w:lineRule="auto"/>
        <w:tabs>
          <w:tab w:leader="none" w:pos="153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Your responsibilities as escrow agent hereunder shall terminate if you shall cease to be an officer or agent of the Company or if you shall resign by written notice to each party. In the event of any such termination, the Company shall appoint a successor escrow agent.</w:t>
      </w:r>
    </w:p>
    <w:p>
      <w:pPr>
        <w:spacing w:after="0" w:line="146" w:lineRule="exact"/>
        <w:rPr>
          <w:rFonts w:ascii="Arial" w:cs="Arial" w:eastAsia="Arial" w:hAnsi="Arial"/>
          <w:sz w:val="17"/>
          <w:szCs w:val="17"/>
          <w:color w:val="auto"/>
        </w:rPr>
      </w:pPr>
    </w:p>
    <w:p>
      <w:pPr>
        <w:ind w:right="20" w:firstLine="656"/>
        <w:spacing w:after="0" w:line="277" w:lineRule="auto"/>
        <w:tabs>
          <w:tab w:leader="none" w:pos="161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you reasonably require other or further instruments in connection with these Joint Escrow Instructions or obligations in respect hereto, the necessary parties hereto shall join in furnishing such instruments.</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5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disputes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both"/>
        <w:ind w:firstLine="656"/>
        <w:spacing w:after="0" w:line="263" w:lineRule="auto"/>
        <w:tabs>
          <w:tab w:leader="none" w:pos="149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such addresses as a party may designate by written notice to each of the other parties hereto.</w:t>
      </w:r>
    </w:p>
    <w:p>
      <w:pPr>
        <w:spacing w:after="0" w:line="183" w:lineRule="exact"/>
        <w:rPr>
          <w:rFonts w:ascii="Arial" w:cs="Arial" w:eastAsia="Arial" w:hAnsi="Arial"/>
          <w:sz w:val="18"/>
          <w:szCs w:val="18"/>
          <w:color w:val="auto"/>
        </w:rPr>
      </w:pPr>
    </w:p>
    <w:p>
      <w:pPr>
        <w:ind w:firstLine="656"/>
        <w:spacing w:after="0" w:line="277" w:lineRule="auto"/>
        <w:tabs>
          <w:tab w:leader="none" w:pos="142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By signing these Joint Escrow Instructions, you become a party hereto only for the purpose of the Joint Escrow Instructions; you do not become a party to the Agreement.</w:t>
      </w:r>
    </w:p>
    <w:p>
      <w:pPr>
        <w:spacing w:after="0" w:line="170" w:lineRule="exact"/>
        <w:rPr>
          <w:rFonts w:ascii="Arial" w:cs="Arial" w:eastAsia="Arial" w:hAnsi="Arial"/>
          <w:sz w:val="18"/>
          <w:szCs w:val="18"/>
          <w:color w:val="auto"/>
        </w:rPr>
      </w:pPr>
    </w:p>
    <w:p>
      <w:pPr>
        <w:ind w:left="1620" w:hanging="964"/>
        <w:spacing w:after="0"/>
        <w:tabs>
          <w:tab w:leader="none" w:pos="16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This instrument shall be binding upon and inure to the benefit of the parties hereto, and their respective successors and permitted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assigns.</w:t>
      </w:r>
    </w:p>
    <w:p>
      <w:pPr>
        <w:spacing w:after="0" w:line="210" w:lineRule="exact"/>
        <w:rPr>
          <w:rFonts w:ascii="Arial" w:cs="Arial" w:eastAsia="Arial" w:hAnsi="Arial"/>
          <w:sz w:val="16"/>
          <w:szCs w:val="16"/>
          <w:color w:val="auto"/>
        </w:rPr>
      </w:pPr>
    </w:p>
    <w:p>
      <w:pPr>
        <w:ind w:right="20" w:firstLine="656"/>
        <w:spacing w:after="0" w:line="277" w:lineRule="auto"/>
        <w:tabs>
          <w:tab w:leader="none" w:pos="169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These Joint Escrow Instructions shall be governed by, and construed and enforced in accordance with, the laws of the State of Delaware, excluding that body of law pertaining to conflicts of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t>These Joint Escrow Instructions shall be effective as of the date first set forth above.</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SUREFIRE MEDICAL, INC. DBA TRISALUS™ LIFE SCIENCES.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PARTICIPANT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Address:</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ESCROW AGENT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908" w:right="67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Form of 83(b) Election and Instructions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These instructions are provided to assist you if you choose to make an election under Section 83(b) of the Internal Revenue Code of 1986, as amended, with respect to the shares of common stock of SUREFIRE MEDICAL, INC. DBA TRISALUS™ LIFE SCIENCES transferred to you. </w:t>
      </w:r>
      <w:r>
        <w:rPr>
          <w:rFonts w:ascii="Arial" w:cs="Arial" w:eastAsia="Arial" w:hAnsi="Arial"/>
          <w:sz w:val="16"/>
          <w:szCs w:val="16"/>
          <w:b w:val="1"/>
          <w:bCs w:val="1"/>
          <w:color w:val="auto"/>
        </w:rPr>
        <w:t>Please consult with</w:t>
      </w:r>
      <w:r>
        <w:rPr>
          <w:rFonts w:ascii="Arial" w:cs="Arial" w:eastAsia="Arial" w:hAnsi="Arial"/>
          <w:sz w:val="16"/>
          <w:szCs w:val="16"/>
          <w:color w:val="auto"/>
        </w:rPr>
        <w:t xml:space="preserve"> </w:t>
      </w:r>
      <w:r>
        <w:rPr>
          <w:rFonts w:ascii="Arial" w:cs="Arial" w:eastAsia="Arial" w:hAnsi="Arial"/>
          <w:sz w:val="16"/>
          <w:szCs w:val="16"/>
          <w:b w:val="1"/>
          <w:bCs w:val="1"/>
          <w:color w:val="auto"/>
        </w:rPr>
        <w:t>your personal tax advisor as to whether an election of this nature will be in your best interests in light of your personal tax situation.</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executed original of the Section 83(b) election must be filed with the Internal Revenue Service not later than 30 days after the date the shares were transferred to you. PLEASE NOTE: There is no remedy for failure to file on time. The steps outlined below should be followed to ensure the election is mailed and filed correctly and in a timely manner. ALSO, PLEASE NOTE: If you make the Section 83(b) election, the election is irrevocable.</w:t>
      </w:r>
    </w:p>
    <w:p>
      <w:pPr>
        <w:spacing w:after="0" w:line="14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Complete the Section 83(b) election form (attached as </w:t>
      </w:r>
      <w:r>
        <w:rPr>
          <w:rFonts w:ascii="Arial" w:cs="Arial" w:eastAsia="Arial" w:hAnsi="Arial"/>
          <w:sz w:val="18"/>
          <w:szCs w:val="18"/>
          <w:b w:val="1"/>
          <w:bCs w:val="1"/>
          <w:color w:val="auto"/>
        </w:rPr>
        <w:t>Attachment 1</w:t>
      </w:r>
      <w:r>
        <w:rPr>
          <w:rFonts w:ascii="Arial" w:cs="Arial" w:eastAsia="Arial" w:hAnsi="Arial"/>
          <w:sz w:val="18"/>
          <w:szCs w:val="18"/>
          <w:color w:val="auto"/>
        </w:rPr>
        <w:t>) and make three copies of the signed election form. (If you live in a community property state, your spouse or registered domestic partner should sign the Section 83(b) election form as well.)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Prepare the cover letter to the Internal Revenue Service (sample letter attached as </w:t>
      </w:r>
      <w:r>
        <w:rPr>
          <w:rFonts w:ascii="Arial" w:cs="Arial" w:eastAsia="Arial" w:hAnsi="Arial"/>
          <w:sz w:val="18"/>
          <w:szCs w:val="18"/>
          <w:b w:val="1"/>
          <w:bCs w:val="1"/>
          <w:color w:val="auto"/>
        </w:rPr>
        <w:t>Attachment 2</w:t>
      </w:r>
      <w:r>
        <w:rPr>
          <w:rFonts w:ascii="Arial" w:cs="Arial" w:eastAsia="Arial" w:hAnsi="Arial"/>
          <w:sz w:val="18"/>
          <w:szCs w:val="18"/>
          <w:color w:val="auto"/>
        </w:rPr>
        <w: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Send the cover letter with the originally executed Section 83(b) election form and one copy via certified mail, return receipt requested to the Internal Revenue Service at the address of the Internal Revenue Service where you file your personal tax returns. We suggest that you have the package date-stamped at the post office. The post office will provide you with a certified receipt that includes a dated postmark. Enclose a self-addressed, stamped envelope so that the Internal Revenue Service may return a date-stamped copy to you. However, your postmarked receipt is your proof of having timely filed the Section 83(b) election if you do not receive confirmation from the Internal Revenue Service.</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One copy must be sent to SUREFIRE MEDICAL, INC. DBA TRISALUS™ LIFE SCIENCES for its records. Note that you do </w:t>
      </w:r>
      <w:r>
        <w:rPr>
          <w:rFonts w:ascii="Arial" w:cs="Arial" w:eastAsia="Arial" w:hAnsi="Arial"/>
          <w:sz w:val="18"/>
          <w:szCs w:val="18"/>
          <w:b w:val="1"/>
          <w:bCs w:val="1"/>
          <w:color w:val="auto"/>
        </w:rPr>
        <w:t>not</w:t>
      </w:r>
      <w:r>
        <w:rPr>
          <w:rFonts w:ascii="Arial" w:cs="Arial" w:eastAsia="Arial" w:hAnsi="Arial"/>
          <w:sz w:val="18"/>
          <w:szCs w:val="18"/>
          <w:color w:val="auto"/>
        </w:rPr>
        <w:t xml:space="preserve"> need to attach a copy of your election with your federal income tax return for the applicable calendar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Retain the Internal Revenue Service file stamped copy (when returned) for your records.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Please consult your personal tax advisor for the address of the office of the Internal Revenue Service to which you should mail your election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b w:val="1"/>
          <w:bCs w:val="1"/>
          <w:color w:val="auto"/>
        </w:rPr>
        <w:t>ATTACHMENT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Under Internal Revenue Code Section 83(b)</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undersigned taxpayer hereby elects, pursuant to Section 83(b) of the Internal Revenue Code of 1986, as amended, to include in taxpayer’s gross income for the current taxable year the amount of any compensation taxable to taxpayer in connection with taxpayer’s receipt of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Common Stock of SUREFIRE MEDICAL, INC. DBA TRISALUS™ LIFE SCIENCES,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name, address and taxpayer identification number of the undersigned taxpayer 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SSN: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name, address and taxpayer identification number of the Taxpayer’s spouse/registered domestic partner are (complete if applicable):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w:t>
      </w:r>
    </w:p>
    <w:p>
      <w:pPr>
        <w:ind w:left="660"/>
        <w:spacing w:after="0"/>
        <w:rPr>
          <w:sz w:val="20"/>
          <w:szCs w:val="20"/>
          <w:color w:val="auto"/>
        </w:rPr>
      </w:pPr>
      <w:r>
        <w:rPr>
          <w:rFonts w:ascii="Arial" w:cs="Arial" w:eastAsia="Arial" w:hAnsi="Arial"/>
          <w:sz w:val="18"/>
          <w:szCs w:val="18"/>
          <w:color w:val="auto"/>
        </w:rPr>
        <w:t>______________________</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SSN: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the property with respect to which the election is being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 (______________) Shares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date on which the property was transferred was _____________________. The taxable year to which this election relates is calendar year _______.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Nature of restrictions to which the property is subject:</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Shares are subject to repurchase by the Company or its assignee upon the occurrence of certain events. This repurchase right lapses based upon the continued performance of services by the taxpayer over time.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market value at the time of transfer (determined without regard to any lapse restrictions, as defined in Treasury Regulation Section 1.83-3(i)) of the Shares was $__________ per Share x _________ Shares = $ __________.</w:t>
      </w:r>
    </w:p>
    <w:p>
      <w:pPr>
        <w:sectPr>
          <w:pgSz w:w="11900" w:h="16838" w:orient="portrait"/>
          <w:cols w:equalWidth="0" w:num="1">
            <w:col w:w="11240"/>
          </w:cols>
          <w:pgMar w:left="320" w:top="904"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amount paid by the taxpayer for Shares was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per Share x ____________ Shares = $ __________.</w:t>
      </w:r>
    </w:p>
    <w:p>
      <w:pPr>
        <w:spacing w:after="0" w:line="211" w:lineRule="exact"/>
        <w:rPr>
          <w:sz w:val="20"/>
          <w:szCs w:val="20"/>
          <w:color w:val="auto"/>
        </w:rPr>
      </w:pPr>
    </w:p>
    <w:p>
      <w:pPr>
        <w:sectPr>
          <w:pgSz w:w="11900" w:h="16838" w:orient="portrait"/>
          <w:cols w:equalWidth="0" w:num="2">
            <w:col w:w="3660" w:space="720"/>
            <w:col w:w="6860"/>
          </w:cols>
          <w:pgMar w:left="320" w:top="904"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amount to include in gross income is $____________.</w:t>
      </w:r>
    </w:p>
    <w:p>
      <w:pPr>
        <w:sectPr>
          <w:pgSz w:w="11900" w:h="16838" w:orient="portrait"/>
          <w:cols w:equalWidth="0" w:num="1">
            <w:col w:w="11240"/>
          </w:cols>
          <w:pgMar w:left="320" w:top="904" w:right="339" w:bottom="1440" w:gutter="0" w:footer="0" w:header="0"/>
          <w:type w:val="continuous"/>
        </w:sectPr>
      </w:pP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taxpayer will file this election with the Internal Revenue Service office with which taxpayer files his or her annual income tax return not later than 30 days after the date of transfer of the property. A copy of this statement has been furnished to the Company. The undersigned is the person performing the services in connection with which the property was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12" w:name="page213"/>
    <w:bookmarkEnd w:id="212"/>
    <w:p>
      <w:pPr>
        <w:spacing w:after="0"/>
        <w:rPr>
          <w:sz w:val="20"/>
          <w:szCs w:val="20"/>
          <w:color w:val="auto"/>
        </w:rPr>
      </w:pPr>
      <w:r>
        <w:rPr>
          <w:rFonts w:ascii="Arial" w:cs="Arial" w:eastAsia="Arial" w:hAnsi="Arial"/>
          <w:sz w:val="18"/>
          <w:szCs w:val="18"/>
          <w:color w:val="auto"/>
        </w:rPr>
        <w:t>The undersigned understands that the foregoing election may not be revoked except with the consent of the Commissioner.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Dated:____________, _______</w:t>
            </w:r>
          </w:p>
        </w:tc>
        <w:tc>
          <w:tcPr>
            <w:tcW w:w="3180" w:type="dxa"/>
            <w:vAlign w:val="bottom"/>
          </w:tcPr>
          <w:p>
            <w:pPr>
              <w:ind w:left="1340"/>
              <w:spacing w:after="0"/>
              <w:rPr>
                <w:sz w:val="20"/>
                <w:szCs w:val="20"/>
                <w:color w:val="auto"/>
              </w:rPr>
            </w:pPr>
            <w:r>
              <w:rPr>
                <w:rFonts w:ascii="Arial" w:cs="Arial" w:eastAsia="Arial" w:hAnsi="Arial"/>
                <w:sz w:val="18"/>
                <w:szCs w:val="18"/>
                <w:color w:val="auto"/>
              </w:rPr>
              <w:t>Taxpayer Signature:</w:t>
            </w:r>
          </w:p>
        </w:tc>
        <w:tc>
          <w:tcPr>
            <w:tcW w:w="4440" w:type="dxa"/>
            <w:vAlign w:val="bottom"/>
          </w:tcPr>
          <w:p>
            <w:pPr>
              <w:jc w:val="right"/>
              <w:ind w:right="790"/>
              <w:spacing w:after="0"/>
              <w:rPr>
                <w:sz w:val="20"/>
                <w:szCs w:val="20"/>
                <w:color w:val="auto"/>
              </w:rPr>
            </w:pPr>
            <w:r>
              <w:rPr>
                <w:rFonts w:ascii="Arial" w:cs="Arial" w:eastAsia="Arial" w:hAnsi="Arial"/>
                <w:sz w:val="18"/>
                <w:szCs w:val="18"/>
                <w:color w:val="auto"/>
              </w:rPr>
              <w:t>___________________________________</w:t>
            </w:r>
          </w:p>
        </w:tc>
      </w:tr>
      <w:tr>
        <w:trPr>
          <w:trHeight w:val="432"/>
        </w:trPr>
        <w:tc>
          <w:tcPr>
            <w:tcW w:w="11240" w:type="dxa"/>
            <w:vAlign w:val="bottom"/>
            <w:gridSpan w:val="3"/>
          </w:tcPr>
          <w:p>
            <w:pPr>
              <w:spacing w:after="0"/>
              <w:rPr>
                <w:sz w:val="20"/>
                <w:szCs w:val="20"/>
                <w:color w:val="auto"/>
              </w:rPr>
            </w:pPr>
            <w:r>
              <w:rPr>
                <w:rFonts w:ascii="Arial" w:cs="Arial" w:eastAsia="Arial" w:hAnsi="Arial"/>
                <w:sz w:val="18"/>
                <w:szCs w:val="18"/>
                <w:color w:val="auto"/>
              </w:rPr>
              <w:t>The undersigned spouse or registered domestic partner of Taxpayer joins in this election. (Complete if applicable.)</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Dated:____________, _______</w:t>
            </w:r>
          </w:p>
        </w:tc>
        <w:tc>
          <w:tcPr>
            <w:tcW w:w="7620" w:type="dxa"/>
            <w:vAlign w:val="bottom"/>
            <w:gridSpan w:val="2"/>
          </w:tcPr>
          <w:p>
            <w:pPr>
              <w:ind w:left="1360"/>
              <w:spacing w:after="0"/>
              <w:rPr>
                <w:sz w:val="20"/>
                <w:szCs w:val="20"/>
                <w:color w:val="auto"/>
              </w:rPr>
            </w:pPr>
            <w:r>
              <w:rPr>
                <w:rFonts w:ascii="Arial" w:cs="Arial" w:eastAsia="Arial" w:hAnsi="Arial"/>
                <w:sz w:val="18"/>
                <w:szCs w:val="18"/>
                <w:color w:val="auto"/>
                <w:w w:val="96"/>
              </w:rPr>
              <w:t>Spouse’s or Domestic Partner’s Signature: ______________________________</w:t>
            </w:r>
          </w:p>
        </w:tc>
      </w:tr>
      <w:tr>
        <w:trPr>
          <w:trHeight w:val="675"/>
        </w:trPr>
        <w:tc>
          <w:tcPr>
            <w:tcW w:w="36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18"/>
          <w:szCs w:val="18"/>
          <w:b w:val="1"/>
          <w:bCs w:val="1"/>
          <w:color w:val="auto"/>
        </w:rPr>
        <w:t>ATTACHMENT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Sample Cover Letter to Internal Revenue Service</w:t>
      </w:r>
    </w:p>
    <w:p>
      <w:pPr>
        <w:spacing w:after="0" w:line="25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____________________, _______</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 CERTIFIED MAIL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RETURN RECEIPT REQUESTED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Internal Revenue Service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where taxpayer files returns]</w:t>
      </w:r>
    </w:p>
    <w:p>
      <w:pPr>
        <w:sectPr>
          <w:pgSz w:w="11900" w:h="16838" w:orient="portrait"/>
          <w:cols w:equalWidth="0" w:num="1">
            <w:col w:w="11240"/>
          </w:cols>
          <w:pgMar w:left="320" w:top="904" w:right="339" w:bottom="1440" w:gutter="0" w:footer="0" w:header="0"/>
        </w:sect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Election under Section 83(b) of the Internal Revenue Code of 1986 Taxpayer: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Taxpayer’s Social Security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Taxpayer’s Spouse/Domestic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Taxpayer’s Spouse’s/Domestic Partner’s Social Security Number:</w:t>
      </w:r>
    </w:p>
    <w:p>
      <w:pPr>
        <w:spacing w:after="0" w:line="200" w:lineRule="exact"/>
        <w:rPr>
          <w:sz w:val="20"/>
          <w:szCs w:val="20"/>
          <w:color w:val="auto"/>
        </w:rPr>
      </w:pPr>
    </w:p>
    <w:p>
      <w:pPr>
        <w:sectPr>
          <w:pgSz w:w="11900" w:h="16838" w:orient="portrait"/>
          <w:cols w:equalWidth="0" w:num="2">
            <w:col w:w="360" w:space="400"/>
            <w:col w:w="10480"/>
          </w:cols>
          <w:pgMar w:left="320" w:top="904"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Enclosed please find an original and one copy of an Election under Section 83(b) of the Internal Revenue Code of 1986, as amended, being made by the taxpayer referenced above. Please acknowledge receipt of the enclosed materials by stamping the enclosed copy of the Election and returning it to me in the self-addressed stamped envelope provided herewith.</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288925</wp:posOffset>
            </wp:positionV>
            <wp:extent cx="3566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800" w:hanging="792"/>
        <w:spacing w:after="0"/>
        <w:tabs>
          <w:tab w:leader="none" w:pos="8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SUREFIRE MEDICAL, INC. DBA TRISALUS™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10.20</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w:t>
      </w:r>
      <w:r>
        <w:rPr>
          <w:rFonts w:ascii="Arial" w:cs="Arial" w:eastAsia="Arial" w:hAnsi="Arial"/>
          <w:sz w:val="18"/>
          <w:szCs w:val="18"/>
          <w:b w:val="1"/>
          <w:bCs w:val="1"/>
          <w:color w:val="auto"/>
        </w:rPr>
        <w:t>S</w:t>
      </w:r>
      <w:r>
        <w:rPr>
          <w:rFonts w:ascii="Arial" w:cs="Arial" w:eastAsia="Arial" w:hAnsi="Arial"/>
          <w:sz w:val="12"/>
          <w:szCs w:val="12"/>
          <w:b w:val="1"/>
          <w:bCs w:val="1"/>
          <w:color w:val="auto"/>
        </w:rPr>
        <w:t>alus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2009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w:t>
      </w:r>
      <w:r>
        <w:rPr>
          <w:rFonts w:ascii="Arial" w:cs="Arial" w:eastAsia="Arial" w:hAnsi="Arial"/>
          <w:sz w:val="16"/>
          <w:szCs w:val="16"/>
          <w:color w:val="auto"/>
        </w:rPr>
        <w:t>You (“</w:t>
      </w:r>
      <w:r>
        <w:rPr>
          <w:rFonts w:ascii="Arial" w:cs="Arial" w:eastAsia="Arial" w:hAnsi="Arial"/>
          <w:sz w:val="16"/>
          <w:szCs w:val="16"/>
          <w:b w:val="1"/>
          <w:bCs w:val="1"/>
          <w:color w:val="auto"/>
        </w:rPr>
        <w:t>Participant</w:t>
      </w:r>
      <w:r>
        <w:rPr>
          <w:rFonts w:ascii="Arial" w:cs="Arial" w:eastAsia="Arial" w:hAnsi="Arial"/>
          <w:sz w:val="16"/>
          <w:szCs w:val="16"/>
          <w:color w:val="auto"/>
        </w:rPr>
        <w:t>”) have been granted Restricted Stock Units (“</w:t>
      </w:r>
      <w:r>
        <w:rPr>
          <w:rFonts w:ascii="Arial" w:cs="Arial" w:eastAsia="Arial" w:hAnsi="Arial"/>
          <w:sz w:val="16"/>
          <w:szCs w:val="16"/>
          <w:b w:val="1"/>
          <w:bCs w:val="1"/>
          <w:color w:val="auto"/>
        </w:rPr>
        <w:t>RSUs</w:t>
      </w:r>
      <w:r>
        <w:rPr>
          <w:rFonts w:ascii="Arial" w:cs="Arial" w:eastAsia="Arial" w:hAnsi="Arial"/>
          <w:sz w:val="16"/>
          <w:szCs w:val="16"/>
          <w:color w:val="auto"/>
        </w:rPr>
        <w:t>”) representing shares of the Common Stock of TriSalus Life Sciences,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on the following terms: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660"/>
              <w:spacing w:after="0"/>
              <w:rPr>
                <w:sz w:val="20"/>
                <w:szCs w:val="20"/>
                <w:color w:val="auto"/>
              </w:rPr>
            </w:pPr>
            <w:r>
              <w:rPr>
                <w:rFonts w:ascii="Arial" w:cs="Arial" w:eastAsia="Arial" w:hAnsi="Arial"/>
                <w:sz w:val="18"/>
                <w:szCs w:val="18"/>
                <w:color w:val="auto"/>
              </w:rPr>
              <w:t>Name of Participant:</w:t>
            </w:r>
          </w:p>
        </w:tc>
        <w:tc>
          <w:tcPr>
            <w:tcW w:w="760" w:type="dxa"/>
            <w:vAlign w:val="bottom"/>
          </w:tcPr>
          <w:p>
            <w:pPr>
              <w:ind w:left="640"/>
              <w:spacing w:after="0"/>
              <w:rPr>
                <w:sz w:val="20"/>
                <w:szCs w:val="20"/>
                <w:color w:val="auto"/>
              </w:rPr>
            </w:pPr>
            <w:r>
              <w:rPr>
                <w:rFonts w:ascii="Arial" w:cs="Arial" w:eastAsia="Arial" w:hAnsi="Arial"/>
                <w:sz w:val="18"/>
                <w:szCs w:val="18"/>
                <w:color w:val="auto"/>
              </w:rPr>
              <w:t>[</w:t>
            </w:r>
          </w:p>
        </w:tc>
        <w:tc>
          <w:tcPr>
            <w:tcW w:w="6840" w:type="dxa"/>
            <w:vAlign w:val="bottom"/>
          </w:tcPr>
          <w:p>
            <w:pPr>
              <w:jc w:val="right"/>
              <w:ind w:right="6650"/>
              <w:spacing w:after="0"/>
              <w:rPr>
                <w:sz w:val="20"/>
                <w:szCs w:val="20"/>
                <w:color w:val="auto"/>
              </w:rPr>
            </w:pPr>
            <w:r>
              <w:rPr>
                <w:rFonts w:ascii="Arial" w:cs="Arial" w:eastAsia="Arial" w:hAnsi="Arial"/>
                <w:sz w:val="18"/>
                <w:szCs w:val="18"/>
                <w:color w:val="auto"/>
              </w:rPr>
              <w:t>]</w:t>
            </w:r>
          </w:p>
        </w:tc>
      </w:tr>
      <w:tr>
        <w:trPr>
          <w:trHeight w:val="432"/>
        </w:trPr>
        <w:tc>
          <w:tcPr>
            <w:tcW w:w="3640" w:type="dxa"/>
            <w:vAlign w:val="bottom"/>
          </w:tcPr>
          <w:p>
            <w:pPr>
              <w:ind w:left="660"/>
              <w:spacing w:after="0"/>
              <w:rPr>
                <w:sz w:val="20"/>
                <w:szCs w:val="20"/>
                <w:color w:val="auto"/>
              </w:rPr>
            </w:pPr>
            <w:r>
              <w:rPr>
                <w:rFonts w:ascii="Arial" w:cs="Arial" w:eastAsia="Arial" w:hAnsi="Arial"/>
                <w:sz w:val="18"/>
                <w:szCs w:val="18"/>
                <w:color w:val="auto"/>
              </w:rPr>
              <w:t>Total Number of RSUs Granted:</w:t>
            </w:r>
          </w:p>
        </w:tc>
        <w:tc>
          <w:tcPr>
            <w:tcW w:w="7600" w:type="dxa"/>
            <w:vAlign w:val="bottom"/>
            <w:gridSpan w:val="2"/>
          </w:tcPr>
          <w:p>
            <w:pPr>
              <w:jc w:val="right"/>
              <w:ind w:right="6650"/>
              <w:spacing w:after="0"/>
              <w:rPr>
                <w:sz w:val="20"/>
                <w:szCs w:val="20"/>
                <w:color w:val="auto"/>
              </w:rPr>
            </w:pPr>
            <w:r>
              <w:rPr>
                <w:rFonts w:ascii="Arial" w:cs="Arial" w:eastAsia="Arial" w:hAnsi="Arial"/>
                <w:sz w:val="18"/>
                <w:szCs w:val="18"/>
                <w:color w:val="auto"/>
              </w:rPr>
              <w:t>[ ]</w:t>
            </w:r>
          </w:p>
        </w:tc>
      </w:tr>
      <w:tr>
        <w:trPr>
          <w:trHeight w:val="432"/>
        </w:trPr>
        <w:tc>
          <w:tcPr>
            <w:tcW w:w="3640" w:type="dxa"/>
            <w:vAlign w:val="bottom"/>
          </w:tcPr>
          <w:p>
            <w:pPr>
              <w:ind w:left="660"/>
              <w:spacing w:after="0"/>
              <w:rPr>
                <w:sz w:val="20"/>
                <w:szCs w:val="20"/>
                <w:color w:val="auto"/>
              </w:rPr>
            </w:pPr>
            <w:r>
              <w:rPr>
                <w:rFonts w:ascii="Arial" w:cs="Arial" w:eastAsia="Arial" w:hAnsi="Arial"/>
                <w:sz w:val="18"/>
                <w:szCs w:val="18"/>
                <w:color w:val="auto"/>
              </w:rPr>
              <w:t>Date of Grant:</w:t>
            </w:r>
          </w:p>
        </w:tc>
        <w:tc>
          <w:tcPr>
            <w:tcW w:w="760" w:type="dxa"/>
            <w:vAlign w:val="bottom"/>
          </w:tcPr>
          <w:p>
            <w:pPr>
              <w:ind w:left="640"/>
              <w:spacing w:after="0"/>
              <w:rPr>
                <w:sz w:val="20"/>
                <w:szCs w:val="20"/>
                <w:color w:val="auto"/>
              </w:rPr>
            </w:pPr>
            <w:r>
              <w:rPr>
                <w:rFonts w:ascii="Arial" w:cs="Arial" w:eastAsia="Arial" w:hAnsi="Arial"/>
                <w:sz w:val="18"/>
                <w:szCs w:val="18"/>
                <w:color w:val="auto"/>
              </w:rPr>
              <w:t>[</w:t>
            </w:r>
          </w:p>
        </w:tc>
        <w:tc>
          <w:tcPr>
            <w:tcW w:w="6840" w:type="dxa"/>
            <w:vAlign w:val="bottom"/>
          </w:tcPr>
          <w:p>
            <w:pPr>
              <w:jc w:val="right"/>
              <w:ind w:right="6650"/>
              <w:spacing w:after="0"/>
              <w:rPr>
                <w:sz w:val="20"/>
                <w:szCs w:val="20"/>
                <w:color w:val="auto"/>
              </w:rPr>
            </w:pPr>
            <w:r>
              <w:rPr>
                <w:rFonts w:ascii="Arial" w:cs="Arial" w:eastAsia="Arial" w:hAnsi="Arial"/>
                <w:sz w:val="18"/>
                <w:szCs w:val="18"/>
                <w:color w:val="auto"/>
              </w:rPr>
              <w:t>]</w:t>
            </w:r>
          </w:p>
        </w:tc>
      </w:tr>
      <w:tr>
        <w:trPr>
          <w:trHeight w:val="432"/>
        </w:trPr>
        <w:tc>
          <w:tcPr>
            <w:tcW w:w="3640" w:type="dxa"/>
            <w:vAlign w:val="bottom"/>
          </w:tcPr>
          <w:p>
            <w:pPr>
              <w:ind w:left="660"/>
              <w:spacing w:after="0"/>
              <w:rPr>
                <w:sz w:val="20"/>
                <w:szCs w:val="20"/>
                <w:color w:val="auto"/>
              </w:rPr>
            </w:pPr>
            <w:r>
              <w:rPr>
                <w:rFonts w:ascii="Arial" w:cs="Arial" w:eastAsia="Arial" w:hAnsi="Arial"/>
                <w:sz w:val="18"/>
                <w:szCs w:val="18"/>
                <w:color w:val="auto"/>
              </w:rPr>
              <w:t>Vesting Start Date:</w:t>
            </w:r>
          </w:p>
        </w:tc>
        <w:tc>
          <w:tcPr>
            <w:tcW w:w="760" w:type="dxa"/>
            <w:vAlign w:val="bottom"/>
          </w:tcPr>
          <w:p>
            <w:pPr>
              <w:ind w:left="640"/>
              <w:spacing w:after="0"/>
              <w:rPr>
                <w:sz w:val="20"/>
                <w:szCs w:val="20"/>
                <w:color w:val="auto"/>
              </w:rPr>
            </w:pPr>
            <w:r>
              <w:rPr>
                <w:rFonts w:ascii="Arial" w:cs="Arial" w:eastAsia="Arial" w:hAnsi="Arial"/>
                <w:sz w:val="18"/>
                <w:szCs w:val="18"/>
                <w:color w:val="auto"/>
              </w:rPr>
              <w:t>[</w:t>
            </w:r>
          </w:p>
        </w:tc>
        <w:tc>
          <w:tcPr>
            <w:tcW w:w="6840" w:type="dxa"/>
            <w:vAlign w:val="bottom"/>
          </w:tcPr>
          <w:p>
            <w:pPr>
              <w:jc w:val="right"/>
              <w:ind w:right="6650"/>
              <w:spacing w:after="0"/>
              <w:rPr>
                <w:sz w:val="20"/>
                <w:szCs w:val="20"/>
                <w:color w:val="auto"/>
              </w:rPr>
            </w:pPr>
            <w:r>
              <w:rPr>
                <w:rFonts w:ascii="Arial" w:cs="Arial" w:eastAsia="Arial" w:hAnsi="Arial"/>
                <w:sz w:val="18"/>
                <w:szCs w:val="18"/>
                <w:color w:val="auto"/>
              </w:rPr>
              <w:t>]</w:t>
            </w:r>
          </w:p>
        </w:tc>
      </w:tr>
      <w:tr>
        <w:trPr>
          <w:trHeight w:val="418"/>
        </w:trPr>
        <w:tc>
          <w:tcPr>
            <w:tcW w:w="3640" w:type="dxa"/>
            <w:vAlign w:val="bottom"/>
          </w:tcPr>
          <w:p>
            <w:pPr>
              <w:ind w:left="660"/>
              <w:spacing w:after="0"/>
              <w:rPr>
                <w:sz w:val="20"/>
                <w:szCs w:val="20"/>
                <w:color w:val="auto"/>
              </w:rPr>
            </w:pPr>
            <w:r>
              <w:rPr>
                <w:rFonts w:ascii="Arial" w:cs="Arial" w:eastAsia="Arial" w:hAnsi="Arial"/>
                <w:sz w:val="18"/>
                <w:szCs w:val="18"/>
                <w:color w:val="auto"/>
              </w:rPr>
              <w:t>Expiration Date:</w:t>
            </w:r>
          </w:p>
        </w:tc>
        <w:tc>
          <w:tcPr>
            <w:tcW w:w="7600" w:type="dxa"/>
            <w:vAlign w:val="bottom"/>
            <w:gridSpan w:val="2"/>
          </w:tcPr>
          <w:p>
            <w:pPr>
              <w:ind w:left="640"/>
              <w:spacing w:after="0"/>
              <w:rPr>
                <w:sz w:val="20"/>
                <w:szCs w:val="20"/>
                <w:color w:val="auto"/>
              </w:rPr>
            </w:pPr>
            <w:r>
              <w:rPr>
                <w:rFonts w:ascii="Arial" w:cs="Arial" w:eastAsia="Arial" w:hAnsi="Arial"/>
                <w:sz w:val="18"/>
                <w:szCs w:val="18"/>
                <w:color w:val="auto"/>
                <w:w w:val="94"/>
              </w:rPr>
              <w:t>The earlier of (i) seven (7) years from the Date of Grant and (ii) the termination of the Merger</w:t>
            </w:r>
          </w:p>
        </w:tc>
      </w:tr>
      <w:tr>
        <w:trPr>
          <w:trHeight w:val="230"/>
        </w:trPr>
        <w:tc>
          <w:tcPr>
            <w:tcW w:w="3640" w:type="dxa"/>
            <w:vAlign w:val="bottom"/>
          </w:tcPr>
          <w:p>
            <w:pPr>
              <w:spacing w:after="0"/>
              <w:rPr>
                <w:sz w:val="20"/>
                <w:szCs w:val="20"/>
                <w:color w:val="auto"/>
              </w:rPr>
            </w:pPr>
          </w:p>
        </w:tc>
        <w:tc>
          <w:tcPr>
            <w:tcW w:w="7600" w:type="dxa"/>
            <w:vAlign w:val="bottom"/>
            <w:gridSpan w:val="2"/>
          </w:tcPr>
          <w:p>
            <w:pPr>
              <w:ind w:left="640"/>
              <w:spacing w:after="0"/>
              <w:rPr>
                <w:sz w:val="20"/>
                <w:szCs w:val="20"/>
                <w:color w:val="auto"/>
              </w:rPr>
            </w:pPr>
            <w:r>
              <w:rPr>
                <w:rFonts w:ascii="Arial" w:cs="Arial" w:eastAsia="Arial" w:hAnsi="Arial"/>
                <w:sz w:val="18"/>
                <w:szCs w:val="18"/>
                <w:color w:val="auto"/>
              </w:rPr>
              <w:t>Agreement (as defined below) prior to Closing (as defined in the Merger Agreement).</w:t>
            </w:r>
          </w:p>
        </w:tc>
      </w:tr>
      <w:tr>
        <w:trPr>
          <w:trHeight w:val="418"/>
        </w:trPr>
        <w:tc>
          <w:tcPr>
            <w:tcW w:w="3640" w:type="dxa"/>
            <w:vAlign w:val="bottom"/>
          </w:tcPr>
          <w:p>
            <w:pPr>
              <w:ind w:left="660"/>
              <w:spacing w:after="0"/>
              <w:rPr>
                <w:sz w:val="20"/>
                <w:szCs w:val="20"/>
                <w:color w:val="auto"/>
              </w:rPr>
            </w:pPr>
            <w:r>
              <w:rPr>
                <w:rFonts w:ascii="Arial" w:cs="Arial" w:eastAsia="Arial" w:hAnsi="Arial"/>
                <w:sz w:val="18"/>
                <w:szCs w:val="18"/>
                <w:color w:val="auto"/>
              </w:rPr>
              <w:t>Vesting:</w:t>
            </w:r>
          </w:p>
        </w:tc>
        <w:tc>
          <w:tcPr>
            <w:tcW w:w="7600" w:type="dxa"/>
            <w:vAlign w:val="bottom"/>
            <w:gridSpan w:val="2"/>
          </w:tcPr>
          <w:p>
            <w:pPr>
              <w:ind w:left="640"/>
              <w:spacing w:after="0"/>
              <w:rPr>
                <w:sz w:val="20"/>
                <w:szCs w:val="20"/>
                <w:color w:val="auto"/>
              </w:rPr>
            </w:pPr>
            <w:r>
              <w:rPr>
                <w:rFonts w:ascii="Arial" w:cs="Arial" w:eastAsia="Arial" w:hAnsi="Arial"/>
                <w:sz w:val="18"/>
                <w:szCs w:val="18"/>
                <w:color w:val="auto"/>
                <w:w w:val="90"/>
              </w:rPr>
              <w:t>[To vest, the Service-Based Requirement and the Liquidity Event Requirement must be satisfied</w:t>
            </w:r>
          </w:p>
        </w:tc>
      </w:tr>
      <w:tr>
        <w:trPr>
          <w:trHeight w:val="216"/>
        </w:trPr>
        <w:tc>
          <w:tcPr>
            <w:tcW w:w="3640" w:type="dxa"/>
            <w:vAlign w:val="bottom"/>
          </w:tcPr>
          <w:p>
            <w:pPr>
              <w:spacing w:after="0"/>
              <w:rPr>
                <w:sz w:val="18"/>
                <w:szCs w:val="18"/>
                <w:color w:val="auto"/>
              </w:rPr>
            </w:pPr>
          </w:p>
        </w:tc>
        <w:tc>
          <w:tcPr>
            <w:tcW w:w="7600" w:type="dxa"/>
            <w:vAlign w:val="bottom"/>
            <w:gridSpan w:val="2"/>
          </w:tcPr>
          <w:p>
            <w:pPr>
              <w:ind w:left="640"/>
              <w:spacing w:after="0"/>
              <w:rPr>
                <w:sz w:val="20"/>
                <w:szCs w:val="20"/>
                <w:color w:val="auto"/>
              </w:rPr>
            </w:pPr>
            <w:r>
              <w:rPr>
                <w:rFonts w:ascii="Arial" w:cs="Arial" w:eastAsia="Arial" w:hAnsi="Arial"/>
                <w:sz w:val="18"/>
                <w:szCs w:val="18"/>
                <w:color w:val="auto"/>
                <w:w w:val="92"/>
              </w:rPr>
              <w:t>prior to the Expiration Date, in each case, subject to the Participant’s Continuous Service as of</w:t>
            </w:r>
          </w:p>
        </w:tc>
      </w:tr>
      <w:tr>
        <w:trPr>
          <w:trHeight w:val="230"/>
        </w:trPr>
        <w:tc>
          <w:tcPr>
            <w:tcW w:w="3640" w:type="dxa"/>
            <w:vAlign w:val="bottom"/>
          </w:tcPr>
          <w:p>
            <w:pPr>
              <w:spacing w:after="0"/>
              <w:rPr>
                <w:sz w:val="20"/>
                <w:szCs w:val="20"/>
                <w:color w:val="auto"/>
              </w:rPr>
            </w:pPr>
          </w:p>
        </w:tc>
        <w:tc>
          <w:tcPr>
            <w:tcW w:w="7600" w:type="dxa"/>
            <w:vAlign w:val="bottom"/>
            <w:gridSpan w:val="2"/>
          </w:tcPr>
          <w:p>
            <w:pPr>
              <w:ind w:left="640"/>
              <w:spacing w:after="0"/>
              <w:rPr>
                <w:sz w:val="20"/>
                <w:szCs w:val="20"/>
                <w:color w:val="auto"/>
              </w:rPr>
            </w:pPr>
            <w:r>
              <w:rPr>
                <w:rFonts w:ascii="Arial" w:cs="Arial" w:eastAsia="Arial" w:hAnsi="Arial"/>
                <w:sz w:val="18"/>
                <w:szCs w:val="18"/>
                <w:color w:val="auto"/>
              </w:rPr>
              <w:t>the date each such requirement is satisfied, as set forth below.]</w:t>
            </w:r>
          </w:p>
        </w:tc>
      </w:tr>
      <w:tr>
        <w:trPr>
          <w:trHeight w:val="418"/>
        </w:trPr>
        <w:tc>
          <w:tcPr>
            <w:tcW w:w="3640" w:type="dxa"/>
            <w:vAlign w:val="bottom"/>
          </w:tcPr>
          <w:p>
            <w:pPr>
              <w:ind w:left="660"/>
              <w:spacing w:after="0"/>
              <w:rPr>
                <w:sz w:val="20"/>
                <w:szCs w:val="20"/>
                <w:color w:val="auto"/>
              </w:rPr>
            </w:pPr>
            <w:r>
              <w:rPr>
                <w:rFonts w:ascii="Arial" w:cs="Arial" w:eastAsia="Arial" w:hAnsi="Arial"/>
                <w:sz w:val="18"/>
                <w:szCs w:val="18"/>
                <w:color w:val="auto"/>
              </w:rPr>
              <w:t>[Service-Based Requirement:</w:t>
            </w:r>
          </w:p>
        </w:tc>
        <w:tc>
          <w:tcPr>
            <w:tcW w:w="7600" w:type="dxa"/>
            <w:vAlign w:val="bottom"/>
            <w:gridSpan w:val="2"/>
          </w:tcPr>
          <w:p>
            <w:pPr>
              <w:ind w:left="640"/>
              <w:spacing w:after="0"/>
              <w:rPr>
                <w:sz w:val="20"/>
                <w:szCs w:val="20"/>
                <w:color w:val="auto"/>
              </w:rPr>
            </w:pPr>
            <w:r>
              <w:rPr>
                <w:rFonts w:ascii="Arial" w:cs="Arial" w:eastAsia="Arial" w:hAnsi="Arial"/>
                <w:sz w:val="18"/>
                <w:szCs w:val="18"/>
                <w:color w:val="auto"/>
                <w:w w:val="95"/>
              </w:rPr>
              <w:t>The Service-Based Requirement will be satisfied in four equal annual installments (rounded</w:t>
            </w:r>
          </w:p>
        </w:tc>
      </w:tr>
      <w:tr>
        <w:trPr>
          <w:trHeight w:val="216"/>
        </w:trPr>
        <w:tc>
          <w:tcPr>
            <w:tcW w:w="3640" w:type="dxa"/>
            <w:vAlign w:val="bottom"/>
          </w:tcPr>
          <w:p>
            <w:pPr>
              <w:spacing w:after="0"/>
              <w:rPr>
                <w:sz w:val="18"/>
                <w:szCs w:val="18"/>
                <w:color w:val="auto"/>
              </w:rPr>
            </w:pPr>
          </w:p>
        </w:tc>
        <w:tc>
          <w:tcPr>
            <w:tcW w:w="7600" w:type="dxa"/>
            <w:vAlign w:val="bottom"/>
            <w:gridSpan w:val="2"/>
          </w:tcPr>
          <w:p>
            <w:pPr>
              <w:ind w:left="640"/>
              <w:spacing w:after="0"/>
              <w:rPr>
                <w:sz w:val="20"/>
                <w:szCs w:val="20"/>
                <w:color w:val="auto"/>
              </w:rPr>
            </w:pPr>
            <w:r>
              <w:rPr>
                <w:rFonts w:ascii="Arial" w:cs="Arial" w:eastAsia="Arial" w:hAnsi="Arial"/>
                <w:sz w:val="18"/>
                <w:szCs w:val="18"/>
                <w:color w:val="auto"/>
                <w:w w:val="95"/>
              </w:rPr>
              <w:t>down to the nearest whole RSU, except for the last installment where the previous fractions</w:t>
            </w:r>
          </w:p>
        </w:tc>
      </w:tr>
      <w:tr>
        <w:trPr>
          <w:trHeight w:val="216"/>
        </w:trPr>
        <w:tc>
          <w:tcPr>
            <w:tcW w:w="3640" w:type="dxa"/>
            <w:vAlign w:val="bottom"/>
          </w:tcPr>
          <w:p>
            <w:pPr>
              <w:spacing w:after="0"/>
              <w:rPr>
                <w:sz w:val="18"/>
                <w:szCs w:val="18"/>
                <w:color w:val="auto"/>
              </w:rPr>
            </w:pPr>
          </w:p>
        </w:tc>
        <w:tc>
          <w:tcPr>
            <w:tcW w:w="7600" w:type="dxa"/>
            <w:vAlign w:val="bottom"/>
            <w:gridSpan w:val="2"/>
          </w:tcPr>
          <w:p>
            <w:pPr>
              <w:ind w:left="640"/>
              <w:spacing w:after="0"/>
              <w:rPr>
                <w:sz w:val="20"/>
                <w:szCs w:val="20"/>
                <w:color w:val="auto"/>
              </w:rPr>
            </w:pPr>
            <w:r>
              <w:rPr>
                <w:rFonts w:ascii="Arial" w:cs="Arial" w:eastAsia="Arial" w:hAnsi="Arial"/>
                <w:sz w:val="18"/>
                <w:szCs w:val="18"/>
                <w:color w:val="auto"/>
                <w:w w:val="95"/>
              </w:rPr>
              <w:t>shall vest), commencing on the first anniversary of the Vesting Start Date and continuing on</w:t>
            </w:r>
          </w:p>
        </w:tc>
      </w:tr>
      <w:tr>
        <w:trPr>
          <w:trHeight w:val="216"/>
        </w:trPr>
        <w:tc>
          <w:tcPr>
            <w:tcW w:w="3640" w:type="dxa"/>
            <w:vAlign w:val="bottom"/>
          </w:tcPr>
          <w:p>
            <w:pPr>
              <w:spacing w:after="0"/>
              <w:rPr>
                <w:sz w:val="18"/>
                <w:szCs w:val="18"/>
                <w:color w:val="auto"/>
              </w:rPr>
            </w:pPr>
          </w:p>
        </w:tc>
        <w:tc>
          <w:tcPr>
            <w:tcW w:w="7600" w:type="dxa"/>
            <w:vAlign w:val="bottom"/>
            <w:gridSpan w:val="2"/>
          </w:tcPr>
          <w:p>
            <w:pPr>
              <w:ind w:left="640"/>
              <w:spacing w:after="0"/>
              <w:rPr>
                <w:sz w:val="20"/>
                <w:szCs w:val="20"/>
                <w:color w:val="auto"/>
              </w:rPr>
            </w:pPr>
            <w:r>
              <w:rPr>
                <w:rFonts w:ascii="Arial" w:cs="Arial" w:eastAsia="Arial" w:hAnsi="Arial"/>
                <w:sz w:val="18"/>
                <w:szCs w:val="18"/>
                <w:color w:val="auto"/>
              </w:rPr>
              <w:t>each of the next three anniversaries thereafter, provided that the Participant remains in</w:t>
            </w:r>
          </w:p>
        </w:tc>
      </w:tr>
      <w:tr>
        <w:trPr>
          <w:trHeight w:val="230"/>
        </w:trPr>
        <w:tc>
          <w:tcPr>
            <w:tcW w:w="3640" w:type="dxa"/>
            <w:vAlign w:val="bottom"/>
          </w:tcPr>
          <w:p>
            <w:pPr>
              <w:spacing w:after="0"/>
              <w:rPr>
                <w:sz w:val="20"/>
                <w:szCs w:val="20"/>
                <w:color w:val="auto"/>
              </w:rPr>
            </w:pPr>
          </w:p>
        </w:tc>
        <w:tc>
          <w:tcPr>
            <w:tcW w:w="7600" w:type="dxa"/>
            <w:vAlign w:val="bottom"/>
            <w:gridSpan w:val="2"/>
          </w:tcPr>
          <w:p>
            <w:pPr>
              <w:ind w:left="640"/>
              <w:spacing w:after="0"/>
              <w:rPr>
                <w:sz w:val="20"/>
                <w:szCs w:val="20"/>
                <w:color w:val="auto"/>
              </w:rPr>
            </w:pPr>
            <w:r>
              <w:rPr>
                <w:rFonts w:ascii="Arial" w:cs="Arial" w:eastAsia="Arial" w:hAnsi="Arial"/>
                <w:sz w:val="18"/>
                <w:szCs w:val="18"/>
                <w:color w:val="auto"/>
              </w:rPr>
              <w:t>Continuous Service through each such date.]</w:t>
            </w:r>
          </w:p>
        </w:tc>
      </w:tr>
      <w:tr>
        <w:trPr>
          <w:trHeight w:val="702"/>
        </w:trPr>
        <w:tc>
          <w:tcPr>
            <w:tcW w:w="36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15" w:name="page216"/>
    <w:bookmarkEnd w:id="2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ind w:left="660"/>
              <w:spacing w:after="0"/>
              <w:rPr>
                <w:sz w:val="20"/>
                <w:szCs w:val="20"/>
                <w:color w:val="auto"/>
              </w:rPr>
            </w:pPr>
            <w:r>
              <w:rPr>
                <w:rFonts w:ascii="Arial" w:cs="Arial" w:eastAsia="Arial" w:hAnsi="Arial"/>
                <w:sz w:val="18"/>
                <w:szCs w:val="18"/>
                <w:color w:val="auto"/>
              </w:rPr>
              <w:t>Liquidity Event Requirement:</w:t>
            </w:r>
          </w:p>
        </w:tc>
        <w:tc>
          <w:tcPr>
            <w:tcW w:w="7680" w:type="dxa"/>
            <w:vAlign w:val="bottom"/>
          </w:tcPr>
          <w:p>
            <w:pPr>
              <w:ind w:left="720"/>
              <w:spacing w:after="0"/>
              <w:rPr>
                <w:sz w:val="20"/>
                <w:szCs w:val="20"/>
                <w:color w:val="auto"/>
              </w:rPr>
            </w:pPr>
            <w:r>
              <w:rPr>
                <w:rFonts w:ascii="Arial" w:cs="Arial" w:eastAsia="Arial" w:hAnsi="Arial"/>
                <w:sz w:val="18"/>
                <w:szCs w:val="18"/>
                <w:color w:val="auto"/>
                <w:w w:val="93"/>
              </w:rPr>
              <w:t>The Liquidity Event Requirement will be satisfied (as to any then outstanding RSUs that have</w:t>
            </w:r>
          </w:p>
        </w:tc>
      </w:tr>
      <w:tr>
        <w:trPr>
          <w:trHeight w:val="216"/>
        </w:trPr>
        <w:tc>
          <w:tcPr>
            <w:tcW w:w="356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3"/>
              </w:rPr>
              <w:t>not previously been terminated pursuant to Section 2 of the Restricted Stock Unit Agreement)</w:t>
            </w:r>
          </w:p>
        </w:tc>
      </w:tr>
      <w:tr>
        <w:trPr>
          <w:trHeight w:val="216"/>
        </w:trPr>
        <w:tc>
          <w:tcPr>
            <w:tcW w:w="356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5"/>
              </w:rPr>
              <w:t>upon the consummation of the Merger as defined in the Merger Agreement (the “</w:t>
            </w:r>
            <w:r>
              <w:rPr>
                <w:rFonts w:ascii="Arial" w:cs="Arial" w:eastAsia="Arial" w:hAnsi="Arial"/>
                <w:sz w:val="18"/>
                <w:szCs w:val="18"/>
                <w:b w:val="1"/>
                <w:bCs w:val="1"/>
                <w:i w:val="1"/>
                <w:iCs w:val="1"/>
                <w:color w:val="auto"/>
                <w:w w:val="95"/>
              </w:rPr>
              <w:t>Closing</w:t>
            </w:r>
            <w:r>
              <w:rPr>
                <w:rFonts w:ascii="Arial" w:cs="Arial" w:eastAsia="Arial" w:hAnsi="Arial"/>
                <w:sz w:val="18"/>
                <w:szCs w:val="18"/>
                <w:color w:val="auto"/>
                <w:w w:val="95"/>
              </w:rPr>
              <w:t>”);</w:t>
            </w:r>
          </w:p>
        </w:tc>
      </w:tr>
      <w:tr>
        <w:trPr>
          <w:trHeight w:val="216"/>
        </w:trPr>
        <w:tc>
          <w:tcPr>
            <w:tcW w:w="356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provided that if the Merger Agreement is terminated prior to the Closing (such date of</w:t>
            </w:r>
          </w:p>
        </w:tc>
      </w:tr>
      <w:tr>
        <w:trPr>
          <w:trHeight w:val="216"/>
        </w:trPr>
        <w:tc>
          <w:tcPr>
            <w:tcW w:w="356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6"/>
              </w:rPr>
              <w:t>termination, the “</w:t>
            </w:r>
            <w:r>
              <w:rPr>
                <w:rFonts w:ascii="Arial" w:cs="Arial" w:eastAsia="Arial" w:hAnsi="Arial"/>
                <w:sz w:val="18"/>
                <w:szCs w:val="18"/>
                <w:b w:val="1"/>
                <w:bCs w:val="1"/>
                <w:i w:val="1"/>
                <w:iCs w:val="1"/>
                <w:color w:val="auto"/>
                <w:w w:val="96"/>
              </w:rPr>
              <w:t>Merger Termination Date</w:t>
            </w:r>
            <w:r>
              <w:rPr>
                <w:rFonts w:ascii="Arial" w:cs="Arial" w:eastAsia="Arial" w:hAnsi="Arial"/>
                <w:sz w:val="18"/>
                <w:szCs w:val="18"/>
                <w:color w:val="auto"/>
                <w:w w:val="96"/>
              </w:rPr>
              <w:t>”), the Liquidity Event Requirement shall not be</w:t>
            </w:r>
          </w:p>
        </w:tc>
      </w:tr>
      <w:tr>
        <w:trPr>
          <w:trHeight w:val="216"/>
        </w:trPr>
        <w:tc>
          <w:tcPr>
            <w:tcW w:w="356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2"/>
              </w:rPr>
              <w:t>satisfied and the RSUs shall immediately expire. “</w:t>
            </w:r>
            <w:r>
              <w:rPr>
                <w:rFonts w:ascii="Arial" w:cs="Arial" w:eastAsia="Arial" w:hAnsi="Arial"/>
                <w:sz w:val="18"/>
                <w:szCs w:val="18"/>
                <w:b w:val="1"/>
                <w:bCs w:val="1"/>
                <w:i w:val="1"/>
                <w:iCs w:val="1"/>
                <w:color w:val="auto"/>
                <w:w w:val="92"/>
              </w:rPr>
              <w:t>Merger Agreement</w:t>
            </w:r>
            <w:r>
              <w:rPr>
                <w:rFonts w:ascii="Arial" w:cs="Arial" w:eastAsia="Arial" w:hAnsi="Arial"/>
                <w:sz w:val="18"/>
                <w:szCs w:val="18"/>
                <w:color w:val="auto"/>
                <w:w w:val="92"/>
              </w:rPr>
              <w:t>” shall mean that certain</w:t>
            </w:r>
          </w:p>
        </w:tc>
      </w:tr>
      <w:tr>
        <w:trPr>
          <w:trHeight w:val="216"/>
        </w:trPr>
        <w:tc>
          <w:tcPr>
            <w:tcW w:w="356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9"/>
              </w:rPr>
              <w:t>Agreement and Plan of Merger (the “</w:t>
            </w:r>
            <w:r>
              <w:rPr>
                <w:rFonts w:ascii="Arial" w:cs="Arial" w:eastAsia="Arial" w:hAnsi="Arial"/>
                <w:sz w:val="18"/>
                <w:szCs w:val="18"/>
                <w:b w:val="1"/>
                <w:bCs w:val="1"/>
                <w:i w:val="1"/>
                <w:iCs w:val="1"/>
                <w:color w:val="auto"/>
                <w:w w:val="99"/>
              </w:rPr>
              <w:t>Merger Agreement</w:t>
            </w:r>
            <w:r>
              <w:rPr>
                <w:rFonts w:ascii="Arial" w:cs="Arial" w:eastAsia="Arial" w:hAnsi="Arial"/>
                <w:sz w:val="18"/>
                <w:szCs w:val="18"/>
                <w:color w:val="auto"/>
                <w:w w:val="99"/>
              </w:rPr>
              <w:t>”) by and among the Company,</w:t>
            </w:r>
          </w:p>
        </w:tc>
      </w:tr>
      <w:tr>
        <w:trPr>
          <w:trHeight w:val="216"/>
        </w:trPr>
        <w:tc>
          <w:tcPr>
            <w:tcW w:w="356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8"/>
              </w:rPr>
              <w:t>MedTech Acquisition Corporation, a Delaware corporation (“</w:t>
            </w:r>
            <w:r>
              <w:rPr>
                <w:rFonts w:ascii="Arial" w:cs="Arial" w:eastAsia="Arial" w:hAnsi="Arial"/>
                <w:sz w:val="18"/>
                <w:szCs w:val="18"/>
                <w:b w:val="1"/>
                <w:bCs w:val="1"/>
                <w:i w:val="1"/>
                <w:iCs w:val="1"/>
                <w:color w:val="auto"/>
                <w:w w:val="98"/>
              </w:rPr>
              <w:t>MTAC</w:t>
            </w:r>
            <w:r>
              <w:rPr>
                <w:rFonts w:ascii="Arial" w:cs="Arial" w:eastAsia="Arial" w:hAnsi="Arial"/>
                <w:sz w:val="18"/>
                <w:szCs w:val="18"/>
                <w:color w:val="auto"/>
                <w:w w:val="98"/>
              </w:rPr>
              <w:t>”), and MTAC Merger</w:t>
            </w:r>
          </w:p>
        </w:tc>
      </w:tr>
      <w:tr>
        <w:trPr>
          <w:trHeight w:val="216"/>
        </w:trPr>
        <w:tc>
          <w:tcPr>
            <w:tcW w:w="356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7"/>
              </w:rPr>
              <w:t>Sub, Inc., a Delaware corporation and wholly owned subsidiary of MTAC (“</w:t>
            </w:r>
            <w:r>
              <w:rPr>
                <w:rFonts w:ascii="Arial" w:cs="Arial" w:eastAsia="Arial" w:hAnsi="Arial"/>
                <w:sz w:val="18"/>
                <w:szCs w:val="18"/>
                <w:b w:val="1"/>
                <w:bCs w:val="1"/>
                <w:i w:val="1"/>
                <w:iCs w:val="1"/>
                <w:color w:val="auto"/>
                <w:w w:val="97"/>
              </w:rPr>
              <w:t>Merger Sub</w:t>
            </w:r>
            <w:r>
              <w:rPr>
                <w:rFonts w:ascii="Arial" w:cs="Arial" w:eastAsia="Arial" w:hAnsi="Arial"/>
                <w:sz w:val="18"/>
                <w:szCs w:val="18"/>
                <w:color w:val="auto"/>
                <w:w w:val="97"/>
              </w:rPr>
              <w:t>”),</w:t>
            </w:r>
          </w:p>
        </w:tc>
      </w:tr>
      <w:tr>
        <w:trPr>
          <w:trHeight w:val="216"/>
        </w:trPr>
        <w:tc>
          <w:tcPr>
            <w:tcW w:w="356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4"/>
              </w:rPr>
              <w:t>pursuant to which, subject to the satisfaction or waiver of certain conditions set forth therein,</w:t>
            </w:r>
          </w:p>
        </w:tc>
      </w:tr>
      <w:tr>
        <w:trPr>
          <w:trHeight w:val="216"/>
        </w:trPr>
        <w:tc>
          <w:tcPr>
            <w:tcW w:w="356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1"/>
              </w:rPr>
              <w:t>Merger Sub will merge with and into the Company, with the Company surviving the merger as a</w:t>
            </w:r>
          </w:p>
        </w:tc>
      </w:tr>
      <w:tr>
        <w:trPr>
          <w:trHeight w:val="216"/>
        </w:trPr>
        <w:tc>
          <w:tcPr>
            <w:tcW w:w="356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7"/>
              </w:rPr>
              <w:t>wholly owned subsidiary of MTAC (the “</w:t>
            </w:r>
            <w:r>
              <w:rPr>
                <w:rFonts w:ascii="Arial" w:cs="Arial" w:eastAsia="Arial" w:hAnsi="Arial"/>
                <w:sz w:val="18"/>
                <w:szCs w:val="18"/>
                <w:b w:val="1"/>
                <w:bCs w:val="1"/>
                <w:i w:val="1"/>
                <w:iCs w:val="1"/>
                <w:color w:val="auto"/>
                <w:w w:val="97"/>
              </w:rPr>
              <w:t>Liquidity Event</w:t>
            </w:r>
            <w:r>
              <w:rPr>
                <w:rFonts w:ascii="Arial" w:cs="Arial" w:eastAsia="Arial" w:hAnsi="Arial"/>
                <w:sz w:val="18"/>
                <w:szCs w:val="18"/>
                <w:color w:val="auto"/>
                <w:w w:val="97"/>
              </w:rPr>
              <w:t>”). [In order to satisfy the Liquidity</w:t>
            </w:r>
          </w:p>
        </w:tc>
      </w:tr>
      <w:tr>
        <w:trPr>
          <w:trHeight w:val="230"/>
        </w:trPr>
        <w:tc>
          <w:tcPr>
            <w:tcW w:w="3560" w:type="dxa"/>
            <w:vAlign w:val="bottom"/>
          </w:tcPr>
          <w:p>
            <w:pPr>
              <w:spacing w:after="0"/>
              <w:rPr>
                <w:sz w:val="20"/>
                <w:szCs w:val="20"/>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4"/>
              </w:rPr>
              <w:t>Event Requirement, the Participant must remain in Continuous Service through the Closing.]</w:t>
            </w:r>
          </w:p>
        </w:tc>
      </w:tr>
      <w:tr>
        <w:trPr>
          <w:trHeight w:val="418"/>
        </w:trPr>
        <w:tc>
          <w:tcPr>
            <w:tcW w:w="3560" w:type="dxa"/>
            <w:vAlign w:val="bottom"/>
          </w:tcPr>
          <w:p>
            <w:pPr>
              <w:ind w:left="660"/>
              <w:spacing w:after="0"/>
              <w:rPr>
                <w:sz w:val="20"/>
                <w:szCs w:val="20"/>
                <w:color w:val="auto"/>
              </w:rPr>
            </w:pPr>
            <w:r>
              <w:rPr>
                <w:rFonts w:ascii="Arial" w:cs="Arial" w:eastAsia="Arial" w:hAnsi="Arial"/>
                <w:sz w:val="18"/>
                <w:szCs w:val="18"/>
                <w:color w:val="auto"/>
              </w:rPr>
              <w:t>Settlement:</w:t>
            </w:r>
          </w:p>
        </w:tc>
        <w:tc>
          <w:tcPr>
            <w:tcW w:w="7680" w:type="dxa"/>
            <w:vAlign w:val="bottom"/>
          </w:tcPr>
          <w:p>
            <w:pPr>
              <w:ind w:left="720"/>
              <w:spacing w:after="0"/>
              <w:rPr>
                <w:sz w:val="20"/>
                <w:szCs w:val="20"/>
                <w:color w:val="auto"/>
              </w:rPr>
            </w:pPr>
            <w:r>
              <w:rPr>
                <w:rFonts w:ascii="Arial" w:cs="Arial" w:eastAsia="Arial" w:hAnsi="Arial"/>
                <w:sz w:val="18"/>
                <w:szCs w:val="18"/>
                <w:color w:val="auto"/>
                <w:w w:val="91"/>
              </w:rPr>
              <w:t>Settlement of RSUs refers to the issuance of shares of Common Stock once the RSU is vested.</w:t>
            </w:r>
          </w:p>
        </w:tc>
      </w:tr>
      <w:tr>
        <w:trPr>
          <w:trHeight w:val="216"/>
        </w:trPr>
        <w:tc>
          <w:tcPr>
            <w:tcW w:w="356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2"/>
              </w:rPr>
              <w:t>If an RSU vests as a result of satisfaction of both applicable vesting requirements as described</w:t>
            </w:r>
          </w:p>
        </w:tc>
      </w:tr>
      <w:tr>
        <w:trPr>
          <w:trHeight w:val="216"/>
        </w:trPr>
        <w:tc>
          <w:tcPr>
            <w:tcW w:w="356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3"/>
              </w:rPr>
              <w:t>above, the Company will deliver one share of Common Stock for each vested RSU subject to</w:t>
            </w:r>
          </w:p>
        </w:tc>
      </w:tr>
      <w:tr>
        <w:trPr>
          <w:trHeight w:val="216"/>
        </w:trPr>
        <w:tc>
          <w:tcPr>
            <w:tcW w:w="356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this award at the time of settlement specified in Section 4 of the Restricted Stock Unit</w:t>
            </w:r>
          </w:p>
        </w:tc>
      </w:tr>
      <w:tr>
        <w:trPr>
          <w:trHeight w:val="230"/>
        </w:trPr>
        <w:tc>
          <w:tcPr>
            <w:tcW w:w="3560" w:type="dxa"/>
            <w:vAlign w:val="bottom"/>
          </w:tcPr>
          <w:p>
            <w:pPr>
              <w:spacing w:after="0"/>
              <w:rPr>
                <w:sz w:val="20"/>
                <w:szCs w:val="20"/>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Agreement.</w:t>
            </w:r>
          </w:p>
        </w:tc>
      </w:tr>
      <w:tr>
        <w:trPr>
          <w:trHeight w:val="675"/>
        </w:trPr>
        <w:tc>
          <w:tcPr>
            <w:tcW w:w="356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5" w:right="339" w:bottom="1440" w:gutter="0" w:footer="0" w:header="0"/>
        </w:sectPr>
      </w:pPr>
    </w:p>
    <w:bookmarkStart w:id="216" w:name="page217"/>
    <w:bookmarkEnd w:id="216"/>
    <w:p>
      <w:pPr>
        <w:jc w:val="both"/>
        <w:spacing w:after="0" w:line="290" w:lineRule="auto"/>
        <w:rPr>
          <w:sz w:val="20"/>
          <w:szCs w:val="20"/>
          <w:color w:val="auto"/>
        </w:rPr>
      </w:pPr>
      <w:r>
        <w:rPr>
          <w:rFonts w:ascii="Arial" w:cs="Arial" w:eastAsia="Arial" w:hAnsi="Arial"/>
          <w:sz w:val="16"/>
          <w:szCs w:val="16"/>
          <w:color w:val="auto"/>
        </w:rPr>
        <w:t>By signing below or otherwise accepting this Award in a manner acceptable to the Company, you and the Company agree that these RSUs are granted under and governed by the terms and conditions of this Notice of Restricted Stock Unit Award, the TriSalus Life Sciences, Inc. 2009 Equity Incentive Plan (as amended, the “</w:t>
      </w:r>
      <w:r>
        <w:rPr>
          <w:rFonts w:ascii="Arial" w:cs="Arial" w:eastAsia="Arial" w:hAnsi="Arial"/>
          <w:sz w:val="16"/>
          <w:szCs w:val="16"/>
          <w:b w:val="1"/>
          <w:bCs w:val="1"/>
          <w:color w:val="auto"/>
        </w:rPr>
        <w:t>Plan</w:t>
      </w:r>
      <w:r>
        <w:rPr>
          <w:rFonts w:ascii="Arial" w:cs="Arial" w:eastAsia="Arial" w:hAnsi="Arial"/>
          <w:sz w:val="16"/>
          <w:szCs w:val="16"/>
          <w:color w:val="auto"/>
        </w:rPr>
        <w:t xml:space="preserve">”) and the Restricted Stock Unit Agreement. These latter two documents are attached to, and made a part of, this Notice of Restricted Stock Unit Award. Capitalized terms not otherwise defined herein or in the Restricted Stock Unit Agreement shall have the meaning set forth in the Plan. You hereby acknowledge that the vesting of the RSUs pursuant to this Notice of Restricted Stock Unit Award is conditioned on the satisfaction [of the Service-Based Requirement and the occurrence], on or before the Expiration Date, of the Liquidity Event. You shall have no right with respect to the RSUs to the extent the Liquidity Event does not occur on or before the Expiration Date [(regardless of the extent to which the Service-Based Requirement was satisfied)]. </w:t>
      </w:r>
      <w:r>
        <w:rPr>
          <w:rFonts w:ascii="Arial" w:cs="Arial" w:eastAsia="Arial" w:hAnsi="Arial"/>
          <w:sz w:val="16"/>
          <w:szCs w:val="16"/>
          <w:b w:val="1"/>
          <w:bCs w:val="1"/>
          <w:color w:val="auto"/>
        </w:rPr>
        <w:t>Section 9 of the Restricted Stock Unit Agreement also includes important acknowledgements.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articipant</w:t>
            </w:r>
            <w:r>
              <w:rPr>
                <w:rFonts w:ascii="Arial" w:cs="Arial" w:eastAsia="Arial" w:hAnsi="Arial"/>
                <w:sz w:val="18"/>
                <w:szCs w:val="18"/>
                <w:b w:val="1"/>
                <w:bCs w:val="1"/>
                <w:color w:val="auto"/>
              </w:rPr>
              <w:t>:</w:t>
            </w:r>
          </w:p>
        </w:tc>
        <w:tc>
          <w:tcPr>
            <w:tcW w:w="5940" w:type="dxa"/>
            <w:vAlign w:val="bottom"/>
            <w:gridSpan w:val="2"/>
          </w:tcPr>
          <w:p>
            <w:pPr>
              <w:ind w:left="3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w:t>
            </w:r>
            <w:r>
              <w:rPr>
                <w:rFonts w:ascii="Arial" w:cs="Arial" w:eastAsia="Arial" w:hAnsi="Arial"/>
                <w:sz w:val="18"/>
                <w:szCs w:val="18"/>
                <w:b w:val="1"/>
                <w:bCs w:val="1"/>
                <w:color w:val="auto"/>
              </w:rPr>
              <w:t>S</w:t>
            </w:r>
            <w:r>
              <w:rPr>
                <w:rFonts w:ascii="Arial" w:cs="Arial" w:eastAsia="Arial" w:hAnsi="Arial"/>
                <w:sz w:val="12"/>
                <w:szCs w:val="12"/>
                <w:b w:val="1"/>
                <w:bCs w:val="1"/>
                <w:color w:val="auto"/>
              </w:rPr>
              <w:t>alus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r>
      <w:tr>
        <w:trPr>
          <w:trHeight w:val="648"/>
        </w:trPr>
        <w:tc>
          <w:tcPr>
            <w:tcW w:w="5300" w:type="dxa"/>
            <w:vAlign w:val="bottom"/>
          </w:tcPr>
          <w:p>
            <w:pPr>
              <w:spacing w:after="0"/>
              <w:rPr>
                <w:sz w:val="24"/>
                <w:szCs w:val="24"/>
                <w:color w:val="auto"/>
              </w:rPr>
            </w:pPr>
          </w:p>
        </w:tc>
        <w:tc>
          <w:tcPr>
            <w:tcW w:w="5940" w:type="dxa"/>
            <w:vAlign w:val="bottom"/>
            <w:gridSpan w:val="2"/>
          </w:tcPr>
          <w:p>
            <w:pPr>
              <w:ind w:left="340"/>
              <w:spacing w:after="0"/>
              <w:rPr>
                <w:sz w:val="20"/>
                <w:szCs w:val="20"/>
                <w:color w:val="auto"/>
              </w:rPr>
            </w:pPr>
            <w:r>
              <w:rPr>
                <w:rFonts w:ascii="Arial" w:cs="Arial" w:eastAsia="Arial" w:hAnsi="Arial"/>
                <w:sz w:val="18"/>
                <w:szCs w:val="18"/>
                <w:color w:val="auto"/>
              </w:rPr>
              <w:t>By:</w:t>
            </w:r>
          </w:p>
        </w:tc>
      </w:tr>
      <w:tr>
        <w:trPr>
          <w:trHeight w:val="209"/>
        </w:trPr>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Email Address:</w:t>
            </w:r>
          </w:p>
        </w:tc>
        <w:tc>
          <w:tcPr>
            <w:tcW w:w="900" w:type="dxa"/>
            <w:vAlign w:val="bottom"/>
          </w:tcPr>
          <w:p>
            <w:pPr>
              <w:ind w:left="340"/>
              <w:spacing w:after="0"/>
              <w:rPr>
                <w:sz w:val="20"/>
                <w:szCs w:val="20"/>
                <w:color w:val="auto"/>
              </w:rPr>
            </w:pPr>
            <w:r>
              <w:rPr>
                <w:rFonts w:ascii="Arial" w:cs="Arial" w:eastAsia="Arial" w:hAnsi="Arial"/>
                <w:sz w:val="18"/>
                <w:szCs w:val="18"/>
                <w:color w:val="auto"/>
              </w:rPr>
              <w:t>Title:</w:t>
            </w:r>
          </w:p>
        </w:tc>
        <w:tc>
          <w:tcPr>
            <w:tcW w:w="5040" w:type="dxa"/>
            <w:vAlign w:val="bottom"/>
            <w:tcBorders>
              <w:top w:val="single" w:sz="8" w:color="auto"/>
              <w:bottom w:val="single" w:sz="8" w:color="auto"/>
            </w:tcBorders>
          </w:tcPr>
          <w:p>
            <w:pPr>
              <w:spacing w:after="0"/>
              <w:rPr>
                <w:sz w:val="18"/>
                <w:szCs w:val="18"/>
                <w:color w:val="auto"/>
              </w:rPr>
            </w:pPr>
          </w:p>
        </w:tc>
      </w:tr>
      <w:tr>
        <w:trPr>
          <w:trHeight w:val="210"/>
        </w:trPr>
        <w:tc>
          <w:tcPr>
            <w:tcW w:w="530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504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Address for Mailing Stock Certificate (only applicable if the Company has certificated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33604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863600</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spacing w:after="0" w:line="258" w:lineRule="auto"/>
        <w:rPr>
          <w:sz w:val="20"/>
          <w:szCs w:val="20"/>
          <w:color w:val="auto"/>
        </w:rPr>
      </w:pPr>
      <w:r>
        <w:rPr>
          <w:rFonts w:ascii="Arial" w:cs="Arial" w:eastAsia="Arial" w:hAnsi="Arial"/>
          <w:sz w:val="18"/>
          <w:szCs w:val="18"/>
          <w:b w:val="1"/>
          <w:bCs w:val="1"/>
          <w:color w:val="auto"/>
        </w:rPr>
        <w:t>THE RSUS GRANTED PURSUANT TO THE NOTICE OF RESTRICTED STOCK UNIT AWARD AND THIS AGREEMENT AND THE SHARES OF COMMON STOCK ISSUABLE THEREUNDER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8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w:t>
      </w:r>
      <w:r>
        <w:rPr>
          <w:rFonts w:ascii="Arial" w:cs="Arial" w:eastAsia="Arial" w:hAnsi="Arial"/>
          <w:sz w:val="18"/>
          <w:szCs w:val="18"/>
          <w:b w:val="1"/>
          <w:bCs w:val="1"/>
          <w:color w:val="auto"/>
        </w:rPr>
        <w:t>S</w:t>
      </w:r>
      <w:r>
        <w:rPr>
          <w:rFonts w:ascii="Arial" w:cs="Arial" w:eastAsia="Arial" w:hAnsi="Arial"/>
          <w:sz w:val="12"/>
          <w:szCs w:val="12"/>
          <w:b w:val="1"/>
          <w:bCs w:val="1"/>
          <w:color w:val="auto"/>
        </w:rPr>
        <w:t>alus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2009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RESTRICTED STOCK UNITS.</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Grant</w:t>
      </w:r>
      <w:r>
        <w:rPr>
          <w:rFonts w:ascii="Arial" w:cs="Arial" w:eastAsia="Arial" w:hAnsi="Arial"/>
          <w:sz w:val="18"/>
          <w:szCs w:val="18"/>
          <w:color w:val="auto"/>
        </w:rPr>
        <w:t>. On the terms and conditions set forth in the Notice of Restricted Stock Unit Award and this Agreement, the Company grants to</w:t>
      </w:r>
      <w:r>
        <w:rPr>
          <w:rFonts w:ascii="Arial" w:cs="Arial" w:eastAsia="Arial" w:hAnsi="Arial"/>
          <w:sz w:val="18"/>
          <w:szCs w:val="18"/>
          <w:b w:val="1"/>
          <w:bCs w:val="1"/>
          <w:color w:val="auto"/>
        </w:rPr>
        <w:t xml:space="preserve"> </w:t>
      </w:r>
      <w:r>
        <w:rPr>
          <w:rFonts w:ascii="Arial" w:cs="Arial" w:eastAsia="Arial" w:hAnsi="Arial"/>
          <w:sz w:val="18"/>
          <w:szCs w:val="18"/>
          <w:color w:val="auto"/>
        </w:rPr>
        <w:t>you on the Date of Grant the number of RSUs set forth in the Notice of Restricted Stock Unit Award. Each RSU represents the right to receive one share of Common Stock on the terms and conditions set forth in this Agreement.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No payment is required for the RSUs that have been granted to you.</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Nature of Units; No Rights As a Stockholder</w:t>
      </w:r>
      <w:r>
        <w:rPr>
          <w:rFonts w:ascii="Arial" w:cs="Arial" w:eastAsia="Arial" w:hAnsi="Arial"/>
          <w:sz w:val="18"/>
          <w:szCs w:val="18"/>
          <w:color w:val="auto"/>
        </w:rPr>
        <w:t>. Your RSUs are mere bookkeeping entries and represent only the Company’s unfunded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unsecured promise to issue shares of Common Stock on a future date under specified conditions. As a holder of RSUs, you have no rights other than the rights of a general creditor of the Company. Your RSUs carry neither voting rights nor rights to cash dividends. You have no rights as a stockholder of the Company unless and until your RSUs are settled pursuant to Section 4.</w:t>
      </w:r>
    </w:p>
    <w:p>
      <w:pPr>
        <w:spacing w:after="0" w:line="180"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b w:val="1"/>
          <w:bCs w:val="1"/>
          <w:color w:val="auto"/>
        </w:rPr>
        <w:t>Stock Plan and Defined Terms</w:t>
      </w:r>
      <w:r>
        <w:rPr>
          <w:rFonts w:ascii="Arial" w:cs="Arial" w:eastAsia="Arial" w:hAnsi="Arial"/>
          <w:sz w:val="16"/>
          <w:szCs w:val="16"/>
          <w:color w:val="auto"/>
        </w:rPr>
        <w:t>. Your RSUs are granted pursuant to the Plan, a copy of which you acknowledge having received.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Plan are incorporated into this Agreement by this reference. Certain capitalized terms are defined in Section 10 of this Agreement. Capitalized terms not otherwise defined herein or in the Notice of Restricted Stock Unit Award shall have the meanings set forth in the Plan.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225" w:lineRule="exact"/>
        <w:rPr>
          <w:sz w:val="20"/>
          <w:szCs w:val="20"/>
          <w:color w:val="auto"/>
        </w:rPr>
      </w:pPr>
    </w:p>
    <w:p>
      <w:pPr>
        <w:ind w:firstLine="1296"/>
        <w:spacing w:after="0" w:line="314" w:lineRule="auto"/>
        <w:rPr>
          <w:sz w:val="20"/>
          <w:szCs w:val="20"/>
          <w:color w:val="auto"/>
        </w:rPr>
      </w:pPr>
      <w:r>
        <w:rPr>
          <w:rFonts w:ascii="Arial" w:cs="Arial" w:eastAsia="Arial" w:hAnsi="Arial"/>
          <w:sz w:val="16"/>
          <w:szCs w:val="16"/>
          <w:b w:val="1"/>
          <w:bCs w:val="1"/>
          <w:color w:val="auto"/>
        </w:rPr>
        <w:t>Generally</w:t>
      </w:r>
      <w:r>
        <w:rPr>
          <w:rFonts w:ascii="Arial" w:cs="Arial" w:eastAsia="Arial" w:hAnsi="Arial"/>
          <w:sz w:val="16"/>
          <w:szCs w:val="16"/>
          <w:color w:val="auto"/>
        </w:rPr>
        <w:t>. The RSUs vest in accordance with the vesting schedule set forth in the Notice of Restricted Stock Unit Award. You will</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a benefit with respect to an RSU only if [both the Service-Based Requirement and] the Liquidity Event Requirement are satisfied on or before the Expiration Date. [Your RSUs will not vest (in whole or in part) if only one (or if neither) of such requirements is satisfied on or before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jc w:val="both"/>
        <w:ind w:firstLine="1296"/>
        <w:spacing w:after="0" w:line="314" w:lineRule="auto"/>
        <w:rPr>
          <w:sz w:val="20"/>
          <w:szCs w:val="20"/>
          <w:color w:val="auto"/>
        </w:rPr>
      </w:pPr>
      <w:r>
        <w:rPr>
          <w:rFonts w:ascii="Arial" w:cs="Arial" w:eastAsia="Arial" w:hAnsi="Arial"/>
          <w:sz w:val="16"/>
          <w:szCs w:val="16"/>
          <w:b w:val="1"/>
          <w:bCs w:val="1"/>
          <w:color w:val="auto"/>
        </w:rPr>
        <w:t>Termination of Continuous Service</w:t>
      </w:r>
      <w:r>
        <w:rPr>
          <w:rFonts w:ascii="Arial" w:cs="Arial" w:eastAsia="Arial" w:hAnsi="Arial"/>
          <w:sz w:val="16"/>
          <w:szCs w:val="16"/>
          <w:color w:val="auto"/>
        </w:rPr>
        <w:t>. If your Continuous Service terminates for any reason, all RSUs which have not vested (i.e., which</w:t>
      </w:r>
      <w:r>
        <w:rPr>
          <w:rFonts w:ascii="Arial" w:cs="Arial" w:eastAsia="Arial" w:hAnsi="Arial"/>
          <w:sz w:val="16"/>
          <w:szCs w:val="16"/>
          <w:b w:val="1"/>
          <w:bCs w:val="1"/>
          <w:color w:val="auto"/>
        </w:rPr>
        <w:t xml:space="preserve"> </w:t>
      </w:r>
      <w:r>
        <w:rPr>
          <w:rFonts w:ascii="Arial" w:cs="Arial" w:eastAsia="Arial" w:hAnsi="Arial"/>
          <w:sz w:val="16"/>
          <w:szCs w:val="16"/>
          <w:color w:val="auto"/>
        </w:rPr>
        <w:t>have not met [both the Service-Based Requirement and] the Liquidity Event Requirement) as of the date your Continuous Service terminates shall automatically terminate and be cancelled on the date that is 30 days after your termination date (such 30-day period, the “</w:t>
      </w:r>
      <w:r>
        <w:rPr>
          <w:rFonts w:ascii="Arial" w:cs="Arial" w:eastAsia="Arial" w:hAnsi="Arial"/>
          <w:sz w:val="16"/>
          <w:szCs w:val="16"/>
          <w:b w:val="1"/>
          <w:bCs w:val="1"/>
          <w:i w:val="1"/>
          <w:iCs w:val="1"/>
          <w:color w:val="auto"/>
        </w:rPr>
        <w:t>Post-Termination Period</w:t>
      </w:r>
      <w:r>
        <w:rPr>
          <w:rFonts w:ascii="Arial" w:cs="Arial" w:eastAsia="Arial" w:hAnsi="Arial"/>
          <w:sz w:val="16"/>
          <w:szCs w:val="16"/>
          <w:color w:val="auto"/>
        </w:rPr>
        <w:t>”).</w:t>
      </w:r>
    </w:p>
    <w:p>
      <w:pPr>
        <w:spacing w:after="0" w:line="14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Expiration of RSUs</w:t>
      </w:r>
      <w:r>
        <w:rPr>
          <w:rFonts w:ascii="Arial" w:cs="Arial" w:eastAsia="Arial" w:hAnsi="Arial"/>
          <w:sz w:val="18"/>
          <w:szCs w:val="18"/>
          <w:color w:val="auto"/>
        </w:rPr>
        <w:t>. If a Liquidity Event does not occur on or before the Expiration Date set forth in the Notice of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Award, all RSUs [(regardless of whether or not, or the extent to which, the Service-Based Requirement had been satisfied as to such RSUs)] shall automatically terminate and be cancelled upon such date. Upon a termination of one or more RSUs pursuant to this Section 2, you will have no further right with respect to such RSUs or the shares of Common Stock previously allocated thereto.</w:t>
      </w:r>
    </w:p>
    <w:p>
      <w:pPr>
        <w:spacing w:after="0" w:line="18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Part-Time Employment and Leaves of Absence</w:t>
      </w:r>
      <w:r>
        <w:rPr>
          <w:rFonts w:ascii="Arial" w:cs="Arial" w:eastAsia="Arial" w:hAnsi="Arial"/>
          <w:sz w:val="18"/>
          <w:szCs w:val="18"/>
          <w:color w:val="auto"/>
        </w:rPr>
        <w:t>. [If you commence working on a part-time basis, then the Company may adjust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Service-Based Requirement set forth in the Notice of Restricted Stock Unit Award. If you go on a leave of absence, then, to the extent permitted by applicable law, the Company may adjust or suspend the Service-Based Requirement set forth in the Notice of Restricted Stock Unit Award.] Except as provided in the preceding sentence, Continuous Service shall be deemed to continue for any purpose under this Agreement while you are on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leave of absence approved by the Company in writing. Continuous Service shall be deemed to terminate when such leave ends, unless you immediately return to active work when such leave 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APPLICABLE TO RSUS.</w:t>
      </w:r>
    </w:p>
    <w:p>
      <w:pPr>
        <w:spacing w:after="0" w:line="229"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Except as otherwise provided in or pursuant to this Agreement or the Plan, these RSUs and the rights and privileges conferred hereby shall not be sold, assigned, transferred, pledged, hypothecated, or otherwise disposed of by you prior to the settlement of the RSUs. However, you may designate a third party who, in the event of your death, shall thereafter be entitled to receive any distribution of shares of Common Stock to which you were entitled at the time of your death pursuant to this Agreement by delivering a written beneficiary designation to the Company’s headquarters on the prescribed form before your death. If you deliver no such beneficiary designation or if your designated beneficiaries do not survive you, your estate will receive payments in respect of any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t>SETTLEMENT OF RSUS.</w:t>
      </w:r>
    </w:p>
    <w:p>
      <w:pPr>
        <w:spacing w:after="0" w:line="225"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Settlement Date</w:t>
      </w:r>
      <w:r>
        <w:rPr>
          <w:rFonts w:ascii="Arial" w:cs="Arial" w:eastAsia="Arial" w:hAnsi="Arial"/>
          <w:sz w:val="18"/>
          <w:szCs w:val="18"/>
          <w:color w:val="auto"/>
        </w:rPr>
        <w:t>. Upon or following a Vesting Date with respect to a particular RSU, the Company will settle the RSU by one share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for that RSU. In connection with the satisfaction of the Liquidity Event Requirement, settlement of any then service-vested RSUs will, subject to Section 2(b) below, occur 210 days after the Liquidity Event with respect to all RSUs vested on or before such settlement date (such date, the “</w:t>
      </w:r>
      <w:r>
        <w:rPr>
          <w:rFonts w:ascii="Arial" w:cs="Arial" w:eastAsia="Arial" w:hAnsi="Arial"/>
          <w:sz w:val="18"/>
          <w:szCs w:val="18"/>
          <w:b w:val="1"/>
          <w:bCs w:val="1"/>
          <w:color w:val="auto"/>
        </w:rPr>
        <w:t>Initial Settlement Date</w:t>
      </w:r>
      <w:r>
        <w:rPr>
          <w:rFonts w:ascii="Arial" w:cs="Arial" w:eastAsia="Arial" w:hAnsi="Arial"/>
          <w:sz w:val="18"/>
          <w:szCs w:val="18"/>
          <w:color w:val="auto"/>
        </w:rPr>
        <w:t>”). Any RSUs that vest after the Initial Settlement Date will be settled on or as soon as practicable after the Vesting Date applicable to the RSUs.</w:t>
      </w:r>
    </w:p>
    <w:p>
      <w:pPr>
        <w:spacing w:after="0" w:line="183"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b w:val="1"/>
          <w:bCs w:val="1"/>
          <w:color w:val="auto"/>
        </w:rPr>
        <w:t>Change in Initial Settlement Date</w:t>
      </w:r>
      <w:r>
        <w:rPr>
          <w:rFonts w:ascii="Arial" w:cs="Arial" w:eastAsia="Arial" w:hAnsi="Arial"/>
          <w:sz w:val="16"/>
          <w:szCs w:val="16"/>
          <w:color w:val="auto"/>
        </w:rPr>
        <w:t>. To the extent permitted by Code Section 409A, settlement of any RSUs described in the second</w:t>
      </w:r>
      <w:r>
        <w:rPr>
          <w:rFonts w:ascii="Arial" w:cs="Arial" w:eastAsia="Arial" w:hAnsi="Arial"/>
          <w:sz w:val="16"/>
          <w:szCs w:val="16"/>
          <w:b w:val="1"/>
          <w:bCs w:val="1"/>
          <w:color w:val="auto"/>
        </w:rPr>
        <w:t xml:space="preserve"> </w:t>
      </w:r>
      <w:r>
        <w:rPr>
          <w:rFonts w:ascii="Arial" w:cs="Arial" w:eastAsia="Arial" w:hAnsi="Arial"/>
          <w:sz w:val="16"/>
          <w:szCs w:val="16"/>
          <w:color w:val="auto"/>
        </w:rPr>
        <w:t>sentence of Section 4(a) may occur up to 30 days earlier than the Initial Settlement Date, on a later date in the same calendar year as the Initial Settlement</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Date or, if later, by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calendar month following the Initial Settlement Date. In addition, settlement of any RSUs described in such second sentence may be accelerated to the extent permitted by Treasury Regulation Sections 1.409A-3(j)(4)(vi) and (xi). Any decision made pursuant to this Subsection (b) will be made by the Company’s Board in its sole discretion, and no Participant will be permitted, directly or indirectly, to select the calendar year of settlement.</w:t>
      </w:r>
    </w:p>
    <w:p>
      <w:pPr>
        <w:spacing w:after="0" w:line="199"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Form of Delivery</w:t>
      </w:r>
      <w:r>
        <w:rPr>
          <w:rFonts w:ascii="Arial" w:cs="Arial" w:eastAsia="Arial" w:hAnsi="Arial"/>
          <w:sz w:val="18"/>
          <w:szCs w:val="18"/>
          <w:color w:val="auto"/>
        </w:rPr>
        <w:t>. The form of any delivery of shares of Common Stock (e.g., a stock certificate or electronic entry evidencing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shall be determined by the Company.</w:t>
      </w:r>
    </w:p>
    <w:p>
      <w:pPr>
        <w:spacing w:after="0" w:line="162"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6"/>
          <w:szCs w:val="16"/>
          <w:b w:val="1"/>
          <w:bCs w:val="1"/>
          <w:color w:val="auto"/>
        </w:rPr>
        <w:t>Legality of Issuance</w:t>
      </w:r>
      <w:r>
        <w:rPr>
          <w:rFonts w:ascii="Arial" w:cs="Arial" w:eastAsia="Arial" w:hAnsi="Arial"/>
          <w:sz w:val="16"/>
          <w:szCs w:val="16"/>
          <w:color w:val="auto"/>
        </w:rPr>
        <w:t>. No shares of Common Stock shall be issued to you upon settlement of these RSUs unless and until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has determined that (i) you and the Company have taken any actions required to register the shares of Common Stock under the Securities Act or to perfect an exemption from the registration requirements thereof; (ii) any applicable listing requirement of any stock exchange or other securities market on which stock is listed has been satisfied; and (iii) any other applicable provision of federal, State or foreign law has been satisfied. The Company shall have no liability to issue shares of Common Stock in respect of the RSUs unless it is able to do so in compliance with applicable law.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b w:val="1"/>
          <w:bCs w:val="1"/>
          <w:color w:val="auto"/>
        </w:rPr>
        <w:t>Withholding Taxes</w:t>
      </w:r>
      <w:r>
        <w:rPr>
          <w:rFonts w:ascii="Arial" w:cs="Arial" w:eastAsia="Arial" w:hAnsi="Arial"/>
          <w:sz w:val="17"/>
          <w:szCs w:val="17"/>
          <w:color w:val="auto"/>
        </w:rPr>
        <w:t>. No consideration will be paid to you in respect of this Award unless you have made arrangements satisfactory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your Employer for the payment of all applicable federal, State, local and foreign income and employment withholding taxes which arise in connection with the vesting and/or settlement of these RSUs (the “</w:t>
      </w:r>
      <w:r>
        <w:rPr>
          <w:rFonts w:ascii="Arial" w:cs="Arial" w:eastAsia="Arial" w:hAnsi="Arial"/>
          <w:sz w:val="17"/>
          <w:szCs w:val="17"/>
          <w:b w:val="1"/>
          <w:bCs w:val="1"/>
          <w:color w:val="auto"/>
        </w:rPr>
        <w:t>Withholding Taxes</w:t>
      </w:r>
      <w:r>
        <w:rPr>
          <w:rFonts w:ascii="Arial" w:cs="Arial" w:eastAsia="Arial" w:hAnsi="Arial"/>
          <w:sz w:val="17"/>
          <w:szCs w:val="17"/>
          <w:color w:val="auto"/>
        </w:rPr>
        <w:t>”). To the extent that you fail to make such arrangements with respect to these RSUs, then you will permanently forfeit such RSUs. At the discretion of the Company, these arrangements may include (i) withholding from other compensation or amounts that are owed to you by your Employer, (ii) payment in cash, (iii) if the Common Stock is publicly traded, payment from the proceeds of the sale of shares through a Company-approved broker, or (iv) withholding a number of shares of Common Stock that otherwise would be issued to you when the RSUs are settled. If the Withholding Taxes are satisfied pursuant to clause (iv), you will be deemed to have been issued the full number of shares subject to the RSUs and the Fair Market Value of the withheld shares, determined as of the date when taxes otherwise would have been withheld in cash, will be applied to the Withholding Taxes and such amount will be remitted to appropriate tax authorities by the Company or your Employer. You acknowledge that the responsibility for all Withholding Taxes is yours and may exceed the amount actually withheld by the Company or your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both"/>
        <w:ind w:firstLine="1296"/>
        <w:spacing w:after="0" w:line="286" w:lineRule="auto"/>
        <w:rPr>
          <w:sz w:val="20"/>
          <w:szCs w:val="20"/>
          <w:color w:val="auto"/>
        </w:rPr>
      </w:pPr>
      <w:r>
        <w:rPr>
          <w:rFonts w:ascii="Arial" w:cs="Arial" w:eastAsia="Arial" w:hAnsi="Arial"/>
          <w:sz w:val="16"/>
          <w:szCs w:val="16"/>
          <w:b w:val="1"/>
          <w:bCs w:val="1"/>
          <w:color w:val="auto"/>
        </w:rPr>
        <w:t>Section 409A</w:t>
      </w:r>
      <w:r>
        <w:rPr>
          <w:rFonts w:ascii="Arial" w:cs="Arial" w:eastAsia="Arial" w:hAnsi="Arial"/>
          <w:sz w:val="16"/>
          <w:szCs w:val="16"/>
          <w:color w:val="auto"/>
        </w:rPr>
        <w:t>. The settlement of these RSUs is intended to comply with the requirements of Code Section 409A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administered and interpreted in a manner that complies with such requirements so that this award is not subject to additional tax or interest under Code Section 409A. To the extent that any provision of this Agreement is ambiguous as to its compliance with Code Section 409A, the provision shall be read in such a manner so that all payments hereunder comply with Code Section 409A. In this regard, to the extent necessary to comply with Code Section 409A, any reference to your “termination of employment” or similar terms will mean your “separation from service” within the meaning of Code Section 409A(a)</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(2)(A)(i) (a “</w:t>
      </w:r>
      <w:r>
        <w:rPr>
          <w:rFonts w:ascii="Arial" w:cs="Arial" w:eastAsia="Arial" w:hAnsi="Arial"/>
          <w:sz w:val="18"/>
          <w:szCs w:val="18"/>
          <w:b w:val="1"/>
          <w:bCs w:val="1"/>
          <w:color w:val="auto"/>
        </w:rPr>
        <w:t>Separation</w:t>
      </w:r>
      <w:r>
        <w:rPr>
          <w:rFonts w:ascii="Arial" w:cs="Arial" w:eastAsia="Arial" w:hAnsi="Arial"/>
          <w:sz w:val="18"/>
          <w:szCs w:val="18"/>
          <w:color w:val="auto"/>
        </w:rPr>
        <w:t>”). In addition, if this Award is payable upon your Separation and you are a “specified employee” of the Company or any affiliate thereof within the meaning of Code Section 409A(a)(2)(B)(i) on the day of your Separation, then no such payment shall be made prior to the date that is the earlier of (i) six months and one day after your Separation, or (ii) your death, but only to the extent such delay is necessary so that this award is not subject to additional tax or interest under Code Section 409A. Each installment of your RSUs that vests is intended to constitute a separate payment for purposes of Code Section 409A.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APPLICABLE TO SHARES.</w:t>
      </w:r>
    </w:p>
    <w:p>
      <w:pPr>
        <w:spacing w:after="0" w:line="22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b w:val="1"/>
          <w:bCs w:val="1"/>
          <w:color w:val="auto"/>
        </w:rPr>
        <w:t>Securities Law Restrictions</w:t>
      </w:r>
      <w:r>
        <w:rPr>
          <w:rFonts w:ascii="Arial" w:cs="Arial" w:eastAsia="Arial" w:hAnsi="Arial"/>
          <w:sz w:val="16"/>
          <w:szCs w:val="16"/>
          <w:color w:val="auto"/>
        </w:rPr>
        <w:t>. Regardless of whether the offering and sale of shares of Common Stock under the Plan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under the Securities 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of Common Stock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 You (or the beneficiary or your personal representative in the event of your death or incapacity, as the case may be) shall deliver to the Company any representations or other documents or assurances as the Company may deem necessary or reasonably desirable to ensure compliance with all applicable legal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both"/>
        <w:ind w:firstLine="1296"/>
        <w:spacing w:after="0" w:line="268" w:lineRule="auto"/>
        <w:rPr>
          <w:sz w:val="20"/>
          <w:szCs w:val="20"/>
          <w:color w:val="auto"/>
        </w:rPr>
      </w:pPr>
      <w:r>
        <w:rPr>
          <w:rFonts w:ascii="Arial" w:cs="Arial" w:eastAsia="Arial" w:hAnsi="Arial"/>
          <w:sz w:val="17"/>
          <w:szCs w:val="17"/>
          <w:b w:val="1"/>
          <w:bCs w:val="1"/>
          <w:color w:val="auto"/>
        </w:rPr>
        <w:t>Market Stand-Off</w:t>
      </w:r>
      <w:r>
        <w:rPr>
          <w:rFonts w:ascii="Arial" w:cs="Arial" w:eastAsia="Arial" w:hAnsi="Arial"/>
          <w:sz w:val="17"/>
          <w:szCs w:val="17"/>
          <w:color w:val="auto"/>
        </w:rPr>
        <w:t>. In connection with any underwritten public offering by the Company of its equity securities pursuant to an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filed under the Securities Act, including the Company’s initial public offering, you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w:t>
      </w:r>
      <w:r>
        <w:rPr>
          <w:rFonts w:ascii="Arial" w:cs="Arial" w:eastAsia="Arial" w:hAnsi="Arial"/>
          <w:sz w:val="17"/>
          <w:szCs w:val="17"/>
          <w:b w:val="1"/>
          <w:bCs w:val="1"/>
          <w:color w:val="auto"/>
        </w:rPr>
        <w:t>Market Stand-Off</w:t>
      </w:r>
      <w:r>
        <w:rPr>
          <w:rFonts w:ascii="Arial" w:cs="Arial" w:eastAsia="Arial" w:hAnsi="Arial"/>
          <w:sz w:val="17"/>
          <w:szCs w:val="17"/>
          <w:color w:val="auto"/>
        </w:rPr>
        <w:t>”)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of Common Stock thereby become convertible, shall immediately be subject to the Market Stand-Off. In order to enforce the Market Stand-Off, the Company may impose stop-transfer instructions with respect to the shares of Common Stock acquired under this Agreement until the end of the applicable stand-off period. The Company’s underwriters shall be beneficiaries of the agreement set forth in this Section 6(b). This Section 6(b) shall not apply to shares of Common Stock registered in the public offering under the Securities Act.</w:t>
      </w:r>
    </w:p>
    <w:p>
      <w:pPr>
        <w:spacing w:after="0" w:line="17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Investment Intent at Grant</w:t>
      </w:r>
      <w:r>
        <w:rPr>
          <w:rFonts w:ascii="Arial" w:cs="Arial" w:eastAsia="Arial" w:hAnsi="Arial"/>
          <w:sz w:val="18"/>
          <w:szCs w:val="18"/>
          <w:color w:val="auto"/>
        </w:rPr>
        <w:t>. You represent and agree that the shares of Common Stock to be acquired upon settlement of these RSUs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acquired for investment, and not with a view to the sale or distribution thereof.</w:t>
      </w:r>
    </w:p>
    <w:p>
      <w:pPr>
        <w:spacing w:after="0" w:line="162"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6"/>
          <w:szCs w:val="16"/>
          <w:b w:val="1"/>
          <w:bCs w:val="1"/>
          <w:color w:val="auto"/>
        </w:rPr>
        <w:t>Investment Intent at Settlement</w:t>
      </w:r>
      <w:r>
        <w:rPr>
          <w:rFonts w:ascii="Arial" w:cs="Arial" w:eastAsia="Arial" w:hAnsi="Arial"/>
          <w:sz w:val="16"/>
          <w:szCs w:val="16"/>
          <w:color w:val="auto"/>
        </w:rPr>
        <w:t>. In the event that the sale of shares of Common Stock under the Plan is not registered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but an exemption is available that requires an investment representation or other representation, you shall represent and agree at the time of issuance that the shares of Common Stock being acquired upon settlement of these RSUs are being acquired for investment, and not with a view to the sale or distribution thereof, and shall make such other representations as are deemed necessary or appropriate by the Company and its counsel, including, at the time of settlement, such representations as required by Regulation S of the Securities Act (if the Company is relying on such exemption).</w:t>
      </w:r>
    </w:p>
    <w:p>
      <w:pPr>
        <w:spacing w:after="0" w:line="15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b w:val="1"/>
          <w:bCs w:val="1"/>
          <w:color w:val="auto"/>
        </w:rPr>
        <w:t>Rights of the Company</w:t>
      </w:r>
      <w:r>
        <w:rPr>
          <w:rFonts w:ascii="Arial" w:cs="Arial" w:eastAsia="Arial" w:hAnsi="Arial"/>
          <w:sz w:val="17"/>
          <w:szCs w:val="17"/>
          <w:color w:val="auto"/>
        </w:rPr>
        <w:t>. The Company shall not be required to (i) transfer on its books any shares of Common Stock that have been sold</w:t>
      </w:r>
      <w:r>
        <w:rPr>
          <w:rFonts w:ascii="Arial" w:cs="Arial" w:eastAsia="Arial" w:hAnsi="Arial"/>
          <w:sz w:val="17"/>
          <w:szCs w:val="17"/>
          <w:b w:val="1"/>
          <w:bCs w:val="1"/>
          <w:color w:val="auto"/>
        </w:rPr>
        <w:t xml:space="preserve"> </w:t>
      </w:r>
      <w:r>
        <w:rPr>
          <w:rFonts w:ascii="Arial" w:cs="Arial" w:eastAsia="Arial" w:hAnsi="Arial"/>
          <w:sz w:val="17"/>
          <w:szCs w:val="17"/>
          <w:color w:val="auto"/>
        </w:rPr>
        <w:t>or transferred in contravention of this Agreement or (ii) treat as the owner of shares of Common Stock, or otherwise to accord voting, dividend or liquidation rights to, any transferee to whom the shares of Common Stock have been transferred in contravention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ind w:left="1300"/>
        <w:spacing w:after="0"/>
        <w:rPr>
          <w:sz w:val="20"/>
          <w:szCs w:val="20"/>
          <w:color w:val="auto"/>
        </w:rPr>
      </w:pPr>
      <w:r>
        <w:rPr>
          <w:rFonts w:ascii="Arial" w:cs="Arial" w:eastAsia="Arial" w:hAnsi="Arial"/>
          <w:sz w:val="17"/>
          <w:szCs w:val="17"/>
          <w:b w:val="1"/>
          <w:bCs w:val="1"/>
          <w:color w:val="auto"/>
        </w:rPr>
        <w:t>Legends</w:t>
      </w:r>
      <w:r>
        <w:rPr>
          <w:rFonts w:ascii="Arial" w:cs="Arial" w:eastAsia="Arial" w:hAnsi="Arial"/>
          <w:sz w:val="17"/>
          <w:szCs w:val="17"/>
          <w:color w:val="auto"/>
        </w:rPr>
        <w:t>. All certificates evidencing the shares of Common Stock issued under this Agreement shall bear the following legend:</w:t>
      </w:r>
    </w:p>
    <w:p>
      <w:pPr>
        <w:spacing w:after="0" w:line="24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SHARES REPRESENTED HEREBY (AND ANY INTEREST THEREIN) MAY NOT BE SOLD, ASSIGNED, TRANSFERRED, ENCUMBERED OR IN ANY MANNER DISPOSED OF, EXCEPT IN COMPLIANCE WITH THE TERMS OF THE RESTRICTED STOCK UNIT AGREEMENT PURSUANT TO WHICH SUCH SHARES WERE ACQUIRED. THE SHARES ARE SUBJECT TO RESTRICTIONS ON TRANSFER AS SET FORTH IN SUCH RESTRICTED STOCK UNIT AGREEMENT. THE SECRETARY OF THE COMPANY WILL UPON WRITTEN REQUEST FURNISH A COPY OF SUCH RESTRICTED STOCK UNIT AGREEMENT TO THE HOLDER HEREOF WITHOUT CHARGE.”</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certificates evidencing shares of Common Stock issued under this Agreement in an unregistered transaction shall bear the following legend (and such other restrictive legends as are required or deemed advisable under the provisions of any applicable law):</w:t>
      </w:r>
    </w:p>
    <w:p>
      <w:pPr>
        <w:spacing w:after="0" w:line="170"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(THE “ACT”) OR ANY SECURITIES LAWS OF ANY U.S. STATE, AND MAY NOT BE SOLD, REOFFERED, PLEDGED, ASSIGNED, ENCUMBERED OR OTHERWISE TRANSFERRED OR DISPOSED OF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spacing w:after="0" w:line="19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Removal of Legends</w:t>
      </w:r>
      <w:r>
        <w:rPr>
          <w:rFonts w:ascii="Arial" w:cs="Arial" w:eastAsia="Arial" w:hAnsi="Arial"/>
          <w:sz w:val="18"/>
          <w:szCs w:val="18"/>
          <w:color w:val="auto"/>
        </w:rPr>
        <w:t>. If, in the opinion of the Company and its counsel, any legend placed on a stock certificate representing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issued under this Agreement is no longer required, the holder of such certificate shall be entitled to exchange such certificate for a certificate representing the same number of shares but without such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ind w:firstLine="1296"/>
        <w:spacing w:after="0" w:line="282" w:lineRule="auto"/>
        <w:rPr>
          <w:sz w:val="20"/>
          <w:szCs w:val="20"/>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Any determination by the Company and its counsel in connection with any of the matters set forth in this Section 6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conclusive and binding on you and all other persons.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OF SHARES OF COMMON STOCK.</w:t>
      </w:r>
    </w:p>
    <w:p>
      <w:pPr>
        <w:spacing w:after="0" w:line="229" w:lineRule="exact"/>
        <w:rPr>
          <w:sz w:val="20"/>
          <w:szCs w:val="20"/>
          <w:color w:val="auto"/>
        </w:rPr>
      </w:pPr>
    </w:p>
    <w:p>
      <w:pPr>
        <w:jc w:val="both"/>
        <w:ind w:firstLine="1304"/>
        <w:spacing w:after="0" w:line="254" w:lineRule="auto"/>
        <w:tabs>
          <w:tab w:leader="none" w:pos="1971"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In the event of any transaction described in Section 13(a) of the Plan, the terms of these RSUs (including, without limitation, the number and kind of shares subject to these RSUs) shall be adjusted as set forth in Section 13(a) of the Plan. In the event that the Company is a party to a merger or consolidation or in the event of a sale of all or substantially all of the Company’s stock or assets, these RSUs shall be subject to the treatment provided by the Board in its sole discretion, as provided in Section 13 of the Plan; provided, however, that any action taken must either preserve the exemption of your RSUs from Code Section 409A or comply with Code Section 409A. Any additional RSUs and any new, substituted or additional shares, cash or other property that become subject to this award as a result of any such transaction shall be subject to the same conditions and restrictions as applicable to the RSUs to which they relate.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 PROVISIONS.</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No Retention Rights</w:t>
      </w:r>
      <w:r>
        <w:rPr>
          <w:rFonts w:ascii="Arial" w:cs="Arial" w:eastAsia="Arial" w:hAnsi="Arial"/>
          <w:sz w:val="18"/>
          <w:szCs w:val="18"/>
          <w:color w:val="auto"/>
        </w:rPr>
        <w:t>. Nothing in this Agreement or in the Plan shall confer upon you the right to remain in Continuous Service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for any period of specific duration or interfere with or otherwise restrict in any way the rights of the Company (or any Subsidiary employing or retaining you) or you, which rights are hereby expressly reserved by each, to terminate your Continuous Service at any time and for any reason, with or without cause.</w:t>
      </w:r>
    </w:p>
    <w:p>
      <w:pPr>
        <w:spacing w:after="0" w:line="18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Any notice required by the terms of this Agreement shall be given in writing. It shall be deemed effective upon (i)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(ii) deposit with the United States Postal Service, by registered or certified mail, with postage and fees prepaid, (iii) deposit with Federal Express Corporation, with shipping charges prepaid or (iv) deposit with any internationally recognized express mail courier service, with shipping charges prepaid. Notice shall be addressed to the Company at its principal executive office and to you at the address that you most recently provided to the Company in accordance with this Section 8(b). In addition, to the extent required or permitted pursuant to rules established by the Company from time to time, notices may be delivered electronically.</w:t>
      </w:r>
    </w:p>
    <w:p>
      <w:pPr>
        <w:spacing w:after="0" w:line="187"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Modifications and Waivers</w:t>
      </w:r>
      <w:r>
        <w:rPr>
          <w:rFonts w:ascii="Arial" w:cs="Arial" w:eastAsia="Arial" w:hAnsi="Arial"/>
          <w:sz w:val="18"/>
          <w:szCs w:val="18"/>
          <w:color w:val="auto"/>
        </w:rPr>
        <w:t>. No provision of this Agreement shall be modified, waived or discharged unless the modification, waiver or</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discharge is agreed to in writing and signed by you and by an authorized officer of the Company (other than you).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both"/>
        <w:ind w:firstLine="1296"/>
        <w:spacing w:after="0" w:line="266" w:lineRule="auto"/>
        <w:rPr>
          <w:sz w:val="20"/>
          <w:szCs w:val="20"/>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The Notice of Restricted Stock Unit Award, this Agreement and the Plan constitute the entire understanding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you and the Company regarding the subject matter hereof. They supersede any other agreements, representations or understandings (whether oral or written and whether express or implied) that relate to the subject matter hereof.</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shall be governed by, and construed in accordance with, the laws of the State of Delaware, as such laws</w:t>
      </w:r>
      <w:r>
        <w:rPr>
          <w:rFonts w:ascii="Arial" w:cs="Arial" w:eastAsia="Arial" w:hAnsi="Arial"/>
          <w:sz w:val="18"/>
          <w:szCs w:val="18"/>
          <w:b w:val="1"/>
          <w:bCs w:val="1"/>
          <w:color w:val="auto"/>
        </w:rPr>
        <w:t xml:space="preserve"> </w:t>
      </w:r>
      <w:r>
        <w:rPr>
          <w:rFonts w:ascii="Arial" w:cs="Arial" w:eastAsia="Arial" w:hAnsi="Arial"/>
          <w:sz w:val="18"/>
          <w:szCs w:val="18"/>
          <w:color w:val="auto"/>
        </w:rPr>
        <w:t>are applied to contracts entered into and performed in such State.</w:t>
      </w:r>
    </w:p>
    <w:p>
      <w:pPr>
        <w:spacing w:after="0" w:line="162"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Whenever possible, each provision of this Agreement shall be interpreted in such manner as to be effective and valid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4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Successors and Assigns</w:t>
      </w:r>
      <w:r>
        <w:rPr>
          <w:rFonts w:ascii="Arial" w:cs="Arial" w:eastAsia="Arial" w:hAnsi="Arial"/>
          <w:sz w:val="18"/>
          <w:szCs w:val="18"/>
          <w:color w:val="auto"/>
        </w:rPr>
        <w:t>. Except as otherwise expressly provided to the contrary, the provisions of this Agreement shall inure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and be binding upon, the Company and its successors and assigns and be binding upon you and your legal representatives, heirs, legatees, distributees, assigns and transferees by operation of law, whether or not any such person has become a party to this Agreement or has agreed in writing to join herein and to be bound by the terms, conditions and restrictions 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ACKNOWLEDGEMENTS.</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In addition to the other terms, conditions and restrictions imposed on your RSUs and the shares issuable upon settlement of your RSUs pursuant to this Agreement and the Plan, you expressly acknowledge being subject to Section 6 (Restrictions Applicable to Shares, including without limitation the Market Stand-Off), as well as the following provisions:</w:t>
      </w:r>
    </w:p>
    <w:p>
      <w:pPr>
        <w:spacing w:after="0" w:line="18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b w:val="1"/>
          <w:bCs w:val="1"/>
          <w:color w:val="auto"/>
        </w:rPr>
        <w:t xml:space="preserve">Tax Consequences. </w:t>
      </w:r>
      <w:r>
        <w:rPr>
          <w:rFonts w:ascii="Arial" w:cs="Arial" w:eastAsia="Arial" w:hAnsi="Arial"/>
          <w:sz w:val="16"/>
          <w:szCs w:val="16"/>
          <w:color w:val="auto"/>
        </w:rPr>
        <w:t>You acknowledge that there will be tax consequences upon vesting and/or settlement of the RSUs and/or disposition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shares of Common Stock, if any, received hereunder, and you should consult a tax adviser regarding your tax obligations prior to such event. You acknowledge that the Company is not providing any tax, legal, or financial advice, nor is the Company making any recommendations regarding your participation in the Plan or acquisition or sale of shares subject to this Award. You are hereby advised to consult with your own personal tax, legal, and financial advisors regarding your participation in the Plan. You further acknowledge that the Company (i) makes no representations or undertakings regarding the tax treatment of the award of RSUs, including, but not limited to the grant, vesting, or settlement of the RSUs, the subsequent sale of shares acquired pursuant to such RSUs, and the receipt of any dividends; and (ii) does not commit to and is under no obligation to structure the terms of the grant of the RSUs to reduce or eliminate your tax liability or achieve any particular tax result. You agree that the Company does not have a duty to design or administer the RSUs, the Plan or its other compensation programs in a manner that minimizes your tax liability. You shall not make any claim against the Company or its Board, officers, or employees related to tax matters arising from this award or your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both"/>
        <w:ind w:firstLine="1296"/>
        <w:spacing w:after="0" w:line="274" w:lineRule="auto"/>
        <w:rPr>
          <w:sz w:val="20"/>
          <w:szCs w:val="20"/>
          <w:color w:val="auto"/>
        </w:rPr>
      </w:pPr>
      <w:r>
        <w:rPr>
          <w:rFonts w:ascii="Arial" w:cs="Arial" w:eastAsia="Arial" w:hAnsi="Arial"/>
          <w:sz w:val="17"/>
          <w:szCs w:val="17"/>
          <w:b w:val="1"/>
          <w:bCs w:val="1"/>
          <w:color w:val="auto"/>
        </w:rPr>
        <w:t xml:space="preserve">Electronic Delivery of Documents. </w:t>
      </w:r>
      <w:r>
        <w:rPr>
          <w:rFonts w:ascii="Arial" w:cs="Arial" w:eastAsia="Arial" w:hAnsi="Arial"/>
          <w:sz w:val="17"/>
          <w:szCs w:val="17"/>
          <w:color w:val="auto"/>
        </w:rPr>
        <w:t>You acknowledge and agree that the Company may, in its sole discretion, deliver all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relating the Company, the Plan or these RSUs and all other documents that the Company is required to deliver to its security holders (including, without limitation, disclosures that may be required by the Securities and Exchange Commission) by email or other means of electronic transmission (including by posting them on a website maintained by the Company or a third party under contract with the Company). You acknowledge that you may incur costs in connection with any such delivery by means of electronic transmission, including the cost of accessing the internet and printing fees, and that an interruption of internet access may interfere with his or her ability to access the documents.</w:t>
      </w:r>
    </w:p>
    <w:p>
      <w:pPr>
        <w:spacing w:after="0" w:line="173"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Plan Discretionary</w:t>
      </w:r>
      <w:r>
        <w:rPr>
          <w:rFonts w:ascii="Arial" w:cs="Arial" w:eastAsia="Arial" w:hAnsi="Arial"/>
          <w:sz w:val="18"/>
          <w:szCs w:val="18"/>
          <w:color w:val="auto"/>
        </w:rPr>
        <w:t>. You understand and acknowledge that (i) the Plan is entirely discretionary, (ii) the Company and your 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have reserved the right to amend, suspend or terminate the Plan at any time, (iii) the grant of the RSUs does not in any way create any contractual or other right to receive additional grants of RSUs (or benefits in lieu of RSUs) at any time or in any amount and (iv) all determinations with respect to any additional grants, including (without limitation) the times when RSUs will be granted, the number of shares offered, and the vesting schedule, will be at the sole discretion of the Company.</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Termination of Continuous Service</w:t>
      </w:r>
      <w:r>
        <w:rPr>
          <w:rFonts w:ascii="Arial" w:cs="Arial" w:eastAsia="Arial" w:hAnsi="Arial"/>
          <w:sz w:val="18"/>
          <w:szCs w:val="18"/>
          <w:color w:val="auto"/>
        </w:rPr>
        <w:t>. You understand and acknowledge that participation in the Plan ceases upon termination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Continuous Service for any reason, except as may explicitly be provided otherwise in the Plan or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Extraordinary Compensation</w:t>
      </w:r>
      <w:r>
        <w:rPr>
          <w:rFonts w:ascii="Arial" w:cs="Arial" w:eastAsia="Arial" w:hAnsi="Arial"/>
          <w:sz w:val="18"/>
          <w:szCs w:val="18"/>
          <w:color w:val="auto"/>
        </w:rPr>
        <w:t>. The value of your RSUs and the shares issuable thereunder shall be an extraordinary item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outside the scope of your employment contract, if any, and shall not be considered a part of your normal or expected compensation for purposes of calculating severance, resignation, redundancy or end-of-service payments, bonuses, long-service awards, pension or retirement benefits or similar payments.</w:t>
      </w:r>
    </w:p>
    <w:p>
      <w:pPr>
        <w:spacing w:after="0" w:line="180"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Authorization to Disclose</w:t>
      </w:r>
      <w:r>
        <w:rPr>
          <w:rFonts w:ascii="Arial" w:cs="Arial" w:eastAsia="Arial" w:hAnsi="Arial"/>
          <w:sz w:val="18"/>
          <w:szCs w:val="18"/>
          <w:color w:val="auto"/>
        </w:rPr>
        <w:t>. You hereby authorize and direct your employer to disclose to the Company or any Subsidiary any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regarding your employment, the nature and amount of your compensation and the fact and conditions of your participation in the Plan, as your employer deems necessary or appropriate to facilitate the 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both"/>
        <w:ind w:firstLine="1296"/>
        <w:spacing w:after="0" w:line="287" w:lineRule="auto"/>
        <w:rPr>
          <w:sz w:val="20"/>
          <w:szCs w:val="20"/>
          <w:color w:val="auto"/>
        </w:rPr>
      </w:pPr>
      <w:r>
        <w:rPr>
          <w:rFonts w:ascii="Arial" w:cs="Arial" w:eastAsia="Arial" w:hAnsi="Arial"/>
          <w:sz w:val="16"/>
          <w:szCs w:val="16"/>
          <w:b w:val="1"/>
          <w:bCs w:val="1"/>
          <w:color w:val="auto"/>
        </w:rPr>
        <w:t>Personal Data Authorization</w:t>
      </w:r>
      <w:r>
        <w:rPr>
          <w:rFonts w:ascii="Arial" w:cs="Arial" w:eastAsia="Arial" w:hAnsi="Arial"/>
          <w:sz w:val="16"/>
          <w:szCs w:val="16"/>
          <w:color w:val="auto"/>
        </w:rPr>
        <w:t>. You consent to the collection, use and transfer of personal data as described in this Subsection (g). You</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 and acknowledge that the Company, your Employer and the Company’s other Subsidiaries hold certain personal information regarding you for the purpose of managing and administering the Plan, including (without limitation) your name, home address, telephone number, date of birth, social insurance number, salary, nationality, job title, any shares or directorships held in the Company and details of all RSUs or any other entitlements to shares awarded, canceled, exercised, vested, unvested or outstanding in your favor (the “</w:t>
      </w:r>
      <w:r>
        <w:rPr>
          <w:rFonts w:ascii="Arial" w:cs="Arial" w:eastAsia="Arial" w:hAnsi="Arial"/>
          <w:sz w:val="16"/>
          <w:szCs w:val="16"/>
          <w:b w:val="1"/>
          <w:bCs w:val="1"/>
          <w:color w:val="auto"/>
        </w:rPr>
        <w:t>Data</w:t>
      </w:r>
      <w:r>
        <w:rPr>
          <w:rFonts w:ascii="Arial" w:cs="Arial" w:eastAsia="Arial" w:hAnsi="Arial"/>
          <w:sz w:val="16"/>
          <w:szCs w:val="16"/>
          <w:color w:val="auto"/>
        </w:rPr>
        <w:t>”). You further understand and acknowledge that the Company and/or its Subsidiaries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United States or elsewhere.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the Data, require any necessary modifications of Data or withdraw the consents set forth in this Subsection (g) by contacting the Company in writing.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Restricted Stock Unit Agreement.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Continuous Service</w:t>
      </w:r>
      <w:r>
        <w:rPr>
          <w:rFonts w:ascii="Arial" w:cs="Arial" w:eastAsia="Arial" w:hAnsi="Arial"/>
          <w:sz w:val="16"/>
          <w:szCs w:val="16"/>
          <w:color w:val="auto"/>
        </w:rPr>
        <w:t>” means that the Participant’s service with the Company as a Service Provider is not interrupted or terminated. A change in the capacity in which the Participant renders service to the Company or one of its Subsidiaries will not terminate a Participant’s Continuous Service, provided that there is no interruption or termination of the Participant’s Continuous Service. To the extent permitted by law, the Board or the chief executive officer of the Company, in that party’s sole discretion, may determine whether Continuous Service will be considered interrupted in the case of</w:t>
      </w:r>
    </w:p>
    <w:p>
      <w:pPr>
        <w:spacing w:after="0" w:line="2" w:lineRule="exact"/>
        <w:rPr>
          <w:sz w:val="20"/>
          <w:szCs w:val="20"/>
          <w:color w:val="auto"/>
        </w:rPr>
      </w:pPr>
    </w:p>
    <w:p>
      <w:pPr>
        <w:jc w:val="both"/>
        <w:ind w:firstLine="8"/>
        <w:spacing w:after="0" w:line="290" w:lineRule="auto"/>
        <w:tabs>
          <w:tab w:leader="none" w:pos="22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any leave of absence approved by the Company, including sick leave, military leave or an other personal leave, or (ii) transfers between the Company, one of its Subsidiaries,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form or compliance with Section 409A of the Code, the determination of whether there has been a termination of Continuous Service will be made, and such term will be construed, in a manner that is consistent with the definition of “separation from service” as defined under Treasury Regulation Section 1.409A-1(h).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Date of Grant</w:t>
      </w:r>
      <w:r>
        <w:rPr>
          <w:rFonts w:ascii="Arial" w:cs="Arial" w:eastAsia="Arial" w:hAnsi="Arial"/>
          <w:sz w:val="18"/>
          <w:szCs w:val="18"/>
          <w:color w:val="auto"/>
        </w:rPr>
        <w:t>” means the date specified in the Notice of Restricted Stock Unit Award, which date shall be the later of (i) the date on which the Board resolved to grant these RSUs or (ii) your first date of Continuous Service.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expiration date of the RSUs as set forth in the Notice of Restricted Stock Unit Award.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 Event Requirement</w:t>
      </w:r>
      <w:r>
        <w:rPr>
          <w:rFonts w:ascii="Arial" w:cs="Arial" w:eastAsia="Arial" w:hAnsi="Arial"/>
          <w:sz w:val="18"/>
          <w:szCs w:val="18"/>
          <w:color w:val="auto"/>
        </w:rPr>
        <w:t>” means the requirements as described in the Notice of Restricted Stock Unit Award.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TriSalus Life Sciences, Inc. 2009 Equity Incentive Plan, as in effect on the Date of Grant.</w:t>
      </w:r>
    </w:p>
    <w:p>
      <w:pPr>
        <w:spacing w:after="0" w:line="225"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Service-Based Requirement</w:t>
      </w:r>
      <w:r>
        <w:rPr>
          <w:rFonts w:ascii="Arial" w:cs="Arial" w:eastAsia="Arial" w:hAnsi="Arial"/>
          <w:sz w:val="18"/>
          <w:szCs w:val="18"/>
          <w:color w:val="auto"/>
        </w:rPr>
        <w:t>” means the requirement to provide Service over the period of time set forth in the Notice of Restricted Stock Unit Award.]</w:t>
      </w:r>
    </w:p>
    <w:p>
      <w:pPr>
        <w:spacing w:after="0" w:line="162"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Vesting Date</w:t>
      </w:r>
      <w:r>
        <w:rPr>
          <w:rFonts w:ascii="Arial" w:cs="Arial" w:eastAsia="Arial" w:hAnsi="Arial"/>
          <w:sz w:val="18"/>
          <w:szCs w:val="18"/>
          <w:color w:val="auto"/>
        </w:rPr>
        <w:t>” means the date that the [Service-Based Requirement and the] Liquidity Event Requirement set forth in the Notice of Restricted Stock Unit Award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w:t>
      </w:r>
      <w:r>
        <w:rPr>
          <w:rFonts w:ascii="Arial" w:cs="Arial" w:eastAsia="Arial" w:hAnsi="Arial"/>
          <w:sz w:val="18"/>
          <w:szCs w:val="18"/>
          <w:b w:val="1"/>
          <w:bCs w:val="1"/>
          <w:color w:val="auto"/>
        </w:rPr>
        <w:t>S</w:t>
      </w:r>
      <w:r>
        <w:rPr>
          <w:rFonts w:ascii="Arial" w:cs="Arial" w:eastAsia="Arial" w:hAnsi="Arial"/>
          <w:sz w:val="12"/>
          <w:szCs w:val="12"/>
          <w:b w:val="1"/>
          <w:bCs w:val="1"/>
          <w:color w:val="auto"/>
        </w:rPr>
        <w:t>alus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2023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A</w:t>
      </w:r>
      <w:r>
        <w:rPr>
          <w:rFonts w:ascii="Arial" w:cs="Arial" w:eastAsia="Arial" w:hAnsi="Arial"/>
          <w:sz w:val="12"/>
          <w:szCs w:val="12"/>
          <w:b w:val="1"/>
          <w:bCs w:val="1"/>
          <w:color w:val="auto"/>
        </w:rPr>
        <w:t>ugust</w:t>
      </w:r>
      <w:r>
        <w:rPr>
          <w:rFonts w:ascii="Arial" w:cs="Arial" w:eastAsia="Arial" w:hAnsi="Arial"/>
          <w:sz w:val="18"/>
          <w:szCs w:val="18"/>
          <w:b w:val="1"/>
          <w:bCs w:val="1"/>
          <w:color w:val="auto"/>
        </w:rPr>
        <w:t xml:space="preserve"> 10, 2023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 A</w:t>
      </w:r>
      <w:r>
        <w:rPr>
          <w:rFonts w:ascii="Arial" w:cs="Arial" w:eastAsia="Arial" w:hAnsi="Arial"/>
          <w:sz w:val="12"/>
          <w:szCs w:val="12"/>
          <w:b w:val="1"/>
          <w:bCs w:val="1"/>
          <w:color w:val="auto"/>
        </w:rPr>
        <w:t>ugust</w:t>
      </w:r>
      <w:r>
        <w:rPr>
          <w:rFonts w:ascii="Arial" w:cs="Arial" w:eastAsia="Arial" w:hAnsi="Arial"/>
          <w:sz w:val="18"/>
          <w:szCs w:val="18"/>
          <w:b w:val="1"/>
          <w:bCs w:val="1"/>
          <w:color w:val="auto"/>
        </w:rPr>
        <w:t xml:space="preserve"> 8, 2023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(a)           Plan Purpose. </w:t>
      </w:r>
      <w:r>
        <w:rPr>
          <w:rFonts w:ascii="Arial" w:cs="Arial" w:eastAsia="Arial" w:hAnsi="Arial"/>
          <w:sz w:val="17"/>
          <w:szCs w:val="17"/>
          <w:color w:val="auto"/>
        </w:rPr>
        <w:t>The Company, by means of the Plan, seeks to secure and retain the services of Employees, Directors and Consultants,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(b)           Available Awards. </w:t>
      </w:r>
      <w:r>
        <w:rPr>
          <w:rFonts w:ascii="Arial" w:cs="Arial" w:eastAsia="Arial" w:hAnsi="Arial"/>
          <w:sz w:val="18"/>
          <w:szCs w:val="18"/>
          <w:color w:val="auto"/>
        </w:rPr>
        <w:t>The Plan provides for the grant of the following Awards: (i) Incentive Stock Options; (ii) Nonstatutory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(iii) SARs; (iv) Restricted Stock Awards; (v) RSU Awards; (vi) Performance Awards; and (vii) Other Awards.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(c)           Adoption Date; Effective Date. </w:t>
      </w:r>
      <w:r>
        <w:rPr>
          <w:rFonts w:ascii="Arial" w:cs="Arial" w:eastAsia="Arial" w:hAnsi="Arial"/>
          <w:sz w:val="18"/>
          <w:szCs w:val="18"/>
          <w:color w:val="auto"/>
        </w:rPr>
        <w:t>The Plan will come into existence on the Adoption Date, but no Award may be granted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w:t>
      </w:r>
      <w:r>
        <w:rPr>
          <w:rFonts w:ascii="Arial" w:cs="Arial" w:eastAsia="Arial" w:hAnsi="Arial"/>
          <w:sz w:val="12"/>
          <w:szCs w:val="12"/>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color w:val="auto"/>
        </w:rPr>
        <w:t xml:space="preserve">(a)           Share Reserve. </w:t>
      </w:r>
      <w:r>
        <w:rPr>
          <w:rFonts w:ascii="Arial" w:cs="Arial" w:eastAsia="Arial" w:hAnsi="Arial"/>
          <w:sz w:val="16"/>
          <w:szCs w:val="16"/>
          <w:color w:val="auto"/>
        </w:rPr>
        <w:t>Subject to adjustment in accordance with Section 2(c) and any adjustments as necessary to implement any Capitalization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Adjustments, the aggregate number of shares of Common Stock that may be issued pursuant to Awards will not exceed 5,585,008 shares of Common Stock (equal to twelve percent (12%) of the Fully Diluted Common Stock determined as of immediately after the Effective Time). In addition, subject to any adjustments as necessary to implement any Capitalization Adjustments, such aggregate number of shares of Common Stock will automatically increase on January 1 of each year for a period of ten years commencing on January 1, 2024 and ending on (and including) January 1, 2033, in an amount equal to five percent (5%) of the total number of shares of the Fully Diluted Common Stock determined as of the day prior to such increase; provided, however that the Board may act prior to January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a given year to provide that the increase for such year will be a lesser number of shares of Common Stock.</w:t>
      </w:r>
    </w:p>
    <w:p>
      <w:pPr>
        <w:spacing w:after="0" w:line="3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(b)           Aggregate Incentive Stock Option Limit. </w:t>
      </w:r>
      <w:r>
        <w:rPr>
          <w:rFonts w:ascii="Arial" w:cs="Arial" w:eastAsia="Arial" w:hAnsi="Arial"/>
          <w:sz w:val="18"/>
          <w:szCs w:val="18"/>
          <w:color w:val="auto"/>
        </w:rPr>
        <w:t>Subject to any adjustments as necessary to implement any Capitalization Adjustments,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maximum number of shares of Common Stock that may be issued pursuant to the exercise of Incentive Stock Options is 16,755,023 shares (equal to three hundred percent (300%) of the total number of shares of Common Stock initially reserved for issuance under Section 2(a)), or if lesser, the aggregate number of shares of Common Stock reserved under Section 2(a).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9" w:name="page230"/>
    <w:bookmarkEnd w:id="229"/>
    <w:p>
      <w:pPr>
        <w:ind w:left="660"/>
        <w:spacing w:after="0"/>
        <w:rPr>
          <w:sz w:val="20"/>
          <w:szCs w:val="20"/>
          <w:color w:val="auto"/>
        </w:rPr>
      </w:pPr>
      <w:r>
        <w:rPr>
          <w:rFonts w:ascii="Arial" w:cs="Arial" w:eastAsia="Arial" w:hAnsi="Arial"/>
          <w:sz w:val="18"/>
          <w:szCs w:val="18"/>
          <w:b w:val="1"/>
          <w:bCs w:val="1"/>
          <w:color w:val="auto"/>
        </w:rPr>
        <w:t>(c)           Share Reserve Operation.</w:t>
      </w:r>
    </w:p>
    <w:p>
      <w:pPr>
        <w:spacing w:after="0" w:line="22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(i)            Limit Applies to Common Stock Issued Pursuant to Awards. </w:t>
      </w:r>
      <w:r>
        <w:rPr>
          <w:rFonts w:ascii="Arial" w:cs="Arial" w:eastAsia="Arial" w:hAnsi="Arial"/>
          <w:sz w:val="18"/>
          <w:szCs w:val="18"/>
          <w:color w:val="auto"/>
        </w:rPr>
        <w:t>For clarity, the Share Reserve is a limit on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7"/>
          <w:szCs w:val="17"/>
          <w:b w:val="1"/>
          <w:bCs w:val="1"/>
          <w:color w:val="auto"/>
        </w:rPr>
        <w:t xml:space="preserve">(ii)           Actions that Do Not Constitute Issuance of Common Stock and Do Not Reduce Share Reserve. </w:t>
      </w:r>
      <w:r>
        <w:rPr>
          <w:rFonts w:ascii="Arial" w:cs="Arial" w:eastAsia="Arial" w:hAnsi="Arial"/>
          <w:sz w:val="17"/>
          <w:szCs w:val="17"/>
          <w:color w:val="auto"/>
        </w:rPr>
        <w:t>The following actions do</w:t>
      </w:r>
      <w:r>
        <w:rPr>
          <w:rFonts w:ascii="Arial" w:cs="Arial" w:eastAsia="Arial" w:hAnsi="Arial"/>
          <w:sz w:val="17"/>
          <w:szCs w:val="17"/>
          <w:b w:val="1"/>
          <w:bCs w:val="1"/>
          <w:color w:val="auto"/>
        </w:rPr>
        <w:t xml:space="preserve"> </w:t>
      </w:r>
      <w:r>
        <w:rPr>
          <w:rFonts w:ascii="Arial" w:cs="Arial" w:eastAsia="Arial" w:hAnsi="Arial"/>
          <w:sz w:val="17"/>
          <w:szCs w:val="17"/>
          <w:color w:val="auto"/>
        </w:rPr>
        <w:t>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Arial" w:cs="Arial" w:eastAsia="Arial" w:hAnsi="Arial"/>
          <w:sz w:val="17"/>
          <w:szCs w:val="17"/>
          <w:i w:val="1"/>
          <w:iCs w:val="1"/>
          <w:color w:val="auto"/>
        </w:rPr>
        <w:t>i.e.</w:t>
      </w:r>
      <w:r>
        <w:rPr>
          <w:rFonts w:ascii="Arial" w:cs="Arial" w:eastAsia="Arial" w:hAnsi="Arial"/>
          <w:sz w:val="17"/>
          <w:szCs w:val="17"/>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73"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6"/>
          <w:szCs w:val="16"/>
          <w:b w:val="1"/>
          <w:bCs w:val="1"/>
          <w:color w:val="auto"/>
        </w:rPr>
        <w:t xml:space="preserve">(iii)          Reversion of Previously Issued Shares of Common Stock to Share Reserve. </w:t>
      </w:r>
      <w:r>
        <w:rPr>
          <w:rFonts w:ascii="Arial" w:cs="Arial" w:eastAsia="Arial" w:hAnsi="Arial"/>
          <w:sz w:val="16"/>
          <w:szCs w:val="16"/>
          <w:color w:val="auto"/>
        </w:rPr>
        <w:t>The following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w:t>
      </w:r>
      <w:r>
        <w:rPr>
          <w:rFonts w:ascii="Arial" w:cs="Arial" w:eastAsia="Arial" w:hAnsi="Arial"/>
          <w:sz w:val="12"/>
          <w:szCs w:val="12"/>
          <w:b w:val="1"/>
          <w:bCs w:val="1"/>
          <w:color w:val="auto"/>
        </w:rPr>
        <w:t>ligibility and</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imitations</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(a)           Eligible Award Recipients. </w:t>
      </w:r>
      <w:r>
        <w:rPr>
          <w:rFonts w:ascii="Arial" w:cs="Arial" w:eastAsia="Arial" w:hAnsi="Arial"/>
          <w:sz w:val="17"/>
          <w:szCs w:val="17"/>
          <w:color w:val="auto"/>
        </w:rPr>
        <w:t>Subject to the terms of the Plan, Employees, Directors and Consultants are eligible to receive Awards.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Specific Award Limitations.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 xml:space="preserve">(i)            Limitations on Incentive Stock Option Recipients. </w:t>
      </w:r>
      <w:r>
        <w:rPr>
          <w:rFonts w:ascii="Arial" w:cs="Arial" w:eastAsia="Arial" w:hAnsi="Arial"/>
          <w:sz w:val="18"/>
          <w:szCs w:val="18"/>
          <w:color w:val="auto"/>
        </w:rPr>
        <w:t>Incentive Stock Options may be granted only to Employees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 “parent corporation” or “subsidiary corporation” thereof (as such terms are defined in Sections 424(e) and (f) of the Code).</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(ii)           Incentive Stock Option $100,000 Limitation. </w:t>
      </w:r>
      <w:r>
        <w:rPr>
          <w:rFonts w:ascii="Arial" w:cs="Arial" w:eastAsia="Arial" w:hAnsi="Arial"/>
          <w:sz w:val="18"/>
          <w:szCs w:val="18"/>
          <w:color w:val="auto"/>
        </w:rPr>
        <w:t>To the extent that the aggregate Fair Market Value (determined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0" w:name="page231"/>
    <w:bookmarkEnd w:id="230"/>
    <w:p>
      <w:pPr>
        <w:jc w:val="both"/>
        <w:ind w:right="20" w:firstLine="1296"/>
        <w:spacing w:after="0" w:line="289" w:lineRule="auto"/>
        <w:rPr>
          <w:sz w:val="20"/>
          <w:szCs w:val="20"/>
          <w:color w:val="auto"/>
        </w:rPr>
      </w:pPr>
      <w:r>
        <w:rPr>
          <w:rFonts w:ascii="Arial" w:cs="Arial" w:eastAsia="Arial" w:hAnsi="Arial"/>
          <w:sz w:val="17"/>
          <w:szCs w:val="17"/>
          <w:b w:val="1"/>
          <w:bCs w:val="1"/>
          <w:color w:val="auto"/>
        </w:rPr>
        <w:t xml:space="preserve">(iii)         Limitations on Incentive Stock Options Granted to Ten Percent Stockholders. </w:t>
      </w:r>
      <w:r>
        <w:rPr>
          <w:rFonts w:ascii="Arial" w:cs="Arial" w:eastAsia="Arial" w:hAnsi="Arial"/>
          <w:sz w:val="17"/>
          <w:szCs w:val="17"/>
          <w:color w:val="auto"/>
        </w:rPr>
        <w:t>A Ten Percent Stockholder may not be</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an Incentive Stock Option unless (1) the exercise price of such Option is at least 110% of the Fair Market Value of a share of Common Stock on the date of grant of such Option and (2) the Option is not exercisable after the expiration of five years from the date of grant of such Option.</w:t>
      </w:r>
    </w:p>
    <w:p>
      <w:pPr>
        <w:spacing w:after="0" w:line="158"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(iv)          Limitations on Nonstatutory Stock Options and SARs. </w:t>
      </w:r>
      <w:r>
        <w:rPr>
          <w:rFonts w:ascii="Arial" w:cs="Arial" w:eastAsia="Arial" w:hAnsi="Arial"/>
          <w:sz w:val="18"/>
          <w:szCs w:val="18"/>
          <w:color w:val="auto"/>
        </w:rPr>
        <w:t>Nonstatutory Stock Options and SARs may not be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Directors and Consultants unless the stock underlying such Awards qualifies as “service recipient stock” under Section 409A or unless such Awards otherwise comply with the requirements of Section 409A.</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(c)           Aggregate Incentive Stock Option Limit. </w:t>
      </w:r>
      <w:r>
        <w:rPr>
          <w:rFonts w:ascii="Arial" w:cs="Arial" w:eastAsia="Arial" w:hAnsi="Arial"/>
          <w:sz w:val="18"/>
          <w:szCs w:val="18"/>
          <w:color w:val="auto"/>
        </w:rPr>
        <w:t>The aggregate maximum number of shares of Common Stock that may be issued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of Incentive Stock Options is the number of shares specified in Section 2(b).</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(d)           Non-Employee Director Compensation Limit. </w:t>
      </w:r>
      <w:r>
        <w:rPr>
          <w:rFonts w:ascii="Arial" w:cs="Arial" w:eastAsia="Arial" w:hAnsi="Arial"/>
          <w:sz w:val="18"/>
          <w:szCs w:val="18"/>
          <w:color w:val="auto"/>
        </w:rPr>
        <w:t>The aggregate value of all compensation granted or paid, as applicable, to any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for service as a Non-Employee Director with respect to any period commencing on the date of the Company’s Annual Meeting of Stockholders for a particular year and ending on the day immediately prior to the date of the Company’s Annual Meeting of Stockholders for the next subsequent year (the “</w:t>
      </w:r>
      <w:r>
        <w:rPr>
          <w:rFonts w:ascii="Arial" w:cs="Arial" w:eastAsia="Arial" w:hAnsi="Arial"/>
          <w:sz w:val="18"/>
          <w:szCs w:val="18"/>
          <w:b w:val="1"/>
          <w:bCs w:val="1"/>
          <w:i w:val="1"/>
          <w:iCs w:val="1"/>
          <w:color w:val="auto"/>
        </w:rPr>
        <w:t>Annual Period</w:t>
      </w:r>
      <w:r>
        <w:rPr>
          <w:rFonts w:ascii="Arial" w:cs="Arial" w:eastAsia="Arial" w:hAnsi="Arial"/>
          <w:sz w:val="18"/>
          <w:szCs w:val="18"/>
          <w:color w:val="auto"/>
        </w:rPr>
        <w:t>”), including Awards granted and cash fees paid by the Company to such Non-Employee Director, will not exceed (1) $750,000 in total value or (2) in the event such Non-Employee Director is first appointed or elected to the Board during such Annual Period, $1,000,000 in total value, in each case, calculating the value of any equity awards based on the grant date fair value of such equity awards for financial reporting purposes. The limitations in this Section 3(d) shall apply commencing with the Annual Period that begins on the Company’s first Annual Meeting of Stockholders following the Effective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w:t>
      </w:r>
      <w:r>
        <w:rPr>
          <w:rFonts w:ascii="Arial" w:cs="Arial" w:eastAsia="Arial" w:hAnsi="Arial"/>
          <w:sz w:val="12"/>
          <w:szCs w:val="12"/>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1" w:name="page232"/>
    <w:bookmarkEnd w:id="231"/>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           Term. </w:t>
      </w:r>
      <w:r>
        <w:rPr>
          <w:rFonts w:ascii="Arial" w:cs="Arial" w:eastAsia="Arial" w:hAnsi="Arial"/>
          <w:sz w:val="18"/>
          <w:szCs w:val="18"/>
          <w:color w:val="auto"/>
        </w:rPr>
        <w:t>Subject to Section 3(b) regarding Ten Percent Stockholders, no Option or SAR will be exercisable after the expiration of ten years</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date of grant of such Award or such shorter period specified in the Award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(b)           Exercise or Strike Price. </w:t>
      </w:r>
      <w:r>
        <w:rPr>
          <w:rFonts w:ascii="Arial" w:cs="Arial" w:eastAsia="Arial" w:hAnsi="Arial"/>
          <w:sz w:val="18"/>
          <w:szCs w:val="18"/>
          <w:color w:val="auto"/>
        </w:rPr>
        <w:t>Subject to Section 3(b) regarding Ten Percent Stockholders, the exercise or strike price of each Option or SAR</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(c)           Exercise Procedure and Payment of Exercise Price for Options. </w:t>
      </w:r>
      <w:r>
        <w:rPr>
          <w:rFonts w:ascii="Arial" w:cs="Arial" w:eastAsia="Arial" w:hAnsi="Arial"/>
          <w:sz w:val="18"/>
          <w:szCs w:val="18"/>
          <w:color w:val="auto"/>
        </w:rPr>
        <w:t>In order to exercise an Option, the Participant must provide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            </w:t>
      </w:r>
      <w:r>
        <w:rPr>
          <w:rFonts w:ascii="Arial" w:cs="Arial" w:eastAsia="Arial" w:hAnsi="Arial"/>
          <w:sz w:val="18"/>
          <w:szCs w:val="18"/>
          <w:color w:val="auto"/>
        </w:rPr>
        <w:t>by cash or check, bank draft or money order payable to the Company;</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(ii)           </w:t>
      </w:r>
      <w:r>
        <w:rPr>
          <w:rFonts w:ascii="Arial" w:cs="Arial" w:eastAsia="Arial" w:hAnsi="Arial"/>
          <w:sz w:val="18"/>
          <w:szCs w:val="18"/>
          <w:color w:val="auto"/>
        </w:rPr>
        <w:t>pursuant to a “cashless exercise” program developed under Regulation T as promulgated by the Federal Reserve Board that,</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issuance of the Common Stock subject to the Option, results in either the receipt of cash (or check) by the Company or the receipt of irrevocable instructions to pay the exercise price to the Company from the sales proceeds;</w:t>
      </w:r>
    </w:p>
    <w:p>
      <w:pPr>
        <w:spacing w:after="0" w:line="17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b w:val="1"/>
          <w:bCs w:val="1"/>
          <w:color w:val="auto"/>
        </w:rPr>
        <w:t>(iii)         </w:t>
      </w:r>
      <w:r>
        <w:rPr>
          <w:rFonts w:ascii="Arial" w:cs="Arial" w:eastAsia="Arial" w:hAnsi="Arial"/>
          <w:sz w:val="18"/>
          <w:szCs w:val="18"/>
          <w:color w:val="auto"/>
        </w:rPr>
        <w:t>by delivery to the Company (either by actual delivery or attestation) of shares of Common Stock that are already owned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9"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(iv)          </w:t>
      </w:r>
      <w:r>
        <w:rPr>
          <w:rFonts w:ascii="Arial" w:cs="Arial" w:eastAsia="Arial" w:hAnsi="Arial"/>
          <w:sz w:val="17"/>
          <w:szCs w:val="17"/>
          <w:color w:val="auto"/>
        </w:rPr>
        <w:t>if the Option is a Nonstatutory Stock Option, by a “net exercise” arrangement pursuant to which the Company will reduce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2" w:name="page233"/>
    <w:bookmarkEnd w:id="232"/>
    <w:p>
      <w:pPr>
        <w:jc w:val="center"/>
        <w:ind w:right="40"/>
        <w:spacing w:after="0"/>
        <w:rPr>
          <w:sz w:val="20"/>
          <w:szCs w:val="20"/>
          <w:color w:val="auto"/>
        </w:rPr>
      </w:pPr>
      <w:r>
        <w:rPr>
          <w:rFonts w:ascii="Arial" w:cs="Arial" w:eastAsia="Arial" w:hAnsi="Arial"/>
          <w:sz w:val="18"/>
          <w:szCs w:val="18"/>
          <w:b w:val="1"/>
          <w:bCs w:val="1"/>
          <w:color w:val="auto"/>
        </w:rPr>
        <w:t>(v)            </w:t>
      </w:r>
      <w:r>
        <w:rPr>
          <w:rFonts w:ascii="Arial" w:cs="Arial" w:eastAsia="Arial" w:hAnsi="Arial"/>
          <w:sz w:val="18"/>
          <w:szCs w:val="18"/>
          <w:color w:val="auto"/>
        </w:rPr>
        <w:t>in any other form of consideration that may be acceptable to the Board and permissible under Applicable Law.</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(d)           Exercise Procedure and Payment of Appreciation Distribution for SARs. </w:t>
      </w:r>
      <w:r>
        <w:rPr>
          <w:rFonts w:ascii="Arial" w:cs="Arial" w:eastAsia="Arial" w:hAnsi="Arial"/>
          <w:sz w:val="17"/>
          <w:szCs w:val="17"/>
          <w:color w:val="auto"/>
        </w:rPr>
        <w:t>In order to exercise any SAR, the Participant must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(e)           Transferability. </w:t>
      </w:r>
      <w:r>
        <w:rPr>
          <w:rFonts w:ascii="Arial" w:cs="Arial" w:eastAsia="Arial" w:hAnsi="Arial"/>
          <w:sz w:val="18"/>
          <w:szCs w:val="18"/>
          <w:color w:val="auto"/>
        </w:rPr>
        <w:t>Options and SARs may not be transferred to third party financial institutions for value. The Board may impose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an Option is an Incentive Stock Option, such Option may be deemed to be a Nonstatutory Stock Option as a result of such transfer:</w:t>
      </w:r>
    </w:p>
    <w:p>
      <w:pPr>
        <w:spacing w:after="0" w:line="183"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6"/>
          <w:szCs w:val="16"/>
          <w:b w:val="1"/>
          <w:bCs w:val="1"/>
          <w:color w:val="auto"/>
        </w:rPr>
        <w:t xml:space="preserve">(i)            Restrictions on Transfer. </w:t>
      </w:r>
      <w:r>
        <w:rPr>
          <w:rFonts w:ascii="Arial" w:cs="Arial" w:eastAsia="Arial" w:hAnsi="Arial"/>
          <w:sz w:val="16"/>
          <w:szCs w:val="16"/>
          <w:color w:val="auto"/>
        </w:rPr>
        <w:t>An Option or SAR will not be transferable, except by will or by the laws of descent and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5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(ii)            Domestic Relations Orders. </w:t>
      </w:r>
      <w:r>
        <w:rPr>
          <w:rFonts w:ascii="Arial" w:cs="Arial" w:eastAsia="Arial" w:hAnsi="Arial"/>
          <w:sz w:val="18"/>
          <w:szCs w:val="18"/>
          <w:color w:val="auto"/>
        </w:rPr>
        <w:t>Notwithstanding the foregoing, subject to the execution of transfer documentation in a format</w:t>
      </w:r>
      <w:r>
        <w:rPr>
          <w:rFonts w:ascii="Arial" w:cs="Arial" w:eastAsia="Arial" w:hAnsi="Arial"/>
          <w:sz w:val="18"/>
          <w:szCs w:val="18"/>
          <w:b w:val="1"/>
          <w:bCs w:val="1"/>
          <w:color w:val="auto"/>
        </w:rPr>
        <w:t xml:space="preserve"> </w:t>
      </w:r>
      <w:r>
        <w:rPr>
          <w:rFonts w:ascii="Arial" w:cs="Arial" w:eastAsia="Arial" w:hAnsi="Arial"/>
          <w:sz w:val="18"/>
          <w:szCs w:val="18"/>
          <w:color w:val="auto"/>
        </w:rPr>
        <w:t>acceptable to the Company and subject to the approval of the Board or a duly authorized Officer, an Option or SAR may be transferred pursuant to a domestic relations order.</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(f)            Vesting. </w:t>
      </w:r>
      <w:r>
        <w:rPr>
          <w:rFonts w:ascii="Arial" w:cs="Arial" w:eastAsia="Arial" w:hAnsi="Arial"/>
          <w:sz w:val="18"/>
          <w:szCs w:val="18"/>
          <w:color w:val="auto"/>
        </w:rPr>
        <w:t>The Board may impose such restrictions on or conditions to the vesting and/or exercisability of an Option or SAR as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Except as otherwise provided in the Award Agreement or other written agreement between a Participant and the Company or an Affiliate, vesting of Options and SARs will cease upon termination of the Participant’s Continuous Service.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3" w:name="page234"/>
    <w:bookmarkEnd w:id="233"/>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(g)           Termination of Continuous Service for Cause. </w:t>
      </w:r>
      <w:r>
        <w:rPr>
          <w:rFonts w:ascii="Arial" w:cs="Arial" w:eastAsia="Arial" w:hAnsi="Arial"/>
          <w:sz w:val="18"/>
          <w:szCs w:val="18"/>
          <w:color w:val="auto"/>
        </w:rPr>
        <w:t>Except as explicitly otherwise provided in the Award Agreement or other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(h)           Post-Termination Exercise Period Following Termination of Continuous Service for Reasons Other than Cause. </w:t>
      </w:r>
      <w:r>
        <w:rPr>
          <w:rFonts w:ascii="Arial" w:cs="Arial" w:eastAsia="Arial" w:hAnsi="Arial"/>
          <w:sz w:val="18"/>
          <w:szCs w:val="18"/>
          <w:color w:val="auto"/>
        </w:rPr>
        <w:t>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83"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(i)            </w:t>
      </w:r>
      <w:r>
        <w:rPr>
          <w:rFonts w:ascii="Arial" w:cs="Arial" w:eastAsia="Arial" w:hAnsi="Arial"/>
          <w:sz w:val="18"/>
          <w:szCs w:val="18"/>
          <w:color w:val="auto"/>
        </w:rPr>
        <w:t>three months following the date of such termination if such termination is a termination without Cause (other than any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due to the Participant’s Disability or death);</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(ii)          </w:t>
      </w:r>
      <w:r>
        <w:rPr>
          <w:rFonts w:ascii="Arial" w:cs="Arial" w:eastAsia="Arial" w:hAnsi="Arial"/>
          <w:sz w:val="18"/>
          <w:szCs w:val="18"/>
          <w:color w:val="auto"/>
        </w:rPr>
        <w:t>12 months following the date of such termination if such termination is due to the Participant’s Disability;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(iii)         </w:t>
      </w:r>
      <w:r>
        <w:rPr>
          <w:rFonts w:ascii="Arial" w:cs="Arial" w:eastAsia="Arial" w:hAnsi="Arial"/>
          <w:sz w:val="18"/>
          <w:szCs w:val="18"/>
          <w:color w:val="auto"/>
        </w:rPr>
        <w:t>18 months following the date of such termination if such termination is due to the Participant’s death; or</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(iv)          </w:t>
      </w:r>
      <w:r>
        <w:rPr>
          <w:rFonts w:ascii="Arial" w:cs="Arial" w:eastAsia="Arial" w:hAnsi="Arial"/>
          <w:sz w:val="18"/>
          <w:szCs w:val="18"/>
          <w:color w:val="auto"/>
        </w:rPr>
        <w:t>18 months following the date of the Participant’s death if such death occurs following the date of such termination but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such Award is otherwise exercisable (as provided in (i) or (ii) above).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(i)            Restrictions on Exercise; Extension of Exercisability. </w:t>
      </w:r>
      <w:r>
        <w:rPr>
          <w:rFonts w:ascii="Arial" w:cs="Arial" w:eastAsia="Arial" w:hAnsi="Arial"/>
          <w:sz w:val="17"/>
          <w:szCs w:val="17"/>
          <w:color w:val="auto"/>
        </w:rPr>
        <w:t>A Participant may not exercise an Option or SAR at any time that the issuance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(30)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4" w:name="page235"/>
    <w:bookmarkEnd w:id="234"/>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(j)            Non-Exempt Employees. </w:t>
      </w:r>
      <w:r>
        <w:rPr>
          <w:rFonts w:ascii="Arial" w:cs="Arial" w:eastAsia="Arial" w:hAnsi="Arial"/>
          <w:sz w:val="16"/>
          <w:szCs w:val="16"/>
          <w:color w:val="auto"/>
        </w:rPr>
        <w:t>No Option or SAR, whether or not vested, granted to an Employee who is a non-exempt employee for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(k)          Whole Shares. </w:t>
      </w:r>
      <w:r>
        <w:rPr>
          <w:rFonts w:ascii="Arial" w:cs="Arial" w:eastAsia="Arial" w:hAnsi="Arial"/>
          <w:sz w:val="17"/>
          <w:szCs w:val="17"/>
          <w:color w:val="auto"/>
        </w:rPr>
        <w:t>Options and SARs may be exercised only with respect to whole shares of Common Stock or their equivalents.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w:t>
      </w:r>
      <w:r>
        <w:rPr>
          <w:rFonts w:ascii="Arial" w:cs="Arial" w:eastAsia="Arial" w:hAnsi="Arial"/>
          <w:sz w:val="12"/>
          <w:szCs w:val="12"/>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(a)           Restricted Stock Awards and RSU Awards. </w:t>
      </w:r>
      <w:r>
        <w:rPr>
          <w:rFonts w:ascii="Arial" w:cs="Arial" w:eastAsia="Arial" w:hAnsi="Arial"/>
          <w:sz w:val="17"/>
          <w:szCs w:val="17"/>
          <w:color w:val="auto"/>
        </w:rPr>
        <w:t>Each Restricted Stock Award and RSU Award will have such terms and conditions as</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             Form of Award.</w:t>
      </w:r>
    </w:p>
    <w:p>
      <w:pPr>
        <w:spacing w:after="0" w:line="225" w:lineRule="exact"/>
        <w:rPr>
          <w:sz w:val="20"/>
          <w:szCs w:val="20"/>
          <w:color w:val="auto"/>
        </w:rPr>
      </w:pPr>
    </w:p>
    <w:p>
      <w:pPr>
        <w:jc w:val="both"/>
        <w:ind w:firstLine="1944"/>
        <w:spacing w:after="0" w:line="258" w:lineRule="auto"/>
        <w:rPr>
          <w:sz w:val="20"/>
          <w:szCs w:val="20"/>
          <w:color w:val="auto"/>
        </w:rPr>
      </w:pPr>
      <w:r>
        <w:rPr>
          <w:rFonts w:ascii="Arial" w:cs="Arial" w:eastAsia="Arial" w:hAnsi="Arial"/>
          <w:sz w:val="18"/>
          <w:szCs w:val="18"/>
          <w:b w:val="1"/>
          <w:bCs w:val="1"/>
          <w:color w:val="auto"/>
        </w:rPr>
        <w:t>(1)            </w:t>
      </w:r>
      <w:r>
        <w:rPr>
          <w:rFonts w:ascii="Arial" w:cs="Arial" w:eastAsia="Arial" w:hAnsi="Arial"/>
          <w:sz w:val="18"/>
          <w:szCs w:val="18"/>
          <w:color w:val="auto"/>
        </w:rPr>
        <w:t>Restricted Stock Awards: To the extent consistent with the Company’s Bylaws, at the Board’s election,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83" w:lineRule="exact"/>
        <w:rPr>
          <w:sz w:val="20"/>
          <w:szCs w:val="20"/>
          <w:color w:val="auto"/>
        </w:rPr>
      </w:pPr>
    </w:p>
    <w:p>
      <w:pPr>
        <w:jc w:val="both"/>
        <w:ind w:firstLine="1944"/>
        <w:spacing w:after="0" w:line="294" w:lineRule="auto"/>
        <w:rPr>
          <w:sz w:val="20"/>
          <w:szCs w:val="20"/>
          <w:color w:val="auto"/>
        </w:rPr>
      </w:pPr>
      <w:r>
        <w:rPr>
          <w:rFonts w:ascii="Arial" w:cs="Arial" w:eastAsia="Arial" w:hAnsi="Arial"/>
          <w:sz w:val="16"/>
          <w:szCs w:val="16"/>
          <w:b w:val="1"/>
          <w:bCs w:val="1"/>
          <w:color w:val="auto"/>
        </w:rPr>
        <w:t>(2)            </w:t>
      </w:r>
      <w:r>
        <w:rPr>
          <w:rFonts w:ascii="Arial" w:cs="Arial" w:eastAsia="Arial" w:hAnsi="Arial"/>
          <w:sz w:val="16"/>
          <w:szCs w:val="16"/>
          <w:color w:val="auto"/>
        </w:rPr>
        <w:t>RSU Awards: An RSU Award represents a Participant’s right to be issued on a future date the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5" w:name="page236"/>
    <w:bookmarkEnd w:id="235"/>
    <w:p>
      <w:pPr>
        <w:ind w:left="1300"/>
        <w:spacing w:after="0"/>
        <w:rPr>
          <w:sz w:val="20"/>
          <w:szCs w:val="20"/>
          <w:color w:val="auto"/>
        </w:rPr>
      </w:pPr>
      <w:r>
        <w:rPr>
          <w:rFonts w:ascii="Arial" w:cs="Arial" w:eastAsia="Arial" w:hAnsi="Arial"/>
          <w:sz w:val="18"/>
          <w:szCs w:val="18"/>
          <w:b w:val="1"/>
          <w:bCs w:val="1"/>
          <w:color w:val="auto"/>
        </w:rPr>
        <w:t>(ii)           Consideration.</w:t>
      </w:r>
    </w:p>
    <w:p>
      <w:pPr>
        <w:spacing w:after="0" w:line="225" w:lineRule="exact"/>
        <w:rPr>
          <w:sz w:val="20"/>
          <w:szCs w:val="20"/>
          <w:color w:val="auto"/>
        </w:rPr>
      </w:pPr>
    </w:p>
    <w:p>
      <w:pPr>
        <w:jc w:val="both"/>
        <w:ind w:firstLine="1944"/>
        <w:spacing w:after="0" w:line="266" w:lineRule="auto"/>
        <w:rPr>
          <w:sz w:val="20"/>
          <w:szCs w:val="20"/>
          <w:color w:val="auto"/>
        </w:rPr>
      </w:pPr>
      <w:r>
        <w:rPr>
          <w:rFonts w:ascii="Arial" w:cs="Arial" w:eastAsia="Arial" w:hAnsi="Arial"/>
          <w:sz w:val="18"/>
          <w:szCs w:val="18"/>
          <w:b w:val="1"/>
          <w:bCs w:val="1"/>
          <w:color w:val="auto"/>
        </w:rPr>
        <w:t>(1)            </w:t>
      </w:r>
      <w:r>
        <w:rPr>
          <w:rFonts w:ascii="Arial" w:cs="Arial" w:eastAsia="Arial" w:hAnsi="Arial"/>
          <w:sz w:val="18"/>
          <w:szCs w:val="18"/>
          <w:color w:val="auto"/>
        </w:rPr>
        <w:t>Restricted Stock Awards: A Restricted Stock Award may be granted in consideration for (A) cash or check, bank draft</w:t>
      </w:r>
      <w:r>
        <w:rPr>
          <w:rFonts w:ascii="Arial" w:cs="Arial" w:eastAsia="Arial" w:hAnsi="Arial"/>
          <w:sz w:val="18"/>
          <w:szCs w:val="18"/>
          <w:b w:val="1"/>
          <w:bCs w:val="1"/>
          <w:color w:val="auto"/>
        </w:rPr>
        <w:t xml:space="preserve"> </w:t>
      </w:r>
      <w:r>
        <w:rPr>
          <w:rFonts w:ascii="Arial" w:cs="Arial" w:eastAsia="Arial" w:hAnsi="Arial"/>
          <w:sz w:val="18"/>
          <w:szCs w:val="18"/>
          <w:color w:val="auto"/>
        </w:rPr>
        <w:t>or money order payable to the Company, (B) past services to the Company or an Affiliate, or (C) any other form of consideration (including future services) as the Board may determine and as is permissible under Applicable Law.</w:t>
      </w:r>
    </w:p>
    <w:p>
      <w:pPr>
        <w:spacing w:after="0" w:line="176" w:lineRule="exact"/>
        <w:rPr>
          <w:sz w:val="20"/>
          <w:szCs w:val="20"/>
          <w:color w:val="auto"/>
        </w:rPr>
      </w:pPr>
    </w:p>
    <w:p>
      <w:pPr>
        <w:jc w:val="both"/>
        <w:ind w:firstLine="1944"/>
        <w:spacing w:after="0" w:line="274" w:lineRule="auto"/>
        <w:rPr>
          <w:sz w:val="20"/>
          <w:szCs w:val="20"/>
          <w:color w:val="auto"/>
        </w:rPr>
      </w:pPr>
      <w:r>
        <w:rPr>
          <w:rFonts w:ascii="Arial" w:cs="Arial" w:eastAsia="Arial" w:hAnsi="Arial"/>
          <w:sz w:val="17"/>
          <w:szCs w:val="17"/>
          <w:b w:val="1"/>
          <w:bCs w:val="1"/>
          <w:color w:val="auto"/>
        </w:rPr>
        <w:t>(2)            </w:t>
      </w:r>
      <w:r>
        <w:rPr>
          <w:rFonts w:ascii="Arial" w:cs="Arial" w:eastAsia="Arial" w:hAnsi="Arial"/>
          <w:sz w:val="17"/>
          <w:szCs w:val="17"/>
          <w:color w:val="auto"/>
        </w:rPr>
        <w:t>RSU Awards: Unless otherwise determined by the Board at the time of grant, an RSU Award will be granted in</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73"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b w:val="1"/>
          <w:bCs w:val="1"/>
          <w:color w:val="auto"/>
        </w:rPr>
        <w:t xml:space="preserve">(iii)         Vesting. </w:t>
      </w:r>
      <w:r>
        <w:rPr>
          <w:rFonts w:ascii="Arial" w:cs="Arial" w:eastAsia="Arial" w:hAnsi="Arial"/>
          <w:sz w:val="17"/>
          <w:szCs w:val="17"/>
          <w:color w:val="auto"/>
        </w:rPr>
        <w:t>The Board may impose such restrictions on or conditions to the vesting of a Restricted Stock Award or RSU Award as</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5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b w:val="1"/>
          <w:bCs w:val="1"/>
          <w:color w:val="auto"/>
        </w:rPr>
        <w:t xml:space="preserve">(iv)          Termination of Continuous Service. </w:t>
      </w:r>
      <w:r>
        <w:rPr>
          <w:rFonts w:ascii="Arial" w:cs="Arial" w:eastAsia="Arial" w:hAnsi="Arial"/>
          <w:sz w:val="17"/>
          <w:szCs w:val="17"/>
          <w:color w:val="auto"/>
        </w:rPr>
        <w:t>Except as otherwise provided in the Award Agreement or other written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a 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72"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(v)            Dividends and Dividend Equivalents. </w:t>
      </w:r>
      <w:r>
        <w:rPr>
          <w:rFonts w:ascii="Arial" w:cs="Arial" w:eastAsia="Arial" w:hAnsi="Arial"/>
          <w:sz w:val="17"/>
          <w:szCs w:val="17"/>
          <w:color w:val="auto"/>
        </w:rPr>
        <w:t>Dividends or dividend equivalents may be paid or credited, as applicable,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any shares of Common Stock subject to a Restricted Stock Award or RSU Award, as determined by the Board and specified in the Award Agreement. Except as provided in an Award Agreement, any dividends or dividend equivalents will only be paid to the Participant at the same time and pursuant to the same conditions as the underlying shares of Restricted Stock or RSUs vest or settle, as applicable.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6" w:name="page237"/>
    <w:bookmarkEnd w:id="236"/>
    <w:p>
      <w:pPr>
        <w:jc w:val="both"/>
        <w:ind w:firstLine="1296"/>
        <w:spacing w:after="0" w:line="289" w:lineRule="auto"/>
        <w:rPr>
          <w:sz w:val="20"/>
          <w:szCs w:val="20"/>
          <w:color w:val="auto"/>
        </w:rPr>
      </w:pPr>
      <w:r>
        <w:rPr>
          <w:rFonts w:ascii="Arial" w:cs="Arial" w:eastAsia="Arial" w:hAnsi="Arial"/>
          <w:sz w:val="17"/>
          <w:szCs w:val="17"/>
          <w:b w:val="1"/>
          <w:bCs w:val="1"/>
          <w:color w:val="auto"/>
        </w:rPr>
        <w:t>(vi)          Settlement of RSU Awards</w:t>
      </w:r>
      <w:r>
        <w:rPr>
          <w:rFonts w:ascii="Arial" w:cs="Arial" w:eastAsia="Arial" w:hAnsi="Arial"/>
          <w:sz w:val="17"/>
          <w:szCs w:val="17"/>
          <w:color w:val="auto"/>
        </w:rPr>
        <w:t>. An RSU Award may be settled by the issuance of shares of Common Stock or cash (or any</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5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(b)           Performance Awards</w:t>
      </w:r>
      <w:r>
        <w:rPr>
          <w:rFonts w:ascii="Arial" w:cs="Arial" w:eastAsia="Arial" w:hAnsi="Arial"/>
          <w:sz w:val="16"/>
          <w:szCs w:val="16"/>
          <w:color w:val="auto"/>
        </w:rPr>
        <w:t>. With respect to any Performance Award, the length of any Performance Period, the Performance Goals to be</w:t>
      </w:r>
      <w:r>
        <w:rPr>
          <w:rFonts w:ascii="Arial" w:cs="Arial" w:eastAsia="Arial" w:hAnsi="Arial"/>
          <w:sz w:val="16"/>
          <w:szCs w:val="16"/>
          <w:b w:val="1"/>
          <w:bCs w:val="1"/>
          <w:color w:val="auto"/>
        </w:rPr>
        <w:t xml:space="preserve"> </w:t>
      </w:r>
      <w:r>
        <w:rPr>
          <w:rFonts w:ascii="Arial" w:cs="Arial" w:eastAsia="Arial" w:hAnsi="Arial"/>
          <w:sz w:val="16"/>
          <w:szCs w:val="16"/>
          <w:color w:val="auto"/>
        </w:rPr>
        <w:t>achieved during the Performance Period, the amount, timing and form of payment of amounts earned under the Award, the other terms and conditions of such Award, and the measure of whether and to what degree such Performance Goals have been attained will be determined by the Board.</w:t>
      </w:r>
    </w:p>
    <w:p>
      <w:pPr>
        <w:spacing w:after="0" w:line="1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(c)           Other Awards</w:t>
      </w:r>
      <w:r>
        <w:rPr>
          <w:rFonts w:ascii="Arial" w:cs="Arial" w:eastAsia="Arial" w:hAnsi="Arial"/>
          <w:sz w:val="18"/>
          <w:szCs w:val="18"/>
          <w:color w:val="auto"/>
        </w:rPr>
        <w:t>. Other forms of Awards valued in whole or in part by reference to, or otherwise based on, Common Stock,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w:t>
      </w:r>
      <w:r>
        <w:rPr>
          <w:rFonts w:ascii="Arial" w:cs="Arial" w:eastAsia="Arial" w:hAnsi="Arial"/>
          <w:sz w:val="12"/>
          <w:szCs w:val="12"/>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vents</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(a)            Capitalization Adjustments</w:t>
      </w:r>
      <w:r>
        <w:rPr>
          <w:rFonts w:ascii="Arial" w:cs="Arial" w:eastAsia="Arial" w:hAnsi="Arial"/>
          <w:sz w:val="17"/>
          <w:szCs w:val="17"/>
          <w:color w:val="auto"/>
        </w:rPr>
        <w:t>. In the event of a Capitalization Adjustment, the Board shall appropriately and proportionately adjust:</w:t>
      </w:r>
    </w:p>
    <w:p>
      <w:pPr>
        <w:spacing w:after="0" w:line="39" w:lineRule="exact"/>
        <w:rPr>
          <w:sz w:val="20"/>
          <w:szCs w:val="20"/>
          <w:color w:val="auto"/>
        </w:rPr>
      </w:pPr>
    </w:p>
    <w:p>
      <w:pPr>
        <w:jc w:val="both"/>
        <w:ind w:firstLine="8"/>
        <w:spacing w:after="0" w:line="288" w:lineRule="auto"/>
        <w:tabs>
          <w:tab w:leader="none" w:pos="22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(iii) the class(es) and number of securities and exercise price, strike price or purchase price of Common Stock subject to outstanding Awards; and (iv) any Performance Goals affected by the Capitalization Adjustment.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(b)           Dissolution or Liquidation</w:t>
      </w:r>
      <w:r>
        <w:rPr>
          <w:rFonts w:ascii="Arial" w:cs="Arial" w:eastAsia="Arial" w:hAnsi="Arial"/>
          <w:sz w:val="17"/>
          <w:szCs w:val="17"/>
          <w:color w:val="auto"/>
        </w:rPr>
        <w:t>. Except as otherwise provided in the Award Agreement, in the event of a dissolution or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7" w:name="page238"/>
    <w:bookmarkEnd w:id="237"/>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           Corporate Transaction. </w:t>
      </w:r>
      <w:r>
        <w:rPr>
          <w:rFonts w:ascii="Arial" w:cs="Arial" w:eastAsia="Arial" w:hAnsi="Arial"/>
          <w:sz w:val="18"/>
          <w:szCs w:val="18"/>
          <w:color w:val="auto"/>
        </w:rPr>
        <w:t>The following provisions will apply to Awards in the event of a Corporate Transaction except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11 unless otherwise provided in the instrument evidencing the Award or any other written agreement between the Company or any Affiliate and the Participant.</w:t>
      </w:r>
    </w:p>
    <w:p>
      <w:pPr>
        <w:spacing w:after="0" w:line="17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b w:val="1"/>
          <w:bCs w:val="1"/>
          <w:color w:val="auto"/>
        </w:rPr>
        <w:t xml:space="preserve">(i)            Awards May Be Assumed. </w:t>
      </w:r>
      <w:r>
        <w:rPr>
          <w:rFonts w:ascii="Arial" w:cs="Arial" w:eastAsia="Arial" w:hAnsi="Arial"/>
          <w:sz w:val="17"/>
          <w:szCs w:val="17"/>
          <w:color w:val="auto"/>
        </w:rPr>
        <w:t>In the event of a Corporate Transaction, any surviving corporation or acquiring corporation (or the</w:t>
      </w:r>
      <w:r>
        <w:rPr>
          <w:rFonts w:ascii="Arial" w:cs="Arial" w:eastAsia="Arial" w:hAnsi="Arial"/>
          <w:sz w:val="17"/>
          <w:szCs w:val="17"/>
          <w:b w:val="1"/>
          <w:bCs w:val="1"/>
          <w:color w:val="auto"/>
        </w:rPr>
        <w:t xml:space="preserve"> </w:t>
      </w:r>
      <w:r>
        <w:rPr>
          <w:rFonts w:ascii="Arial" w:cs="Arial" w:eastAsia="Arial" w:hAnsi="Arial"/>
          <w:sz w:val="17"/>
          <w:szCs w:val="17"/>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7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b w:val="1"/>
          <w:bCs w:val="1"/>
          <w:color w:val="auto"/>
        </w:rPr>
        <w:t xml:space="preserve">(ii)           Awards Held by Current Participants. </w:t>
      </w:r>
      <w:r>
        <w:rPr>
          <w:rFonts w:ascii="Arial" w:cs="Arial" w:eastAsia="Arial" w:hAnsi="Arial"/>
          <w:sz w:val="16"/>
          <w:szCs w:val="16"/>
          <w:color w:val="auto"/>
        </w:rPr>
        <w:t>In the event of a Corporate Transaction in which the surviving corporation or acquiring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6"/>
          <w:szCs w:val="16"/>
          <w:b w:val="1"/>
          <w:bCs w:val="1"/>
          <w:i w:val="1"/>
          <w:iCs w:val="1"/>
          <w:color w:val="auto"/>
        </w:rPr>
        <w:t>Current Participants</w:t>
      </w:r>
      <w:r>
        <w:rPr>
          <w:rFonts w:ascii="Arial" w:cs="Arial" w:eastAsia="Arial" w:hAnsi="Arial"/>
          <w:sz w:val="16"/>
          <w:szCs w:val="16"/>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8" w:name="page239"/>
    <w:bookmarkEnd w:id="238"/>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(iii)         Awards Held by Persons other than Current Participants. </w:t>
      </w:r>
      <w:r>
        <w:rPr>
          <w:rFonts w:ascii="Arial" w:cs="Arial" w:eastAsia="Arial" w:hAnsi="Arial"/>
          <w:sz w:val="18"/>
          <w:szCs w:val="18"/>
          <w:color w:val="auto"/>
        </w:rPr>
        <w:t>In the event of a Corporate Transaction in which the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8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b w:val="1"/>
          <w:bCs w:val="1"/>
          <w:color w:val="auto"/>
        </w:rPr>
        <w:t xml:space="preserve">(iv)          Payment for Awards in Lieu of Exercise. </w:t>
      </w:r>
      <w:r>
        <w:rPr>
          <w:rFonts w:ascii="Arial" w:cs="Arial" w:eastAsia="Arial" w:hAnsi="Arial"/>
          <w:sz w:val="16"/>
          <w:szCs w:val="16"/>
          <w:color w:val="auto"/>
        </w:rPr>
        <w:t>Notwithstanding the foregoing, in the event an Award will terminate if not exercised</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provided that the Board may also determine that the payment to be made to the Participant with respect to such Award shall be made in the same form, at the same time and subject to the same conditions as the payments to be made to the Company shareholders in connection with the Corporate Transaction to the exempt permitted by Code Section 409A. If the amount so determined for any Award is $0, then such Award automatically shall be cancelled at the effective time for no consideration.</w:t>
      </w:r>
    </w:p>
    <w:p>
      <w:pPr>
        <w:spacing w:after="0" w:line="1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(d)            Appointment of Stockholder Representative. </w:t>
      </w:r>
      <w:r>
        <w:rPr>
          <w:rFonts w:ascii="Arial" w:cs="Arial" w:eastAsia="Arial" w:hAnsi="Arial"/>
          <w:sz w:val="18"/>
          <w:szCs w:val="18"/>
          <w:color w:val="auto"/>
        </w:rPr>
        <w:t>As a condition to the receipt of an Award under this Plan, a Participant will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8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(e)            No Restriction on Right to Undertake Transactions</w:t>
      </w:r>
      <w:r>
        <w:rPr>
          <w:rFonts w:ascii="Arial" w:cs="Arial" w:eastAsia="Arial" w:hAnsi="Arial"/>
          <w:sz w:val="16"/>
          <w:szCs w:val="16"/>
          <w:color w:val="auto"/>
        </w:rPr>
        <w:t>. The grant of any Award under the Plan and the issuance of shares pursuant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color w:val="auto"/>
        </w:rPr>
        <w:t>7.            A</w:t>
      </w:r>
      <w:r>
        <w:rPr>
          <w:rFonts w:ascii="Arial" w:cs="Arial" w:eastAsia="Arial" w:hAnsi="Arial"/>
          <w:sz w:val="12"/>
          <w:szCs w:val="12"/>
          <w:b w:val="1"/>
          <w:bCs w:val="1"/>
          <w:color w:val="auto"/>
        </w:rPr>
        <w:t>dministration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            Administration by Board. </w:t>
      </w:r>
      <w:r>
        <w:rPr>
          <w:rFonts w:ascii="Arial" w:cs="Arial" w:eastAsia="Arial" w:hAnsi="Arial"/>
          <w:sz w:val="18"/>
          <w:szCs w:val="18"/>
          <w:color w:val="auto"/>
        </w:rPr>
        <w:t>The Board will administer the Plan unless and until the Board delegates administration of the Plan to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or Committees, as provided in subsection (c) below.</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(b)            Powers of Board. </w:t>
      </w:r>
      <w:r>
        <w:rPr>
          <w:rFonts w:ascii="Arial" w:cs="Arial" w:eastAsia="Arial" w:hAnsi="Arial"/>
          <w:sz w:val="17"/>
          <w:szCs w:val="17"/>
          <w:color w:val="auto"/>
        </w:rPr>
        <w:t>The Board will have the power, subject to, and within the limitations of, the express provisions of the Plan:</w:t>
      </w:r>
    </w:p>
    <w:p>
      <w:pPr>
        <w:spacing w:after="0" w:line="237"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b w:val="1"/>
          <w:bCs w:val="1"/>
          <w:color w:val="auto"/>
        </w:rPr>
        <w:t>(i)            </w:t>
      </w:r>
      <w:r>
        <w:rPr>
          <w:rFonts w:ascii="Arial" w:cs="Arial" w:eastAsia="Arial" w:hAnsi="Arial"/>
          <w:sz w:val="16"/>
          <w:szCs w:val="16"/>
          <w:color w:val="auto"/>
        </w:rPr>
        <w:t>To determine from time to time (1) which of the persons eligible under the Plan will be granted Awards; (2) when and how each</w:t>
      </w:r>
      <w:r>
        <w:rPr>
          <w:rFonts w:ascii="Arial" w:cs="Arial" w:eastAsia="Arial" w:hAnsi="Arial"/>
          <w:sz w:val="16"/>
          <w:szCs w:val="16"/>
          <w:b w:val="1"/>
          <w:bCs w:val="1"/>
          <w:color w:val="auto"/>
        </w:rPr>
        <w:t xml:space="preserve"> </w:t>
      </w:r>
      <w:r>
        <w:rPr>
          <w:rFonts w:ascii="Arial" w:cs="Arial" w:eastAsia="Arial" w:hAnsi="Arial"/>
          <w:sz w:val="16"/>
          <w:szCs w:val="16"/>
          <w:color w:val="auto"/>
        </w:rPr>
        <w:t>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w:t>
      </w:r>
    </w:p>
    <w:p>
      <w:pPr>
        <w:spacing w:after="0" w:line="2" w:lineRule="exact"/>
        <w:rPr>
          <w:sz w:val="20"/>
          <w:szCs w:val="20"/>
          <w:color w:val="auto"/>
        </w:rPr>
      </w:pPr>
    </w:p>
    <w:p>
      <w:pPr>
        <w:jc w:val="both"/>
        <w:ind w:firstLine="8"/>
        <w:spacing w:after="0" w:line="277" w:lineRule="auto"/>
        <w:tabs>
          <w:tab w:leader="none" w:pos="269"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6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(ii)          </w:t>
      </w:r>
      <w:r>
        <w:rPr>
          <w:rFonts w:ascii="Arial" w:cs="Arial" w:eastAsia="Arial" w:hAnsi="Arial"/>
          <w:sz w:val="18"/>
          <w:szCs w:val="18"/>
          <w:color w:val="auto"/>
        </w:rPr>
        <w:t>To construe and interpret the Plan and Awards granted under it, and to establish, amend and revoke rules and regulations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(iii)         </w:t>
      </w:r>
      <w:r>
        <w:rPr>
          <w:rFonts w:ascii="Arial" w:cs="Arial" w:eastAsia="Arial" w:hAnsi="Arial"/>
          <w:sz w:val="18"/>
          <w:szCs w:val="18"/>
          <w:color w:val="auto"/>
        </w:rPr>
        <w:t>To settle all controversies regarding the Plan and Awards granted under it.</w:t>
      </w:r>
    </w:p>
    <w:p>
      <w:pPr>
        <w:spacing w:after="0" w:line="225"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7"/>
          <w:szCs w:val="17"/>
          <w:b w:val="1"/>
          <w:bCs w:val="1"/>
          <w:color w:val="auto"/>
        </w:rPr>
        <w:t>(iv)          </w:t>
      </w:r>
      <w:r>
        <w:rPr>
          <w:rFonts w:ascii="Arial" w:cs="Arial" w:eastAsia="Arial" w:hAnsi="Arial"/>
          <w:sz w:val="17"/>
          <w:szCs w:val="17"/>
          <w:color w:val="auto"/>
        </w:rPr>
        <w:t>To accelerate the time at which an Award may first be exercised or the time during which an Award or any part thereof will vest,</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provisions in the Award Agreement stating the time at which it may first be exercised or the time during which it will vest.</w:t>
      </w:r>
    </w:p>
    <w:p>
      <w:pPr>
        <w:spacing w:after="0" w:line="14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(v)           </w:t>
      </w:r>
      <w:r>
        <w:rPr>
          <w:rFonts w:ascii="Arial" w:cs="Arial" w:eastAsia="Arial" w:hAnsi="Arial"/>
          <w:sz w:val="18"/>
          <w:szCs w:val="18"/>
          <w:color w:val="auto"/>
        </w:rPr>
        <w:t>To prohibit the exercise of any Option, SAR or other exercisable Award during a period of up to thirty (30) days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8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(vi)          </w:t>
      </w:r>
      <w:r>
        <w:rPr>
          <w:rFonts w:ascii="Arial" w:cs="Arial" w:eastAsia="Arial" w:hAnsi="Arial"/>
          <w:sz w:val="18"/>
          <w:szCs w:val="18"/>
          <w:color w:val="auto"/>
        </w:rPr>
        <w:t>To suspend or terminate the Plan at any time. Suspension or termination of the Plan will not Materially Impair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any Award granted while the Plan is in effect except with the written consent of the affected Participant.</w:t>
      </w:r>
    </w:p>
    <w:p>
      <w:pPr>
        <w:spacing w:after="0" w:line="16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(vii)         </w:t>
      </w:r>
      <w:r>
        <w:rPr>
          <w:rFonts w:ascii="Arial" w:cs="Arial" w:eastAsia="Arial" w:hAnsi="Arial"/>
          <w:sz w:val="18"/>
          <w:szCs w:val="18"/>
          <w:color w:val="auto"/>
        </w:rPr>
        <w:t>To amend the Plan in any respect the Board deems necessary or advisable; provided, however</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that stockholder approval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0" w:name="page241"/>
    <w:bookmarkEnd w:id="240"/>
    <w:p>
      <w:pPr>
        <w:ind w:left="1300"/>
        <w:spacing w:after="0"/>
        <w:rPr>
          <w:sz w:val="20"/>
          <w:szCs w:val="20"/>
          <w:color w:val="auto"/>
        </w:rPr>
      </w:pPr>
      <w:r>
        <w:rPr>
          <w:rFonts w:ascii="Arial" w:cs="Arial" w:eastAsia="Arial" w:hAnsi="Arial"/>
          <w:sz w:val="18"/>
          <w:szCs w:val="18"/>
          <w:b w:val="1"/>
          <w:bCs w:val="1"/>
          <w:color w:val="auto"/>
        </w:rPr>
        <w:t>(viii)        </w:t>
      </w:r>
      <w:r>
        <w:rPr>
          <w:rFonts w:ascii="Arial" w:cs="Arial" w:eastAsia="Arial" w:hAnsi="Arial"/>
          <w:sz w:val="18"/>
          <w:szCs w:val="18"/>
          <w:color w:val="auto"/>
        </w:rPr>
        <w:t>To submit any amendment to the Plan for stockholder approval.</w:t>
      </w:r>
    </w:p>
    <w:p>
      <w:pPr>
        <w:spacing w:after="0" w:line="225"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b w:val="1"/>
          <w:bCs w:val="1"/>
          <w:color w:val="auto"/>
        </w:rPr>
        <w:t>(ix)          </w:t>
      </w:r>
      <w:r>
        <w:rPr>
          <w:rFonts w:ascii="Arial" w:cs="Arial" w:eastAsia="Arial" w:hAnsi="Arial"/>
          <w:sz w:val="16"/>
          <w:szCs w:val="16"/>
          <w:color w:val="auto"/>
        </w:rPr>
        <w:t>To approve forms of Award Agreements for use under the Plan and to amend the terms of any one or more Awards,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 Participant’s rights under any Award will not be Materially Impaired by any such amendment unless (1) the Company requests the consent of the affected Participant, and (2) such Participant consents in writing.</w:t>
      </w:r>
    </w:p>
    <w:p>
      <w:pPr>
        <w:spacing w:after="0" w:line="151"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(x)           </w:t>
      </w:r>
      <w:r>
        <w:rPr>
          <w:rFonts w:ascii="Arial" w:cs="Arial" w:eastAsia="Arial" w:hAnsi="Arial"/>
          <w:sz w:val="18"/>
          <w:szCs w:val="18"/>
          <w:color w:val="auto"/>
        </w:rPr>
        <w:t>Generally, to exercise such powers and to perform such acts as the Board deems necessary or expedient to promote the best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of the Company and that are not in conflict with the provisions of the Plan or Awards.</w:t>
      </w:r>
    </w:p>
    <w:p>
      <w:pPr>
        <w:spacing w:after="0" w:line="16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(xi)          </w:t>
      </w:r>
      <w:r>
        <w:rPr>
          <w:rFonts w:ascii="Arial" w:cs="Arial" w:eastAsia="Arial" w:hAnsi="Arial"/>
          <w:sz w:val="18"/>
          <w:szCs w:val="18"/>
          <w:color w:val="auto"/>
        </w:rPr>
        <w:t>To adopt such procedures and sub-plans as are necessary or appropriate to permit and facilitate participation in the Plan by, or</w:t>
      </w:r>
      <w:r>
        <w:rPr>
          <w:rFonts w:ascii="Arial" w:cs="Arial" w:eastAsia="Arial" w:hAnsi="Arial"/>
          <w:sz w:val="18"/>
          <w:szCs w:val="18"/>
          <w:b w:val="1"/>
          <w:bCs w:val="1"/>
          <w:color w:val="auto"/>
        </w:rPr>
        <w:t xml:space="preserve"> </w:t>
      </w:r>
      <w:r>
        <w:rPr>
          <w:rFonts w:ascii="Arial" w:cs="Arial" w:eastAsia="Arial" w:hAnsi="Arial"/>
          <w:sz w:val="18"/>
          <w:szCs w:val="18"/>
          <w:color w:val="auto"/>
        </w:rPr>
        <w:t>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8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b w:val="1"/>
          <w:bCs w:val="1"/>
          <w:color w:val="auto"/>
        </w:rPr>
        <w:t>(xii)         </w:t>
      </w:r>
      <w:r>
        <w:rPr>
          <w:rFonts w:ascii="Arial" w:cs="Arial" w:eastAsia="Arial" w:hAnsi="Arial"/>
          <w:sz w:val="17"/>
          <w:szCs w:val="17"/>
          <w:color w:val="auto"/>
        </w:rPr>
        <w:t>To effect, at any time and from time to time, subject to the consent of any Participant whose Award is Materially Impaired by</w:t>
      </w:r>
      <w:r>
        <w:rPr>
          <w:rFonts w:ascii="Arial" w:cs="Arial" w:eastAsia="Arial" w:hAnsi="Arial"/>
          <w:sz w:val="17"/>
          <w:szCs w:val="17"/>
          <w:b w:val="1"/>
          <w:bCs w:val="1"/>
          <w:color w:val="auto"/>
        </w:rPr>
        <w:t xml:space="preserve"> </w:t>
      </w:r>
      <w:r>
        <w:rPr>
          <w:rFonts w:ascii="Arial" w:cs="Arial" w:eastAsia="Arial" w:hAnsi="Arial"/>
          <w:sz w:val="17"/>
          <w:szCs w:val="17"/>
          <w:color w:val="auto"/>
        </w:rPr>
        <w:t>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            Delegation to Committee.</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b w:val="1"/>
          <w:bCs w:val="1"/>
          <w:color w:val="auto"/>
        </w:rPr>
        <w:t xml:space="preserve">(i)            General. </w:t>
      </w:r>
      <w:r>
        <w:rPr>
          <w:rFonts w:ascii="Arial" w:cs="Arial" w:eastAsia="Arial" w:hAnsi="Arial"/>
          <w:sz w:val="16"/>
          <w:szCs w:val="16"/>
          <w:color w:val="auto"/>
        </w:rPr>
        <w:t>The Board may delegate some or all of the administration of the Plan to a Committee or Committees. If administration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1" w:name="page242"/>
    <w:bookmarkEnd w:id="241"/>
    <w:p>
      <w:pPr>
        <w:jc w:val="both"/>
        <w:ind w:firstLine="1296"/>
        <w:spacing w:after="0" w:line="303" w:lineRule="auto"/>
        <w:rPr>
          <w:sz w:val="20"/>
          <w:szCs w:val="20"/>
          <w:color w:val="auto"/>
        </w:rPr>
      </w:pPr>
      <w:r>
        <w:rPr>
          <w:rFonts w:ascii="Arial" w:cs="Arial" w:eastAsia="Arial" w:hAnsi="Arial"/>
          <w:sz w:val="16"/>
          <w:szCs w:val="16"/>
          <w:b w:val="1"/>
          <w:bCs w:val="1"/>
          <w:color w:val="auto"/>
        </w:rPr>
        <w:t xml:space="preserve">(ii)            Rule 16b-3 Compliance. </w:t>
      </w:r>
      <w:r>
        <w:rPr>
          <w:rFonts w:ascii="Arial" w:cs="Arial" w:eastAsia="Arial" w:hAnsi="Arial"/>
          <w:sz w:val="16"/>
          <w:szCs w:val="16"/>
          <w:color w:val="auto"/>
        </w:rPr>
        <w:t>To the extent an Award is intended to qualify for the exemption from Section 16(b) of the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(d)           Effect of Board’s Decision. </w:t>
      </w:r>
      <w:r>
        <w:rPr>
          <w:rFonts w:ascii="Arial" w:cs="Arial" w:eastAsia="Arial" w:hAnsi="Arial"/>
          <w:sz w:val="18"/>
          <w:szCs w:val="18"/>
          <w:color w:val="auto"/>
        </w:rPr>
        <w:t>All determinations, interpretations and constructions made by the Board or any Committee in good faith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subject to review by any person and will be final, binding and conclusive on all persons.</w:t>
      </w:r>
    </w:p>
    <w:p>
      <w:pPr>
        <w:spacing w:after="0" w:line="16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(e)           Delegation to an Officer. </w:t>
      </w:r>
      <w:r>
        <w:rPr>
          <w:rFonts w:ascii="Arial" w:cs="Arial" w:eastAsia="Arial" w:hAnsi="Arial"/>
          <w:sz w:val="16"/>
          <w:szCs w:val="16"/>
          <w:color w:val="auto"/>
        </w:rPr>
        <w:t>The Board or any Committee may delegate to one or more Officers the authority to take any action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that could be taken by the Board or Committee with respect to Employees who are not Officers to the extent permitted by Applicable Law;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ithholding</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(a)           Withholding Authorization. </w:t>
      </w:r>
      <w:r>
        <w:rPr>
          <w:rFonts w:ascii="Arial" w:cs="Arial" w:eastAsia="Arial" w:hAnsi="Arial"/>
          <w:sz w:val="18"/>
          <w:szCs w:val="18"/>
          <w:color w:val="auto"/>
        </w:rPr>
        <w:t>As a condition to acceptance of any Award under the Plan, a Participant authorizes withholding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grant,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(b)           Satisfaction of Withholding Obligation. </w:t>
      </w:r>
      <w:r>
        <w:rPr>
          <w:rFonts w:ascii="Arial" w:cs="Arial" w:eastAsia="Arial" w:hAnsi="Arial"/>
          <w:sz w:val="16"/>
          <w:szCs w:val="16"/>
          <w:color w:val="auto"/>
        </w:rPr>
        <w:t>To the extent permitted by the terms of an Award Agreement, the Company may, in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w:t>
      </w:r>
    </w:p>
    <w:p>
      <w:pPr>
        <w:spacing w:after="0" w:line="2" w:lineRule="exact"/>
        <w:rPr>
          <w:sz w:val="20"/>
          <w:szCs w:val="20"/>
          <w:color w:val="auto"/>
        </w:rPr>
      </w:pPr>
    </w:p>
    <w:p>
      <w:pPr>
        <w:jc w:val="both"/>
        <w:ind w:firstLine="8"/>
        <w:spacing w:after="0" w:line="255" w:lineRule="auto"/>
        <w:tabs>
          <w:tab w:leader="none" w:pos="30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withholding payment from any amounts otherwise payable to the Participant; (v) allowing a Participant to effectuate a “cashless exercise” pursuant to a program developed under Regulation T as promulgated by the Federal Reserve Board; or (vi) by such other method as may be set forth in the Award Agreement.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2" w:name="page243"/>
    <w:bookmarkEnd w:id="242"/>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(c)           No Obligation to Notify or Minimize Taxes; No Liability to Claims. </w:t>
      </w:r>
      <w:r>
        <w:rPr>
          <w:rFonts w:ascii="Arial" w:cs="Arial" w:eastAsia="Arial" w:hAnsi="Arial"/>
          <w:sz w:val="17"/>
          <w:szCs w:val="17"/>
          <w:color w:val="auto"/>
        </w:rPr>
        <w:t>Except as required by Applicable Law the Company has no duty</w:t>
      </w:r>
      <w:r>
        <w:rPr>
          <w:rFonts w:ascii="Arial" w:cs="Arial" w:eastAsia="Arial" w:hAnsi="Arial"/>
          <w:sz w:val="17"/>
          <w:szCs w:val="17"/>
          <w:b w:val="1"/>
          <w:bCs w:val="1"/>
          <w:color w:val="auto"/>
        </w:rPr>
        <w:t xml:space="preserve"> </w:t>
      </w:r>
      <w:r>
        <w:rPr>
          <w:rFonts w:ascii="Arial" w:cs="Arial" w:eastAsia="Arial" w:hAnsi="Arial"/>
          <w:sz w:val="17"/>
          <w:szCs w:val="17"/>
          <w:color w:val="auto"/>
        </w:rPr>
        <w:t>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(d)           Withholding Indemnification. </w:t>
      </w:r>
      <w:r>
        <w:rPr>
          <w:rFonts w:ascii="Arial" w:cs="Arial" w:eastAsia="Arial" w:hAnsi="Arial"/>
          <w:sz w:val="18"/>
          <w:szCs w:val="18"/>
          <w:color w:val="auto"/>
        </w:rPr>
        <w:t>As a condition to accepting an Award under the Plan, in the event that the amount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w:t>
      </w:r>
      <w:r>
        <w:rPr>
          <w:rFonts w:ascii="Arial" w:cs="Arial" w:eastAsia="Arial" w:hAnsi="Arial"/>
          <w:sz w:val="12"/>
          <w:szCs w:val="12"/>
          <w:b w:val="1"/>
          <w:bCs w:val="1"/>
          <w:color w:val="auto"/>
        </w:rPr>
        <w:t>iscellaneous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           Source of Shares. </w:t>
      </w:r>
      <w:r>
        <w:rPr>
          <w:rFonts w:ascii="Arial" w:cs="Arial" w:eastAsia="Arial" w:hAnsi="Arial"/>
          <w:sz w:val="18"/>
          <w:szCs w:val="18"/>
          <w:color w:val="auto"/>
        </w:rPr>
        <w:t>The stock issuable under the Plan will be shares of authorized but unissued or reacquired Common Stock,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repurchased by the Company on the open market or otherwise.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(b)           Use of Proceeds from Sales of Common Stock. </w:t>
      </w:r>
      <w:r>
        <w:rPr>
          <w:rFonts w:ascii="Arial" w:cs="Arial" w:eastAsia="Arial" w:hAnsi="Arial"/>
          <w:sz w:val="18"/>
          <w:szCs w:val="18"/>
          <w:color w:val="auto"/>
        </w:rPr>
        <w:t>Proceeds from the sale of shares of Common Stock pursuant to Awards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(c)           Corporate Action Constituting Grant of Awards. </w:t>
      </w:r>
      <w:r>
        <w:rPr>
          <w:rFonts w:ascii="Arial" w:cs="Arial" w:eastAsia="Arial" w:hAnsi="Arial"/>
          <w:sz w:val="18"/>
          <w:szCs w:val="18"/>
          <w:color w:val="auto"/>
        </w:rPr>
        <w:t>Corporate action constituting a grant by the Company of an Award to any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3" w:name="page244"/>
    <w:bookmarkEnd w:id="243"/>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(d)           Stockholder Rights. </w:t>
      </w:r>
      <w:r>
        <w:rPr>
          <w:rFonts w:ascii="Arial" w:cs="Arial" w:eastAsia="Arial" w:hAnsi="Arial"/>
          <w:sz w:val="17"/>
          <w:szCs w:val="17"/>
          <w:color w:val="auto"/>
        </w:rPr>
        <w:t>No Participant will be deemed to be the holder of, or to have any of the rights of a holder with respect to, any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(e)           No Employment or Other Service Rights. </w:t>
      </w:r>
      <w:r>
        <w:rPr>
          <w:rFonts w:ascii="Arial" w:cs="Arial" w:eastAsia="Arial" w:hAnsi="Arial"/>
          <w:sz w:val="16"/>
          <w:szCs w:val="16"/>
          <w:color w:val="auto"/>
        </w:rPr>
        <w:t>Nothing in the Plan, any Award Agreement or any other instrument executed thereunder or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(f)            Change in Time Commitment. </w:t>
      </w:r>
      <w:r>
        <w:rPr>
          <w:rFonts w:ascii="Arial" w:cs="Arial" w:eastAsia="Arial" w:hAnsi="Arial"/>
          <w:sz w:val="17"/>
          <w:szCs w:val="17"/>
          <w:color w:val="auto"/>
        </w:rPr>
        <w:t>In the event a Participant’s regular level of time commitment in the performance of his or her services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(g)           Execution of Additional Documents. </w:t>
      </w:r>
      <w:r>
        <w:rPr>
          <w:rFonts w:ascii="Arial" w:cs="Arial" w:eastAsia="Arial" w:hAnsi="Arial"/>
          <w:sz w:val="17"/>
          <w:szCs w:val="17"/>
          <w:color w:val="auto"/>
        </w:rPr>
        <w:t>As a condition to accepting an Award under the Plan, the Participant agrees to execute any</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4" w:name="page245"/>
    <w:bookmarkEnd w:id="244"/>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(h)           Electronic Delivery and Participation. </w:t>
      </w:r>
      <w:r>
        <w:rPr>
          <w:rFonts w:ascii="Arial" w:cs="Arial" w:eastAsia="Arial" w:hAnsi="Arial"/>
          <w:sz w:val="18"/>
          <w:szCs w:val="18"/>
          <w:color w:val="auto"/>
        </w:rPr>
        <w:t>Any reference herein or in an Award Agreement to a “written” agreement or document will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(i)            Clawback/Recovery. </w:t>
      </w:r>
      <w:r>
        <w:rPr>
          <w:rFonts w:ascii="Arial" w:cs="Arial" w:eastAsia="Arial" w:hAnsi="Arial"/>
          <w:sz w:val="16"/>
          <w:szCs w:val="16"/>
          <w:color w:val="auto"/>
        </w:rPr>
        <w:t>All Awards granted under the Plan will be subject to recoupment in accordance with any clawback policy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(j)            Securities Law Compliance. </w:t>
      </w:r>
      <w:r>
        <w:rPr>
          <w:rFonts w:ascii="Arial" w:cs="Arial" w:eastAsia="Arial" w:hAnsi="Arial"/>
          <w:sz w:val="18"/>
          <w:szCs w:val="18"/>
          <w:color w:val="auto"/>
        </w:rPr>
        <w:t>A Participant will not be issued any shares in respect of an Award unless either (i) the shares are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(k)           Transfer or Assignment of Awards; Issued Shares. </w:t>
      </w:r>
      <w:r>
        <w:rPr>
          <w:rFonts w:ascii="Arial" w:cs="Arial" w:eastAsia="Arial" w:hAnsi="Arial"/>
          <w:sz w:val="18"/>
          <w:szCs w:val="18"/>
          <w:color w:val="auto"/>
        </w:rPr>
        <w:t>Except as expressly provided in the Plan or the form of Award Agreement, Awards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8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(l)            Effect on Other Employee Benefit Plans. </w:t>
      </w:r>
      <w:r>
        <w:rPr>
          <w:rFonts w:ascii="Arial" w:cs="Arial" w:eastAsia="Arial" w:hAnsi="Arial"/>
          <w:sz w:val="17"/>
          <w:szCs w:val="17"/>
          <w:color w:val="auto"/>
        </w:rPr>
        <w:t>The value of any Award granted under the Plan, as determined upon grant, vesting or</w:t>
      </w:r>
      <w:r>
        <w:rPr>
          <w:rFonts w:ascii="Arial" w:cs="Arial" w:eastAsia="Arial" w:hAnsi="Arial"/>
          <w:sz w:val="17"/>
          <w:szCs w:val="17"/>
          <w:b w:val="1"/>
          <w:bCs w:val="1"/>
          <w:color w:val="auto"/>
        </w:rPr>
        <w:t xml:space="preserve"> </w:t>
      </w:r>
      <w:r>
        <w:rPr>
          <w:rFonts w:ascii="Arial" w:cs="Arial" w:eastAsia="Arial" w:hAnsi="Arial"/>
          <w:sz w:val="17"/>
          <w:szCs w:val="17"/>
          <w:color w:val="auto"/>
        </w:rPr>
        <w:t>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5" w:name="page246"/>
    <w:bookmarkEnd w:id="245"/>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(m)          Deferrals. </w:t>
      </w:r>
      <w:r>
        <w:rPr>
          <w:rFonts w:ascii="Arial" w:cs="Arial" w:eastAsia="Arial" w:hAnsi="Arial"/>
          <w:sz w:val="16"/>
          <w:szCs w:val="16"/>
          <w:color w:val="auto"/>
        </w:rPr>
        <w:t>To the extent permitted by Applicable Law, the Board, in its sole discretion, may determine that the delivery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(n)           Section 409A. </w:t>
      </w:r>
      <w:r>
        <w:rPr>
          <w:rFonts w:ascii="Arial" w:cs="Arial" w:eastAsia="Arial" w:hAnsi="Arial"/>
          <w:sz w:val="17"/>
          <w:szCs w:val="17"/>
          <w:color w:val="auto"/>
        </w:rPr>
        <w:t>Unless otherwise expressly provided for in an Award Agreement, the Plan and Award Agreements will be interpreted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(6)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(o)           C</w:t>
      </w:r>
      <w:r>
        <w:rPr>
          <w:rFonts w:ascii="Arial" w:cs="Arial" w:eastAsia="Arial" w:hAnsi="Arial"/>
          <w:sz w:val="12"/>
          <w:szCs w:val="12"/>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and any controversy arising out of or relating to this Plan shall be governed by, and construed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internal laws of the State of Delaware, without regard to conflict of law principles that would result in any application of any law other than the law of the State of Delaware.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w:t>
      </w:r>
      <w:r>
        <w:rPr>
          <w:rFonts w:ascii="Arial" w:cs="Arial" w:eastAsia="Arial" w:hAnsi="Arial"/>
          <w:sz w:val="12"/>
          <w:szCs w:val="12"/>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(a)           Compliance with Law. </w:t>
      </w:r>
      <w:r>
        <w:rPr>
          <w:rFonts w:ascii="Arial" w:cs="Arial" w:eastAsia="Arial" w:hAnsi="Arial"/>
          <w:sz w:val="17"/>
          <w:szCs w:val="17"/>
          <w:color w:val="auto"/>
        </w:rPr>
        <w:t>The Company will seek to obtain from each regulatory commission or agency, as may be deemed to be necessary,</w:t>
      </w:r>
      <w:r>
        <w:rPr>
          <w:rFonts w:ascii="Arial" w:cs="Arial" w:eastAsia="Arial" w:hAnsi="Arial"/>
          <w:sz w:val="17"/>
          <w:szCs w:val="17"/>
          <w:b w:val="1"/>
          <w:bCs w:val="1"/>
          <w:color w:val="auto"/>
        </w:rPr>
        <w:t xml:space="preserve"> </w:t>
      </w:r>
      <w:r>
        <w:rPr>
          <w:rFonts w:ascii="Arial" w:cs="Arial" w:eastAsia="Arial" w:hAnsi="Arial"/>
          <w:sz w:val="17"/>
          <w:szCs w:val="17"/>
          <w:color w:val="auto"/>
        </w:rPr>
        <w:t>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color w:val="auto"/>
        </w:rPr>
        <w:t>11.            A</w:t>
      </w:r>
      <w:r>
        <w:rPr>
          <w:rFonts w:ascii="Arial" w:cs="Arial" w:eastAsia="Arial" w:hAnsi="Arial"/>
          <w:sz w:val="12"/>
          <w:szCs w:val="12"/>
          <w:b w:val="1"/>
          <w:bCs w:val="1"/>
          <w:color w:val="auto"/>
        </w:rPr>
        <w:t>dditional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ules for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ubject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409A.</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           Application. </w:t>
      </w:r>
      <w:r>
        <w:rPr>
          <w:rFonts w:ascii="Arial" w:cs="Arial" w:eastAsia="Arial" w:hAnsi="Arial"/>
          <w:sz w:val="18"/>
          <w:szCs w:val="18"/>
          <w:color w:val="auto"/>
        </w:rPr>
        <w:t>Unless the provisions of this Section of the Plan are expressly superseded by the provisions in the form of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provisions of this Section shall apply and shall supersede anything to the contrary set forth in the Award Agreement for a Non-Exempt Award.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(b)           Non-Exempt Awards Subject to Non-Exempt Severance Arrangements. </w:t>
      </w:r>
      <w:r>
        <w:rPr>
          <w:rFonts w:ascii="Arial" w:cs="Arial" w:eastAsia="Arial" w:hAnsi="Arial"/>
          <w:sz w:val="18"/>
          <w:szCs w:val="18"/>
          <w:color w:val="auto"/>
        </w:rPr>
        <w:t>To the extent a Non-Exempt Award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due to application of a Non-Exempt Severance Arrangement, the following provisions of this subsection (b) apply.</w:t>
      </w:r>
    </w:p>
    <w:p>
      <w:pPr>
        <w:spacing w:after="0" w:line="162"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b w:val="1"/>
          <w:bCs w:val="1"/>
          <w:color w:val="auto"/>
        </w:rPr>
        <w:t>(i)            </w:t>
      </w:r>
      <w:r>
        <w:rPr>
          <w:rFonts w:ascii="Arial" w:cs="Arial" w:eastAsia="Arial" w:hAnsi="Arial"/>
          <w:sz w:val="16"/>
          <w:szCs w:val="16"/>
          <w:color w:val="auto"/>
        </w:rPr>
        <w:t>If the Non-Exempt Award vests in the ordinary course during the Participant’s Continuous Service in accordance with the vesting</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 set forth in the Award Agreement, and does not accelerate vesting under the terms of a Non-Exempt Severance Arrangement, in no event will the</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shares be issued in respect of such Non-Exempt Award any later than the later of: (i)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calendar year that includes the applicable vesting date, or (ii)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that follows the applicable vesting date.</w:t>
      </w:r>
    </w:p>
    <w:p>
      <w:pPr>
        <w:spacing w:after="0" w:line="7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b w:val="1"/>
          <w:bCs w:val="1"/>
          <w:color w:val="auto"/>
        </w:rPr>
        <w:t>(ii)           </w:t>
      </w:r>
      <w:r>
        <w:rPr>
          <w:rFonts w:ascii="Arial" w:cs="Arial" w:eastAsia="Arial" w:hAnsi="Arial"/>
          <w:sz w:val="16"/>
          <w:szCs w:val="16"/>
          <w:color w:val="auto"/>
        </w:rPr>
        <w:t>If vesting of the Non-Exempt Award accelerates under the terms of a Non-Exempt Severance Arrangement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99"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b w:val="1"/>
          <w:bCs w:val="1"/>
          <w:color w:val="auto"/>
        </w:rPr>
        <w:t>(iii)         </w:t>
      </w:r>
      <w:r>
        <w:rPr>
          <w:rFonts w:ascii="Arial" w:cs="Arial" w:eastAsia="Arial" w:hAnsi="Arial"/>
          <w:sz w:val="18"/>
          <w:szCs w:val="18"/>
          <w:color w:val="auto"/>
        </w:rPr>
        <w:t>If vesting of a Non-Exempt Award accelerates under the terms of a Non-Exempt Severance Arrangement in connection with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7" w:name="page248"/>
    <w:bookmarkEnd w:id="247"/>
    <w:p>
      <w:pPr>
        <w:ind w:left="660"/>
        <w:spacing w:after="0"/>
        <w:rPr>
          <w:sz w:val="20"/>
          <w:szCs w:val="20"/>
          <w:color w:val="auto"/>
        </w:rPr>
      </w:pPr>
      <w:r>
        <w:rPr>
          <w:rFonts w:ascii="Arial" w:cs="Arial" w:eastAsia="Arial" w:hAnsi="Arial"/>
          <w:sz w:val="16"/>
          <w:szCs w:val="16"/>
          <w:b w:val="1"/>
          <w:bCs w:val="1"/>
          <w:color w:val="auto"/>
        </w:rPr>
        <w:t xml:space="preserve">(c)           Treatment of Non-Exempt Awards Upon a Corporate Transaction for Employees and Consultants. </w:t>
      </w:r>
      <w:r>
        <w:rPr>
          <w:rFonts w:ascii="Arial" w:cs="Arial" w:eastAsia="Arial" w:hAnsi="Arial"/>
          <w:sz w:val="16"/>
          <w:szCs w:val="16"/>
          <w:color w:val="auto"/>
        </w:rPr>
        <w:t>The provisions of this subsection</w:t>
      </w:r>
    </w:p>
    <w:p>
      <w:pPr>
        <w:spacing w:after="0" w:line="50" w:lineRule="exact"/>
        <w:rPr>
          <w:sz w:val="20"/>
          <w:szCs w:val="20"/>
          <w:color w:val="auto"/>
        </w:rPr>
      </w:pPr>
    </w:p>
    <w:p>
      <w:pPr>
        <w:jc w:val="both"/>
        <w:ind w:firstLine="8"/>
        <w:spacing w:after="0" w:line="255" w:lineRule="auto"/>
        <w:tabs>
          <w:tab w:leader="none" w:pos="26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 xml:space="preserve">(i)            Vested Non-Exempt Awards. </w:t>
      </w:r>
      <w:r>
        <w:rPr>
          <w:rFonts w:ascii="Arial" w:cs="Arial" w:eastAsia="Arial" w:hAnsi="Arial"/>
          <w:sz w:val="17"/>
          <w:szCs w:val="17"/>
          <w:color w:val="auto"/>
        </w:rPr>
        <w:t>The following provisions shall apply to any Vested Non-Exempt Award in connection with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Corporate Transaction:</w:t>
      </w:r>
    </w:p>
    <w:p>
      <w:pPr>
        <w:spacing w:after="0" w:line="207" w:lineRule="exact"/>
        <w:rPr>
          <w:sz w:val="20"/>
          <w:szCs w:val="20"/>
          <w:color w:val="auto"/>
        </w:rPr>
      </w:pPr>
    </w:p>
    <w:p>
      <w:pPr>
        <w:jc w:val="both"/>
        <w:ind w:firstLine="1944"/>
        <w:spacing w:after="0" w:line="258" w:lineRule="auto"/>
        <w:rPr>
          <w:sz w:val="20"/>
          <w:szCs w:val="20"/>
          <w:color w:val="auto"/>
        </w:rPr>
      </w:pPr>
      <w:r>
        <w:rPr>
          <w:rFonts w:ascii="Arial" w:cs="Arial" w:eastAsia="Arial" w:hAnsi="Arial"/>
          <w:sz w:val="18"/>
          <w:szCs w:val="18"/>
          <w:b w:val="1"/>
          <w:bCs w:val="1"/>
          <w:color w:val="auto"/>
        </w:rPr>
        <w:t>(1)            </w:t>
      </w:r>
      <w:r>
        <w:rPr>
          <w:rFonts w:ascii="Arial" w:cs="Arial" w:eastAsia="Arial" w:hAnsi="Arial"/>
          <w:sz w:val="18"/>
          <w:szCs w:val="18"/>
          <w:color w:val="auto"/>
        </w:rPr>
        <w:t>If the Corporate Transaction is also a Section 409A Change in Control then the Acquiring Entity may not assume,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83" w:lineRule="exact"/>
        <w:rPr>
          <w:sz w:val="20"/>
          <w:szCs w:val="20"/>
          <w:color w:val="auto"/>
        </w:rPr>
      </w:pPr>
    </w:p>
    <w:p>
      <w:pPr>
        <w:jc w:val="both"/>
        <w:ind w:firstLine="1944"/>
        <w:spacing w:after="0" w:line="274" w:lineRule="auto"/>
        <w:rPr>
          <w:sz w:val="20"/>
          <w:szCs w:val="20"/>
          <w:color w:val="auto"/>
        </w:rPr>
      </w:pPr>
      <w:r>
        <w:rPr>
          <w:rFonts w:ascii="Arial" w:cs="Arial" w:eastAsia="Arial" w:hAnsi="Arial"/>
          <w:sz w:val="17"/>
          <w:szCs w:val="17"/>
          <w:b w:val="1"/>
          <w:bCs w:val="1"/>
          <w:color w:val="auto"/>
        </w:rPr>
        <w:t>(2)            </w:t>
      </w:r>
      <w:r>
        <w:rPr>
          <w:rFonts w:ascii="Arial" w:cs="Arial" w:eastAsia="Arial" w:hAnsi="Arial"/>
          <w:sz w:val="17"/>
          <w:szCs w:val="17"/>
          <w:color w:val="auto"/>
        </w:rPr>
        <w:t>If the Corporate Transaction is not also a Section 409A Change in Control, then the Acquiring Entity must either</w:t>
      </w:r>
      <w:r>
        <w:rPr>
          <w:rFonts w:ascii="Arial" w:cs="Arial" w:eastAsia="Arial" w:hAnsi="Arial"/>
          <w:sz w:val="17"/>
          <w:szCs w:val="17"/>
          <w:b w:val="1"/>
          <w:bCs w:val="1"/>
          <w:color w:val="auto"/>
        </w:rPr>
        <w:t xml:space="preserve"> </w:t>
      </w:r>
      <w:r>
        <w:rPr>
          <w:rFonts w:ascii="Arial" w:cs="Arial" w:eastAsia="Arial" w:hAnsi="Arial"/>
          <w:sz w:val="17"/>
          <w:szCs w:val="17"/>
          <w:color w:val="auto"/>
        </w:rPr>
        <w:t>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73"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 xml:space="preserve">(ii)           Unvested Non-Exempt Awards. </w:t>
      </w:r>
      <w:r>
        <w:rPr>
          <w:rFonts w:ascii="Arial" w:cs="Arial" w:eastAsia="Arial" w:hAnsi="Arial"/>
          <w:sz w:val="18"/>
          <w:szCs w:val="18"/>
          <w:color w:val="auto"/>
        </w:rPr>
        <w:t>The following provisions shall apply to any Unvested Non-Exempt Award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pursuant to subsection (e) of this Section.</w:t>
      </w:r>
    </w:p>
    <w:p>
      <w:pPr>
        <w:spacing w:after="0" w:line="162" w:lineRule="exact"/>
        <w:rPr>
          <w:sz w:val="20"/>
          <w:szCs w:val="20"/>
          <w:color w:val="auto"/>
        </w:rPr>
      </w:pPr>
    </w:p>
    <w:p>
      <w:pPr>
        <w:jc w:val="both"/>
        <w:ind w:firstLine="1944"/>
        <w:spacing w:after="0" w:line="292" w:lineRule="auto"/>
        <w:rPr>
          <w:sz w:val="20"/>
          <w:szCs w:val="20"/>
          <w:color w:val="auto"/>
        </w:rPr>
      </w:pPr>
      <w:r>
        <w:rPr>
          <w:rFonts w:ascii="Arial" w:cs="Arial" w:eastAsia="Arial" w:hAnsi="Arial"/>
          <w:sz w:val="16"/>
          <w:szCs w:val="16"/>
          <w:b w:val="1"/>
          <w:bCs w:val="1"/>
          <w:color w:val="auto"/>
        </w:rPr>
        <w:t>(1)            </w:t>
      </w:r>
      <w:r>
        <w:rPr>
          <w:rFonts w:ascii="Arial" w:cs="Arial" w:eastAsia="Arial" w:hAnsi="Arial"/>
          <w:sz w:val="16"/>
          <w:szCs w:val="16"/>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61" w:lineRule="exact"/>
        <w:rPr>
          <w:sz w:val="20"/>
          <w:szCs w:val="20"/>
          <w:color w:val="auto"/>
        </w:rPr>
      </w:pPr>
    </w:p>
    <w:p>
      <w:pPr>
        <w:jc w:val="both"/>
        <w:ind w:firstLine="1944"/>
        <w:spacing w:after="0" w:line="272" w:lineRule="auto"/>
        <w:rPr>
          <w:sz w:val="20"/>
          <w:szCs w:val="20"/>
          <w:color w:val="auto"/>
        </w:rPr>
      </w:pPr>
      <w:r>
        <w:rPr>
          <w:rFonts w:ascii="Arial" w:cs="Arial" w:eastAsia="Arial" w:hAnsi="Arial"/>
          <w:sz w:val="17"/>
          <w:szCs w:val="17"/>
          <w:b w:val="1"/>
          <w:bCs w:val="1"/>
          <w:color w:val="auto"/>
        </w:rPr>
        <w:t>(2)            </w:t>
      </w:r>
      <w:r>
        <w:rPr>
          <w:rFonts w:ascii="Arial" w:cs="Arial" w:eastAsia="Arial" w:hAnsi="Arial"/>
          <w:sz w:val="17"/>
          <w:szCs w:val="17"/>
          <w:color w:val="auto"/>
        </w:rPr>
        <w:t>If the Acquiring Entity will not assume, substitute or continue any Unvested Non-Exempt Award in connection with a</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8" w:name="page249"/>
    <w:bookmarkEnd w:id="248"/>
    <w:p>
      <w:pPr>
        <w:jc w:val="both"/>
        <w:ind w:firstLine="1944"/>
        <w:spacing w:after="0" w:line="282" w:lineRule="auto"/>
        <w:rPr>
          <w:sz w:val="20"/>
          <w:szCs w:val="20"/>
          <w:color w:val="auto"/>
        </w:rPr>
      </w:pPr>
      <w:r>
        <w:rPr>
          <w:rFonts w:ascii="Arial" w:cs="Arial" w:eastAsia="Arial" w:hAnsi="Arial"/>
          <w:sz w:val="18"/>
          <w:szCs w:val="18"/>
          <w:b w:val="1"/>
          <w:bCs w:val="1"/>
          <w:color w:val="auto"/>
        </w:rPr>
        <w:t>(3)            </w:t>
      </w:r>
      <w:r>
        <w:rPr>
          <w:rFonts w:ascii="Arial" w:cs="Arial" w:eastAsia="Arial" w:hAnsi="Arial"/>
          <w:sz w:val="18"/>
          <w:szCs w:val="18"/>
          <w:color w:val="auto"/>
        </w:rPr>
        <w:t>The foregoing treatment shall apply with respect to all Unvested Non-Exempt Awards upon any Corporate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regardless of whether or not such Corporate Transaction is also a Section 409A Change in Control.</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(d)            Treatment of Non-Exempt Awards Upon a Corporate Transaction for Non-Employee Directors. </w:t>
      </w:r>
      <w:r>
        <w:rPr>
          <w:rFonts w:ascii="Arial" w:cs="Arial" w:eastAsia="Arial" w:hAnsi="Arial"/>
          <w:sz w:val="18"/>
          <w:szCs w:val="18"/>
          <w:color w:val="auto"/>
        </w:rPr>
        <w:t>The following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b w:val="1"/>
          <w:bCs w:val="1"/>
          <w:color w:val="auto"/>
        </w:rPr>
        <w:t>(i)            </w:t>
      </w:r>
      <w:r>
        <w:rPr>
          <w:rFonts w:ascii="Arial" w:cs="Arial" w:eastAsia="Arial" w:hAnsi="Arial"/>
          <w:sz w:val="17"/>
          <w:szCs w:val="17"/>
          <w:color w:val="auto"/>
        </w:rPr>
        <w:t>If the Corporate Transaction is also a Section 409A Change in Control then the Acquiring Entity may not assume, continue or</w:t>
      </w:r>
      <w:r>
        <w:rPr>
          <w:rFonts w:ascii="Arial" w:cs="Arial" w:eastAsia="Arial" w:hAnsi="Arial"/>
          <w:sz w:val="17"/>
          <w:szCs w:val="17"/>
          <w:b w:val="1"/>
          <w:bCs w:val="1"/>
          <w:color w:val="auto"/>
        </w:rPr>
        <w:t xml:space="preserve"> </w:t>
      </w:r>
      <w:r>
        <w:rPr>
          <w:rFonts w:ascii="Arial" w:cs="Arial" w:eastAsia="Arial" w:hAnsi="Arial"/>
          <w:sz w:val="17"/>
          <w:szCs w:val="17"/>
          <w:color w:val="auto"/>
        </w:rPr>
        <w:t>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68"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6"/>
          <w:szCs w:val="16"/>
          <w:b w:val="1"/>
          <w:bCs w:val="1"/>
          <w:color w:val="auto"/>
        </w:rPr>
        <w:t>(ii)           </w:t>
      </w:r>
      <w:r>
        <w:rPr>
          <w:rFonts w:ascii="Arial" w:cs="Arial" w:eastAsia="Arial" w:hAnsi="Arial"/>
          <w:sz w:val="16"/>
          <w:szCs w:val="16"/>
          <w:color w:val="auto"/>
        </w:rPr>
        <w:t>If the Corporate Transaction is not also a Section 409A Change in Control, then the Acquiring Entity must either assume,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(e)            </w:t>
      </w:r>
      <w:r>
        <w:rPr>
          <w:rFonts w:ascii="Arial" w:cs="Arial" w:eastAsia="Arial" w:hAnsi="Arial"/>
          <w:sz w:val="18"/>
          <w:szCs w:val="18"/>
          <w:color w:val="auto"/>
        </w:rPr>
        <w:t>If the RSU Award is a Non-Exempt Award, then the provisions in this Section 11(e) shall apply and supersede anything to the contrary</w:t>
      </w:r>
      <w:r>
        <w:rPr>
          <w:rFonts w:ascii="Arial" w:cs="Arial" w:eastAsia="Arial" w:hAnsi="Arial"/>
          <w:sz w:val="18"/>
          <w:szCs w:val="18"/>
          <w:b w:val="1"/>
          <w:bCs w:val="1"/>
          <w:color w:val="auto"/>
        </w:rPr>
        <w:t xml:space="preserve"> </w:t>
      </w:r>
      <w:r>
        <w:rPr>
          <w:rFonts w:ascii="Arial" w:cs="Arial" w:eastAsia="Arial" w:hAnsi="Arial"/>
          <w:sz w:val="18"/>
          <w:szCs w:val="18"/>
          <w:color w:val="auto"/>
        </w:rPr>
        <w:t>that may be set forth in the Plan or the Award Agreement with respect to the permitted treatment of such Non-Exempt Award:</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Arial" w:cs="Arial" w:eastAsia="Arial" w:hAnsi="Arial"/>
          <w:sz w:val="18"/>
          <w:szCs w:val="18"/>
          <w:b w:val="1"/>
          <w:bCs w:val="1"/>
          <w:color w:val="auto"/>
        </w:rPr>
        <w:t>(i)            </w:t>
      </w:r>
      <w:r>
        <w:rPr>
          <w:rFonts w:ascii="Arial" w:cs="Arial" w:eastAsia="Arial" w:hAnsi="Arial"/>
          <w:sz w:val="18"/>
          <w:szCs w:val="18"/>
          <w:color w:val="auto"/>
        </w:rPr>
        <w:t>Any exercise by the Board of discretion to accelerate the vesting of a Non-Exempt Award shall not result in any acceleration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scheduled issuance dates for the shares in respect of the Non-Exempt Award unless earlier issuance of the shares upon the applicable vesting dates would be in compliance with the requirements of Section 409A.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9" w:name="page250"/>
    <w:bookmarkEnd w:id="249"/>
    <w:p>
      <w:pPr>
        <w:jc w:val="both"/>
        <w:ind w:firstLine="1296"/>
        <w:spacing w:after="0" w:line="312" w:lineRule="auto"/>
        <w:rPr>
          <w:sz w:val="20"/>
          <w:szCs w:val="20"/>
          <w:color w:val="auto"/>
        </w:rPr>
      </w:pPr>
      <w:r>
        <w:rPr>
          <w:rFonts w:ascii="Arial" w:cs="Arial" w:eastAsia="Arial" w:hAnsi="Arial"/>
          <w:sz w:val="17"/>
          <w:szCs w:val="17"/>
          <w:b w:val="1"/>
          <w:bCs w:val="1"/>
          <w:color w:val="auto"/>
        </w:rPr>
        <w:t>(ii)           </w:t>
      </w:r>
      <w:r>
        <w:rPr>
          <w:rFonts w:ascii="Arial" w:cs="Arial" w:eastAsia="Arial" w:hAnsi="Arial"/>
          <w:sz w:val="17"/>
          <w:szCs w:val="17"/>
          <w:color w:val="auto"/>
        </w:rPr>
        <w:t>The Company explicitly reserves the right to earlier settle any Non-Exempt Award to the extent permitted and in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requirements of Section 409A, including pursuant to any of the exemptions available in Treasury Regulations Section 1.409A-3(j)(4)(ix).</w:t>
      </w:r>
    </w:p>
    <w:p>
      <w:pPr>
        <w:spacing w:after="0" w:line="14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b w:val="1"/>
          <w:bCs w:val="1"/>
          <w:color w:val="auto"/>
        </w:rPr>
        <w:t>(iii)          </w:t>
      </w:r>
      <w:r>
        <w:rPr>
          <w:rFonts w:ascii="Arial" w:cs="Arial" w:eastAsia="Arial" w:hAnsi="Arial"/>
          <w:sz w:val="16"/>
          <w:szCs w:val="16"/>
          <w:color w:val="auto"/>
        </w:rPr>
        <w:t>To the extent the terms of any Non-Exempt Award provide that it will be settled upon a Change in Control or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59"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b w:val="1"/>
          <w:bCs w:val="1"/>
          <w:color w:val="auto"/>
        </w:rPr>
        <w:t>(iv)           </w:t>
      </w:r>
      <w:r>
        <w:rPr>
          <w:rFonts w:ascii="Arial" w:cs="Arial" w:eastAsia="Arial" w:hAnsi="Arial"/>
          <w:sz w:val="17"/>
          <w:szCs w:val="17"/>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w:t>
      </w:r>
      <w:r>
        <w:rPr>
          <w:rFonts w:ascii="Arial" w:cs="Arial" w:eastAsia="Arial" w:hAnsi="Arial"/>
          <w:sz w:val="12"/>
          <w:szCs w:val="12"/>
          <w:b w:val="1"/>
          <w:bCs w:val="1"/>
          <w:color w:val="auto"/>
        </w:rPr>
        <w:t>everability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w:t>
      </w:r>
      <w:r>
        <w:rPr>
          <w:rFonts w:ascii="Arial" w:cs="Arial" w:eastAsia="Arial" w:hAnsi="Arial"/>
          <w:sz w:val="12"/>
          <w:szCs w:val="12"/>
          <w:b w:val="1"/>
          <w:bCs w:val="1"/>
          <w:color w:val="auto"/>
        </w:rPr>
        <w:t>ermination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may suspend or terminate the Plan at any time. No Incentive Stock Options may be granted after the tenth anniversary of the earlier of:</w:t>
      </w:r>
    </w:p>
    <w:p>
      <w:pPr>
        <w:spacing w:after="0" w:line="46" w:lineRule="exact"/>
        <w:rPr>
          <w:sz w:val="20"/>
          <w:szCs w:val="20"/>
          <w:color w:val="auto"/>
        </w:rPr>
      </w:pPr>
    </w:p>
    <w:p>
      <w:pPr>
        <w:ind w:firstLine="8"/>
        <w:spacing w:after="0" w:line="260" w:lineRule="auto"/>
        <w:tabs>
          <w:tab w:leader="none" w:pos="22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Adoption Date, or (ii) the date the Plan is approved by the Company’s stockholders. No Awards may be granted under the Plan while the Plan is suspended or after it is terminated.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color w:val="auto"/>
        </w:rPr>
        <w:t>14.            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definitions apply to the capitalized terms indicated below:</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(a)           </w:t>
      </w:r>
      <w:r>
        <w:rPr>
          <w:rFonts w:ascii="Arial" w:cs="Arial" w:eastAsia="Arial" w:hAnsi="Arial"/>
          <w:sz w:val="17"/>
          <w:szCs w:val="17"/>
          <w:color w:val="auto"/>
        </w:rPr>
        <w:t>“</w:t>
      </w:r>
      <w:r>
        <w:rPr>
          <w:rFonts w:ascii="Arial" w:cs="Arial" w:eastAsia="Arial" w:hAnsi="Arial"/>
          <w:sz w:val="17"/>
          <w:szCs w:val="17"/>
          <w:b w:val="1"/>
          <w:bCs w:val="1"/>
          <w:i w:val="1"/>
          <w:iCs w:val="1"/>
          <w:color w:val="auto"/>
        </w:rPr>
        <w:t>Acquiring Entity</w:t>
      </w:r>
      <w:r>
        <w:rPr>
          <w:rFonts w:ascii="Arial" w:cs="Arial" w:eastAsia="Arial" w:hAnsi="Arial"/>
          <w:sz w:val="17"/>
          <w:szCs w:val="17"/>
          <w:color w:val="auto"/>
        </w:rPr>
        <w:t>” means the surviving or acquiring corporation (or its parent company) in connection with a Corporate Transaction.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w:t>
      </w:r>
      <w:r>
        <w:rPr>
          <w:rFonts w:ascii="Arial" w:cs="Arial" w:eastAsia="Arial" w:hAnsi="Arial"/>
          <w:sz w:val="18"/>
          <w:szCs w:val="18"/>
          <w:color w:val="auto"/>
        </w:rPr>
        <w:t>“</w:t>
      </w:r>
      <w:r>
        <w:rPr>
          <w:rFonts w:ascii="Arial" w:cs="Arial" w:eastAsia="Arial" w:hAnsi="Arial"/>
          <w:sz w:val="18"/>
          <w:szCs w:val="18"/>
          <w:b w:val="1"/>
          <w:bCs w:val="1"/>
          <w:i w:val="1"/>
          <w:iCs w:val="1"/>
          <w:color w:val="auto"/>
        </w:rPr>
        <w:t>Adoption Date</w:t>
      </w:r>
      <w:r>
        <w:rPr>
          <w:rFonts w:ascii="Arial" w:cs="Arial" w:eastAsia="Arial" w:hAnsi="Arial"/>
          <w:sz w:val="18"/>
          <w:szCs w:val="18"/>
          <w:color w:val="auto"/>
        </w:rPr>
        <w:t>” means the date the Plan is first approved by the Board or Compensation Committee.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(c)           </w:t>
      </w: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The Board may determine the time or times at which “parent” or “subsidiary” status is determined within the foregoing definition.</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(d)           </w:t>
      </w: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Law</w:t>
      </w:r>
      <w:r>
        <w:rPr>
          <w:rFonts w:ascii="Arial" w:cs="Arial" w:eastAsia="Arial" w:hAnsi="Arial"/>
          <w:sz w:val="16"/>
          <w:szCs w:val="16"/>
          <w:color w:val="auto"/>
        </w:rPr>
        <w:t>” means any applicable securities, federal, state, foreign, material local or municipal or other law, statute, constitution,</w:t>
      </w:r>
      <w:r>
        <w:rPr>
          <w:rFonts w:ascii="Arial" w:cs="Arial" w:eastAsia="Arial" w:hAnsi="Arial"/>
          <w:sz w:val="16"/>
          <w:szCs w:val="16"/>
          <w:b w:val="1"/>
          <w:bCs w:val="1"/>
          <w:color w:val="auto"/>
        </w:rPr>
        <w:t xml:space="preserve"> </w:t>
      </w:r>
      <w:r>
        <w:rPr>
          <w:rFonts w:ascii="Arial" w:cs="Arial" w:eastAsia="Arial" w:hAnsi="Arial"/>
          <w:sz w:val="16"/>
          <w:szCs w:val="16"/>
          <w:color w:val="auto"/>
        </w:rPr>
        <w:t>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(e)           </w:t>
      </w: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right to receive Common Stock, cash or other property granted under the Plan (including an Incentive Stock Option, a</w:t>
      </w:r>
      <w:r>
        <w:rPr>
          <w:rFonts w:ascii="Arial" w:cs="Arial" w:eastAsia="Arial" w:hAnsi="Arial"/>
          <w:sz w:val="18"/>
          <w:szCs w:val="18"/>
          <w:b w:val="1"/>
          <w:bCs w:val="1"/>
          <w:color w:val="auto"/>
        </w:rPr>
        <w:t xml:space="preserve"> </w:t>
      </w:r>
      <w:r>
        <w:rPr>
          <w:rFonts w:ascii="Arial" w:cs="Arial" w:eastAsia="Arial" w:hAnsi="Arial"/>
          <w:sz w:val="18"/>
          <w:szCs w:val="18"/>
          <w:color w:val="auto"/>
        </w:rPr>
        <w:t>Nonstatutory Stock Option, a Restricted Stock Award, an RSU Award, a SAR, a Performance Award or any Other Award).</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(f)            </w:t>
      </w: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or electronic agreement between the Company and a Participant evidencing the terms and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(g)           </w:t>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(or its designee). Any decision or determination made by the Board shall be a</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 or determination that is made in the sole discretion of the Board (or its designee), and such decision or determination shall be final and binding on all Participants.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(h)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Capitalization Adjustment</w:t>
      </w:r>
      <w:r>
        <w:rPr>
          <w:rFonts w:ascii="Arial" w:cs="Arial" w:eastAsia="Arial" w:hAnsi="Arial"/>
          <w:sz w:val="18"/>
          <w:szCs w:val="18"/>
          <w:color w:val="auto"/>
        </w:rPr>
        <w:t>” means any change that is made in, or other events that occur with respect to, the Common Stock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1" w:name="page252"/>
    <w:bookmarkEnd w:id="251"/>
    <w:p>
      <w:pPr>
        <w:jc w:val="both"/>
        <w:ind w:firstLine="648"/>
        <w:spacing w:after="0" w:line="285" w:lineRule="auto"/>
        <w:rPr>
          <w:sz w:val="20"/>
          <w:szCs w:val="20"/>
          <w:color w:val="auto"/>
        </w:rPr>
      </w:pPr>
      <w:r>
        <w:rPr>
          <w:rFonts w:ascii="Arial" w:cs="Arial" w:eastAsia="Arial" w:hAnsi="Arial"/>
          <w:sz w:val="16"/>
          <w:szCs w:val="16"/>
          <w:b w:val="1"/>
          <w:bCs w:val="1"/>
          <w:color w:val="auto"/>
        </w:rPr>
        <w:t>(i)            </w:t>
      </w: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has the meaning ascribed to such term in any written agreement between a Participant and the Company defining such term and,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w:t>
      </w:r>
    </w:p>
    <w:p>
      <w:pPr>
        <w:spacing w:after="0" w:line="1" w:lineRule="exact"/>
        <w:rPr>
          <w:sz w:val="20"/>
          <w:szCs w:val="20"/>
          <w:color w:val="auto"/>
        </w:rPr>
      </w:pPr>
    </w:p>
    <w:p>
      <w:pPr>
        <w:jc w:val="both"/>
        <w:ind w:firstLine="8"/>
        <w:spacing w:after="0" w:line="252" w:lineRule="auto"/>
        <w:tabs>
          <w:tab w:leader="none" w:pos="29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Participant’s material violation of any provision of any agreement(s) between the Participant and the Company relating to noncompetition, nonsolicitation, nondisclosure and/or assignment of inventions or material violation of any provision of Company policy.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(j)            </w:t>
      </w: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or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in a single transaction or in a series of related transactions,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of the following events:</w:t>
      </w:r>
    </w:p>
    <w:p>
      <w:pPr>
        <w:spacing w:after="0" w:line="162"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b w:val="1"/>
          <w:bCs w:val="1"/>
          <w:color w:val="auto"/>
        </w:rPr>
        <w:t>(i)            </w:t>
      </w:r>
      <w:r>
        <w:rPr>
          <w:rFonts w:ascii="Arial" w:cs="Arial" w:eastAsia="Arial" w:hAnsi="Arial"/>
          <w:sz w:val="16"/>
          <w:szCs w:val="16"/>
          <w:color w:val="auto"/>
        </w:rPr>
        <w:t>any Exchange Act Person becomes the Owner, directly or indirectly, of securities of the Company representing more than 50%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b w:val="1"/>
          <w:bCs w:val="1"/>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2" w:name="page253"/>
    <w:bookmarkEnd w:id="252"/>
    <w:p>
      <w:pPr>
        <w:jc w:val="both"/>
        <w:ind w:firstLine="1296"/>
        <w:spacing w:after="0" w:line="274" w:lineRule="auto"/>
        <w:rPr>
          <w:sz w:val="20"/>
          <w:szCs w:val="20"/>
          <w:color w:val="auto"/>
        </w:rPr>
      </w:pPr>
      <w:r>
        <w:rPr>
          <w:rFonts w:ascii="Arial" w:cs="Arial" w:eastAsia="Arial" w:hAnsi="Arial"/>
          <w:sz w:val="17"/>
          <w:szCs w:val="17"/>
          <w:b w:val="1"/>
          <w:bCs w:val="1"/>
          <w:color w:val="auto"/>
        </w:rPr>
        <w:t>(ii)           </w:t>
      </w:r>
      <w:r>
        <w:rPr>
          <w:rFonts w:ascii="Arial" w:cs="Arial" w:eastAsia="Arial" w:hAnsi="Arial"/>
          <w:sz w:val="17"/>
          <w:szCs w:val="17"/>
          <w:color w:val="auto"/>
        </w:rPr>
        <w:t>there is consummated a merger, consolidation or similar transaction involving (directly or indirectly)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173"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(iii)         </w:t>
      </w:r>
      <w:r>
        <w:rPr>
          <w:rFonts w:ascii="Arial" w:cs="Arial" w:eastAsia="Arial" w:hAnsi="Arial"/>
          <w:sz w:val="18"/>
          <w:szCs w:val="18"/>
          <w:color w:val="auto"/>
        </w:rPr>
        <w:t>there is consummated a sale, lease, exclusive license or other disposition of all or substantially all of the consolidated assets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(iv)           </w:t>
      </w:r>
      <w:r>
        <w:rPr>
          <w:rFonts w:ascii="Arial" w:cs="Arial" w:eastAsia="Arial" w:hAnsi="Arial"/>
          <w:sz w:val="18"/>
          <w:szCs w:val="18"/>
          <w:color w:val="auto"/>
        </w:rPr>
        <w:t>individuals who, on the date the Plan is adopted by the Board,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cease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(k)           </w:t>
      </w: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 thereunder.</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(l)            </w:t>
      </w: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and any other committee of one or more Directors to whom authority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delegated by the Board or Compensation Committee in accordance with the Plan.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           </w:t>
      </w: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par value $0.0001 per share, of the Company.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3" w:name="page254"/>
    <w:bookmarkEnd w:id="253"/>
    <w:p>
      <w:pPr>
        <w:ind w:left="660"/>
        <w:spacing w:after="0"/>
        <w:rPr>
          <w:sz w:val="20"/>
          <w:szCs w:val="20"/>
          <w:color w:val="auto"/>
        </w:rPr>
      </w:pPr>
      <w:r>
        <w:rPr>
          <w:rFonts w:ascii="Arial" w:cs="Arial" w:eastAsia="Arial" w:hAnsi="Arial"/>
          <w:sz w:val="18"/>
          <w:szCs w:val="18"/>
          <w:b w:val="1"/>
          <w:bCs w:val="1"/>
          <w:color w:val="auto"/>
        </w:rPr>
        <w:t>(n)           </w:t>
      </w: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TriSalus Life Sciences,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           </w:t>
      </w:r>
      <w:r>
        <w:rPr>
          <w:rFonts w:ascii="Arial" w:cs="Arial" w:eastAsia="Arial" w:hAnsi="Arial"/>
          <w:sz w:val="18"/>
          <w:szCs w:val="18"/>
          <w:color w:val="auto"/>
        </w:rPr>
        <w:t>“</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means the Compensation Committee of the Board.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(p)           </w:t>
      </w: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 advisory</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(q)           </w:t>
      </w: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means that the Participant’s service with the Company or an Affiliate, whether as an Employee, Director or</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Company,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8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(r)           </w:t>
      </w: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(i)            </w:t>
      </w:r>
      <w:r>
        <w:rPr>
          <w:rFonts w:ascii="Arial" w:cs="Arial" w:eastAsia="Arial" w:hAnsi="Arial"/>
          <w:sz w:val="16"/>
          <w:szCs w:val="16"/>
          <w:color w:val="auto"/>
        </w:rPr>
        <w:t>a sale or other disposition of all or substantially all, as determined by the Board, of the consolidated assets of the Company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its Subsidiaries;</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(ii)           </w:t>
      </w:r>
      <w:r>
        <w:rPr>
          <w:rFonts w:ascii="Arial" w:cs="Arial" w:eastAsia="Arial" w:hAnsi="Arial"/>
          <w:sz w:val="18"/>
          <w:szCs w:val="18"/>
          <w:color w:val="auto"/>
        </w:rPr>
        <w:t>a sale or other disposition of at least 50% of the outstanding securities of the Company;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4" w:name="page255"/>
    <w:bookmarkEnd w:id="254"/>
    <w:p>
      <w:pPr>
        <w:ind w:left="1300"/>
        <w:spacing w:after="0"/>
        <w:rPr>
          <w:sz w:val="20"/>
          <w:szCs w:val="20"/>
          <w:color w:val="auto"/>
        </w:rPr>
      </w:pPr>
      <w:r>
        <w:rPr>
          <w:rFonts w:ascii="Arial" w:cs="Arial" w:eastAsia="Arial" w:hAnsi="Arial"/>
          <w:sz w:val="18"/>
          <w:szCs w:val="18"/>
          <w:b w:val="1"/>
          <w:bCs w:val="1"/>
          <w:color w:val="auto"/>
        </w:rPr>
        <w:t>(iii)          </w:t>
      </w:r>
      <w:r>
        <w:rPr>
          <w:rFonts w:ascii="Arial" w:cs="Arial" w:eastAsia="Arial" w:hAnsi="Arial"/>
          <w:sz w:val="18"/>
          <w:szCs w:val="18"/>
          <w:color w:val="auto"/>
        </w:rPr>
        <w:t>a merger, consolidation or similar transaction following which the Company is not the surviving corporation; or</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(iv)           </w:t>
      </w:r>
      <w:r>
        <w:rPr>
          <w:rFonts w:ascii="Arial" w:cs="Arial" w:eastAsia="Arial" w:hAnsi="Arial"/>
          <w:sz w:val="18"/>
          <w:szCs w:val="18"/>
          <w:color w:val="auto"/>
        </w:rPr>
        <w:t>a merger, consolidation or similar transaction following which the Company is the surviving corporation but the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            </w:t>
      </w: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            </w:t>
      </w:r>
      <w:r>
        <w:rPr>
          <w:rFonts w:ascii="Arial" w:cs="Arial" w:eastAsia="Arial" w:hAnsi="Arial"/>
          <w:sz w:val="18"/>
          <w:szCs w:val="18"/>
          <w:color w:val="auto"/>
        </w:rPr>
        <w:t>“</w:t>
      </w:r>
      <w:r>
        <w:rPr>
          <w:rFonts w:ascii="Arial" w:cs="Arial" w:eastAsia="Arial" w:hAnsi="Arial"/>
          <w:sz w:val="18"/>
          <w:szCs w:val="18"/>
          <w:b w:val="1"/>
          <w:bCs w:val="1"/>
          <w:i w:val="1"/>
          <w:iCs w:val="1"/>
          <w:color w:val="auto"/>
        </w:rPr>
        <w:t>determine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or</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determined</w:t>
      </w:r>
      <w:r>
        <w:rPr>
          <w:rFonts w:ascii="Arial" w:cs="Arial" w:eastAsia="Arial" w:hAnsi="Arial"/>
          <w:sz w:val="18"/>
          <w:szCs w:val="18"/>
          <w:color w:val="auto"/>
        </w:rPr>
        <w:t>” means as determined by the Board or the Committee (or its designee) in its sole discretion.</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(u)           </w:t>
      </w: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such Participant is unable to engage in any substantial gainful activity by reason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(v)            </w:t>
      </w: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this Plan, which is the date of the closing of the transactions contemplated by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provided that this Plan is approved by the Company’s stockholders prior to such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           </w:t>
      </w: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(x)           </w:t>
      </w: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w:t>
      </w:r>
      <w:r>
        <w:rPr>
          <w:rFonts w:ascii="Arial" w:cs="Arial" w:eastAsia="Arial" w:hAnsi="Arial"/>
          <w:sz w:val="18"/>
          <w:szCs w:val="18"/>
          <w:b w:val="1"/>
          <w:bCs w:val="1"/>
          <w:color w:val="auto"/>
        </w:rPr>
        <w:t xml:space="preserve"> </w:t>
      </w:r>
      <w:r>
        <w:rPr>
          <w:rFonts w:ascii="Arial" w:cs="Arial" w:eastAsia="Arial" w:hAnsi="Arial"/>
          <w:sz w:val="18"/>
          <w:szCs w:val="18"/>
          <w:color w:val="auto"/>
        </w:rPr>
        <w:t>such services, will not cause a Director to be considered an “Employee” for purposes of the Plan.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(y)           </w:t>
      </w:r>
      <w:r>
        <w:rPr>
          <w:rFonts w:ascii="Arial" w:cs="Arial" w:eastAsia="Arial" w:hAnsi="Arial"/>
          <w:sz w:val="18"/>
          <w:szCs w:val="18"/>
          <w:color w:val="auto"/>
        </w:rPr>
        <w:t>“</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means the Company or the Affiliate of the Company that employs the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(z)           </w:t>
      </w: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5" w:name="page256"/>
    <w:bookmarkEnd w:id="255"/>
    <w:p>
      <w:pPr>
        <w:ind w:left="660"/>
        <w:spacing w:after="0"/>
        <w:rPr>
          <w:sz w:val="20"/>
          <w:szCs w:val="20"/>
          <w:color w:val="auto"/>
        </w:rPr>
      </w:pPr>
      <w:r>
        <w:rPr>
          <w:rFonts w:ascii="Arial" w:cs="Arial" w:eastAsia="Arial" w:hAnsi="Arial"/>
          <w:sz w:val="17"/>
          <w:szCs w:val="17"/>
          <w:b w:val="1"/>
          <w:bCs w:val="1"/>
          <w:color w:val="auto"/>
        </w:rPr>
        <w:t>(aa)         </w:t>
      </w: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(bb)         </w:t>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means any natural person, Entity or “group” (within the meaning of Section 13(d) or 14(d) of the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w:t>
      </w:r>
    </w:p>
    <w:p>
      <w:pPr>
        <w:spacing w:after="0" w:line="2" w:lineRule="exact"/>
        <w:rPr>
          <w:sz w:val="20"/>
          <w:szCs w:val="20"/>
          <w:color w:val="auto"/>
        </w:rPr>
      </w:pPr>
    </w:p>
    <w:p>
      <w:pPr>
        <w:jc w:val="both"/>
        <w:ind w:firstLine="8"/>
        <w:spacing w:after="0" w:line="255" w:lineRule="auto"/>
        <w:tabs>
          <w:tab w:leader="none" w:pos="26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(cc)         </w:t>
      </w: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unless otherwise determined by the Board, the value of the Common Stock (as determined on</w:t>
      </w:r>
      <w:r>
        <w:rPr>
          <w:rFonts w:ascii="Arial" w:cs="Arial" w:eastAsia="Arial" w:hAnsi="Arial"/>
          <w:sz w:val="18"/>
          <w:szCs w:val="18"/>
          <w:b w:val="1"/>
          <w:bCs w:val="1"/>
          <w:color w:val="auto"/>
        </w:rPr>
        <w:t xml:space="preserve"> </w:t>
      </w:r>
      <w:r>
        <w:rPr>
          <w:rFonts w:ascii="Arial" w:cs="Arial" w:eastAsia="Arial" w:hAnsi="Arial"/>
          <w:sz w:val="18"/>
          <w:szCs w:val="18"/>
          <w:color w:val="auto"/>
        </w:rPr>
        <w:t>a per share or aggregate basis, as applicable) determined as follows:</w:t>
      </w:r>
    </w:p>
    <w:p>
      <w:pPr>
        <w:spacing w:after="0" w:line="16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(i)            </w:t>
      </w:r>
      <w:r>
        <w:rPr>
          <w:rFonts w:ascii="Arial" w:cs="Arial" w:eastAsia="Arial" w:hAnsi="Arial"/>
          <w:sz w:val="18"/>
          <w:szCs w:val="18"/>
          <w:color w:val="auto"/>
        </w:rPr>
        <w:t>If the Common Stock is listed on any established stock exchange or traded on any established market, the Fair Market Value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the closing sales price for such stock as quoted on such exchange or market (or the exchange or market with the greatest volume of trading in the Common Stock) on the date of determination, as reported in a source the Board deems reliable.</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(ii)           </w:t>
      </w:r>
      <w:r>
        <w:rPr>
          <w:rFonts w:ascii="Arial" w:cs="Arial" w:eastAsia="Arial" w:hAnsi="Arial"/>
          <w:sz w:val="18"/>
          <w:szCs w:val="18"/>
          <w:color w:val="auto"/>
        </w:rPr>
        <w:t>If there is no closing sales price for the Common Stock on the date of determination, then the Fair Market Value will be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selling price on the last preceding date for which such quotation exists.</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(iii)          </w:t>
      </w:r>
      <w:r>
        <w:rPr>
          <w:rFonts w:ascii="Arial" w:cs="Arial" w:eastAsia="Arial" w:hAnsi="Arial"/>
          <w:sz w:val="18"/>
          <w:szCs w:val="18"/>
          <w:color w:val="auto"/>
        </w:rPr>
        <w:t>In the absence of such markets for the Common Stock, or if otherwise determined by the Board, the Fair Market Value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in good faith and in a manner that complies with Sections 409A and 422 of the Code.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(dd)         </w:t>
      </w:r>
      <w:r>
        <w:rPr>
          <w:rFonts w:ascii="Arial" w:cs="Arial" w:eastAsia="Arial" w:hAnsi="Arial"/>
          <w:sz w:val="18"/>
          <w:szCs w:val="18"/>
          <w:color w:val="auto"/>
        </w:rPr>
        <w:t>“</w:t>
      </w:r>
      <w:r>
        <w:rPr>
          <w:rFonts w:ascii="Arial" w:cs="Arial" w:eastAsia="Arial" w:hAnsi="Arial"/>
          <w:sz w:val="18"/>
          <w:szCs w:val="18"/>
          <w:b w:val="1"/>
          <w:bCs w:val="1"/>
          <w:i w:val="1"/>
          <w:iCs w:val="1"/>
          <w:color w:val="auto"/>
        </w:rPr>
        <w:t>Fully Diluted Common Stock</w:t>
      </w:r>
      <w:r>
        <w:rPr>
          <w:rFonts w:ascii="Arial" w:cs="Arial" w:eastAsia="Arial" w:hAnsi="Arial"/>
          <w:sz w:val="18"/>
          <w:szCs w:val="18"/>
          <w:color w:val="auto"/>
        </w:rPr>
        <w:t>” means the number of shares of Common Stock, determined as of the applicable time of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the sum of (i) the total number of shares of Common Stock issued and outstanding and (ii) the total number of shares of Common Stock subject to securities that are convertible into or exercisable for shares of Common Stock (whether vested or unvested).</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(ee)         </w:t>
      </w: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(i) nation, state, commonwealth, province, territory, county, municipality, district or other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6" w:name="page257"/>
    <w:bookmarkEnd w:id="256"/>
    <w:p>
      <w:pPr>
        <w:jc w:val="both"/>
        <w:ind w:firstLine="648"/>
        <w:spacing w:after="0" w:line="266" w:lineRule="auto"/>
        <w:rPr>
          <w:sz w:val="20"/>
          <w:szCs w:val="20"/>
          <w:color w:val="auto"/>
        </w:rPr>
      </w:pPr>
      <w:r>
        <w:rPr>
          <w:rFonts w:ascii="Arial" w:cs="Arial" w:eastAsia="Arial" w:hAnsi="Arial"/>
          <w:sz w:val="18"/>
          <w:szCs w:val="18"/>
          <w:b w:val="1"/>
          <w:bCs w:val="1"/>
          <w:color w:val="auto"/>
        </w:rPr>
        <w:t>(ff)           </w:t>
      </w:r>
      <w:r>
        <w:rPr>
          <w:rFonts w:ascii="Arial" w:cs="Arial" w:eastAsia="Arial" w:hAnsi="Arial"/>
          <w:sz w:val="18"/>
          <w:szCs w:val="18"/>
          <w:color w:val="auto"/>
        </w:rPr>
        <w:t>“</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means the notice provided to a Participant that he or she has been granted an Award under the Plan and which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(gg)         </w:t>
      </w: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4 of the Plan that is intended to be, and qualifies as, an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within the meaning of Section 422 of the Code.</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(hh)         </w:t>
      </w:r>
      <w:r>
        <w:rPr>
          <w:rFonts w:ascii="Arial" w:cs="Arial" w:eastAsia="Arial" w:hAnsi="Arial"/>
          <w:sz w:val="17"/>
          <w:szCs w:val="17"/>
          <w:color w:val="auto"/>
        </w:rPr>
        <w:t>“</w:t>
      </w:r>
      <w:r>
        <w:rPr>
          <w:rFonts w:ascii="Arial" w:cs="Arial" w:eastAsia="Arial" w:hAnsi="Arial"/>
          <w:sz w:val="17"/>
          <w:szCs w:val="17"/>
          <w:b w:val="1"/>
          <w:bCs w:val="1"/>
          <w:i w:val="1"/>
          <w:iCs w:val="1"/>
          <w:color w:val="auto"/>
        </w:rPr>
        <w:t>Materially Impair</w:t>
      </w:r>
      <w:r>
        <w:rPr>
          <w:rFonts w:ascii="Arial" w:cs="Arial" w:eastAsia="Arial" w:hAnsi="Arial"/>
          <w:sz w:val="17"/>
          <w:szCs w:val="17"/>
          <w:color w:val="auto"/>
        </w:rPr>
        <w:t>” means any amendment to the terms of the Award that materially adversely affects the Participant’s rights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409A,or (v) to comply with other Applicable Laws.</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(ii)           </w:t>
      </w: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means that certain Agreement and Plan of Merger, dated as of November 11, 2022, as amended April 4, 2023,</w:t>
      </w:r>
      <w:r>
        <w:rPr>
          <w:rFonts w:ascii="Arial" w:cs="Arial" w:eastAsia="Arial" w:hAnsi="Arial"/>
          <w:sz w:val="18"/>
          <w:szCs w:val="18"/>
          <w:b w:val="1"/>
          <w:bCs w:val="1"/>
          <w:color w:val="auto"/>
        </w:rPr>
        <w:t xml:space="preserve"> </w:t>
      </w:r>
      <w:r>
        <w:rPr>
          <w:rFonts w:ascii="Arial" w:cs="Arial" w:eastAsia="Arial" w:hAnsi="Arial"/>
          <w:sz w:val="18"/>
          <w:szCs w:val="18"/>
          <w:color w:val="auto"/>
        </w:rPr>
        <w:t>May 13, 2023, and July 5, 2023, by and among MedTech Acquisition Corporation, a Delaware corporation (“</w:t>
      </w:r>
      <w:r>
        <w:rPr>
          <w:rFonts w:ascii="Arial" w:cs="Arial" w:eastAsia="Arial" w:hAnsi="Arial"/>
          <w:sz w:val="18"/>
          <w:szCs w:val="18"/>
          <w:b w:val="1"/>
          <w:bCs w:val="1"/>
          <w:i w:val="1"/>
          <w:iCs w:val="1"/>
          <w:color w:val="auto"/>
        </w:rPr>
        <w:t>MTAC</w:t>
      </w:r>
      <w:r>
        <w:rPr>
          <w:rFonts w:ascii="Arial" w:cs="Arial" w:eastAsia="Arial" w:hAnsi="Arial"/>
          <w:sz w:val="18"/>
          <w:szCs w:val="18"/>
          <w:color w:val="auto"/>
        </w:rPr>
        <w:t>”), MTAC Merger Sub, Inc., a Delaware corporation and direct, wholly owned subsidiary of MTAC, and TriSalus Life Sciences, Inc., a Delaware corporation.</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(jj)           </w:t>
      </w: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either (i) is not a current employee or officer of the Company or an Affiliate,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8"/>
          <w:szCs w:val="18"/>
          <w:b w:val="1"/>
          <w:bCs w:val="1"/>
          <w:i w:val="1"/>
          <w:iCs w:val="1"/>
          <w:color w:val="auto"/>
        </w:rPr>
        <w:t>Regulation S-K</w:t>
      </w:r>
      <w:r>
        <w:rPr>
          <w:rFonts w:ascii="Arial" w:cs="Arial" w:eastAsia="Arial" w:hAnsi="Arial"/>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(kk)        </w:t>
      </w: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Award</w:t>
      </w:r>
      <w:r>
        <w:rPr>
          <w:rFonts w:ascii="Arial" w:cs="Arial" w:eastAsia="Arial" w:hAnsi="Arial"/>
          <w:sz w:val="18"/>
          <w:szCs w:val="18"/>
          <w:color w:val="auto"/>
        </w:rPr>
        <w:t>” means any Award that is subject to, and not exempt from, Section 409A, including as the result of (i) a deferral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the shares subject to the Award which is elected by the Participant or imposed by the Company, or (ii) the terms of any Non-Exempt Severance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7" w:name="page258"/>
    <w:bookmarkEnd w:id="257"/>
    <w:p>
      <w:pPr>
        <w:jc w:val="both"/>
        <w:ind w:firstLine="648"/>
        <w:spacing w:after="0" w:line="282" w:lineRule="auto"/>
        <w:rPr>
          <w:sz w:val="20"/>
          <w:szCs w:val="20"/>
          <w:color w:val="auto"/>
        </w:rPr>
      </w:pPr>
      <w:r>
        <w:rPr>
          <w:rFonts w:ascii="Arial" w:cs="Arial" w:eastAsia="Arial" w:hAnsi="Arial"/>
          <w:sz w:val="18"/>
          <w:szCs w:val="18"/>
          <w:b w:val="1"/>
          <w:bCs w:val="1"/>
          <w:color w:val="auto"/>
        </w:rPr>
        <w:t>(ll)           </w:t>
      </w: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Director Award</w:t>
      </w:r>
      <w:r>
        <w:rPr>
          <w:rFonts w:ascii="Arial" w:cs="Arial" w:eastAsia="Arial" w:hAnsi="Arial"/>
          <w:sz w:val="18"/>
          <w:szCs w:val="18"/>
          <w:color w:val="auto"/>
        </w:rPr>
        <w:t>” means a Non-Exempt Award granted to a Participant who was a Director but not an Employee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grant date.</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(mm)       </w:t>
      </w:r>
      <w:r>
        <w:rPr>
          <w:rFonts w:ascii="Arial" w:cs="Arial" w:eastAsia="Arial" w:hAnsi="Arial"/>
          <w:sz w:val="17"/>
          <w:szCs w:val="17"/>
          <w:color w:val="auto"/>
        </w:rPr>
        <w:t>“</w:t>
      </w:r>
      <w:r>
        <w:rPr>
          <w:rFonts w:ascii="Arial" w:cs="Arial" w:eastAsia="Arial" w:hAnsi="Arial"/>
          <w:sz w:val="17"/>
          <w:szCs w:val="17"/>
          <w:b w:val="1"/>
          <w:bCs w:val="1"/>
          <w:i w:val="1"/>
          <w:iCs w:val="1"/>
          <w:color w:val="auto"/>
        </w:rPr>
        <w:t>Non-Exempt Severance Arrangement</w:t>
      </w:r>
      <w:r>
        <w:rPr>
          <w:rFonts w:ascii="Arial" w:cs="Arial" w:eastAsia="Arial" w:hAnsi="Arial"/>
          <w:sz w:val="17"/>
          <w:szCs w:val="17"/>
          <w:color w:val="auto"/>
        </w:rPr>
        <w:t>” means a severance arrangement or other agreement between the Participant and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and such severance benefit does not satisfy the requirements for an exemption from application of Section 409A provided under Treasury Regulations Section 1.409A-1(b)(4), 1.409A-1(b)(9) or otherwise.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(nn)         </w:t>
      </w:r>
      <w:r>
        <w:rPr>
          <w:rFonts w:ascii="Arial" w:cs="Arial" w:eastAsia="Arial" w:hAnsi="Arial"/>
          <w:sz w:val="16"/>
          <w:szCs w:val="16"/>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any option granted pursuant to Section 4 of the Plan that does not qualify as an Incentive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Option.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(oo)         </w:t>
      </w: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(pp)         </w:t>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(qq)         </w:t>
      </w: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or electronic agreement between the Company and the Optionholder evidencing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(rr)         </w:t>
      </w: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Option.</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(ss)         </w:t>
      </w:r>
      <w:r>
        <w:rPr>
          <w:rFonts w:ascii="Arial" w:cs="Arial" w:eastAsia="Arial" w:hAnsi="Arial"/>
          <w:sz w:val="17"/>
          <w:szCs w:val="17"/>
          <w:color w:val="auto"/>
        </w:rPr>
        <w:t>“</w:t>
      </w:r>
      <w:r>
        <w:rPr>
          <w:rFonts w:ascii="Arial" w:cs="Arial" w:eastAsia="Arial" w:hAnsi="Arial"/>
          <w:sz w:val="17"/>
          <w:szCs w:val="17"/>
          <w:b w:val="1"/>
          <w:bCs w:val="1"/>
          <w:i w:val="1"/>
          <w:iCs w:val="1"/>
          <w:color w:val="auto"/>
        </w:rPr>
        <w:t>Other Award</w:t>
      </w:r>
      <w:r>
        <w:rPr>
          <w:rFonts w:ascii="Arial" w:cs="Arial" w:eastAsia="Arial" w:hAnsi="Arial"/>
          <w:sz w:val="17"/>
          <w:szCs w:val="17"/>
          <w:color w:val="auto"/>
        </w:rPr>
        <w:t>” means an award valued in whole or in part by reference to, or otherwise based on, Common Stock,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15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(tt)           </w:t>
      </w:r>
      <w:r>
        <w:rPr>
          <w:rFonts w:ascii="Arial" w:cs="Arial" w:eastAsia="Arial" w:hAnsi="Arial"/>
          <w:sz w:val="17"/>
          <w:szCs w:val="17"/>
          <w:color w:val="auto"/>
        </w:rPr>
        <w:t>“</w:t>
      </w:r>
      <w:r>
        <w:rPr>
          <w:rFonts w:ascii="Arial" w:cs="Arial" w:eastAsia="Arial" w:hAnsi="Arial"/>
          <w:sz w:val="17"/>
          <w:szCs w:val="17"/>
          <w:b w:val="1"/>
          <w:bCs w:val="1"/>
          <w:i w:val="1"/>
          <w:iCs w:val="1"/>
          <w:color w:val="auto"/>
        </w:rPr>
        <w:t>Other Award Agreement</w:t>
      </w:r>
      <w:r>
        <w:rPr>
          <w:rFonts w:ascii="Arial" w:cs="Arial" w:eastAsia="Arial" w:hAnsi="Arial"/>
          <w:sz w:val="17"/>
          <w:szCs w:val="17"/>
          <w:color w:val="auto"/>
        </w:rPr>
        <w:t>” means a written or electronic agreement between the Company and a holder of an Other Award evidencing</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and conditions of an Other Award grant. Each Other Award Agreement will be subject to the terms and conditions of the Plan.</w:t>
      </w:r>
    </w:p>
    <w:p>
      <w:pPr>
        <w:spacing w:after="0" w:line="14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(uu)         </w:t>
      </w:r>
      <w:r>
        <w:rPr>
          <w:rFonts w:ascii="Arial" w:cs="Arial" w:eastAsia="Arial" w:hAnsi="Arial"/>
          <w:sz w:val="16"/>
          <w:szCs w:val="16"/>
          <w:color w:val="auto"/>
        </w:rPr>
        <w:t>“</w:t>
      </w:r>
      <w:r>
        <w:rPr>
          <w:rFonts w:ascii="Arial" w:cs="Arial" w:eastAsia="Arial" w:hAnsi="Arial"/>
          <w:sz w:val="16"/>
          <w:szCs w:val="16"/>
          <w:b w:val="1"/>
          <w:bCs w:val="1"/>
          <w:i w:val="1"/>
          <w:iCs w:val="1"/>
          <w:color w:val="auto"/>
        </w:rPr>
        <w:t>Own,</w:t>
      </w:r>
      <w:r>
        <w:rPr>
          <w:rFonts w:ascii="Arial" w:cs="Arial" w:eastAsia="Arial" w:hAnsi="Arial"/>
          <w:sz w:val="16"/>
          <w:szCs w:val="16"/>
          <w:color w:val="auto"/>
        </w:rPr>
        <w:t>” “</w:t>
      </w:r>
      <w:r>
        <w:rPr>
          <w:rFonts w:ascii="Arial" w:cs="Arial" w:eastAsia="Arial" w:hAnsi="Arial"/>
          <w:sz w:val="16"/>
          <w:szCs w:val="16"/>
          <w:b w:val="1"/>
          <w:bCs w:val="1"/>
          <w:i w:val="1"/>
          <w:iCs w:val="1"/>
          <w:color w:val="auto"/>
        </w:rPr>
        <w:t>Owned,</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Ownership</w:t>
      </w:r>
      <w:r>
        <w:rPr>
          <w:rFonts w:ascii="Arial" w:cs="Arial" w:eastAsia="Arial" w:hAnsi="Arial"/>
          <w:sz w:val="16"/>
          <w:szCs w:val="16"/>
          <w:color w:val="auto"/>
        </w:rPr>
        <w:t>” means that a person or Entity will be deemed to “Own,” to have “Owned,” to be the “Owner”</w:t>
      </w:r>
      <w:r>
        <w:rPr>
          <w:rFonts w:ascii="Arial" w:cs="Arial" w:eastAsia="Arial" w:hAnsi="Arial"/>
          <w:sz w:val="16"/>
          <w:szCs w:val="16"/>
          <w:b w:val="1"/>
          <w:bCs w:val="1"/>
          <w:color w:val="auto"/>
        </w:rPr>
        <w:t xml:space="preserve"> </w:t>
      </w:r>
      <w:r>
        <w:rPr>
          <w:rFonts w:ascii="Arial" w:cs="Arial" w:eastAsia="Arial" w:hAnsi="Arial"/>
          <w:sz w:val="16"/>
          <w:szCs w:val="16"/>
          <w:color w:val="auto"/>
        </w:rPr>
        <w:t>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8" w:name="page259"/>
    <w:bookmarkEnd w:id="258"/>
    <w:p>
      <w:pPr>
        <w:jc w:val="both"/>
        <w:ind w:firstLine="648"/>
        <w:spacing w:after="0" w:line="282" w:lineRule="auto"/>
        <w:rPr>
          <w:sz w:val="20"/>
          <w:szCs w:val="20"/>
          <w:color w:val="auto"/>
        </w:rPr>
      </w:pPr>
      <w:r>
        <w:rPr>
          <w:rFonts w:ascii="Arial" w:cs="Arial" w:eastAsia="Arial" w:hAnsi="Arial"/>
          <w:sz w:val="18"/>
          <w:szCs w:val="18"/>
          <w:b w:val="1"/>
          <w:bCs w:val="1"/>
          <w:color w:val="auto"/>
        </w:rPr>
        <w:t>(vv)          </w:t>
      </w: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Employee, Director or Consultant to whom an Award is granted pursuant to the Plan or, if applicable,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who holds an outstanding Award.</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(ww)        </w:t>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 Award that may vest or may be exercised or a cash award that may vest or become earned and paid</w:t>
      </w:r>
      <w:r>
        <w:rPr>
          <w:rFonts w:ascii="Arial" w:cs="Arial" w:eastAsia="Arial" w:hAnsi="Arial"/>
          <w:sz w:val="16"/>
          <w:szCs w:val="16"/>
          <w:b w:val="1"/>
          <w:bCs w:val="1"/>
          <w:color w:val="auto"/>
        </w:rPr>
        <w:t xml:space="preserve"> </w:t>
      </w:r>
      <w:r>
        <w:rPr>
          <w:rFonts w:ascii="Arial" w:cs="Arial" w:eastAsia="Arial" w:hAnsi="Arial"/>
          <w:sz w:val="16"/>
          <w:szCs w:val="16"/>
          <w:color w:val="auto"/>
        </w:rPr>
        <w:t>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5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(xx)         </w:t>
      </w: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Criteria</w:t>
      </w:r>
      <w:r>
        <w:rPr>
          <w:rFonts w:ascii="Arial" w:cs="Arial" w:eastAsia="Arial" w:hAnsi="Arial"/>
          <w:sz w:val="17"/>
          <w:szCs w:val="17"/>
          <w:color w:val="auto"/>
        </w:rPr>
        <w:t>” means the one or more criteria that the Board will select for purposes of establishing the Performance Goals for a</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(yy)         </w:t>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the one or more goals established by the Board for the Performance Period based</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for any reason. Partial achievement of the specified criteria may result in the payment or vesting corresponding to the degree of achievement as specified in the Award Agreement or the written terms of a Performance Cash Award.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9" w:name="page260"/>
    <w:bookmarkEnd w:id="259"/>
    <w:p>
      <w:pPr>
        <w:jc w:val="both"/>
        <w:ind w:firstLine="648"/>
        <w:spacing w:after="0" w:line="266" w:lineRule="auto"/>
        <w:rPr>
          <w:sz w:val="20"/>
          <w:szCs w:val="20"/>
          <w:color w:val="auto"/>
        </w:rPr>
      </w:pPr>
      <w:r>
        <w:rPr>
          <w:rFonts w:ascii="Arial" w:cs="Arial" w:eastAsia="Arial" w:hAnsi="Arial"/>
          <w:sz w:val="18"/>
          <w:szCs w:val="18"/>
          <w:b w:val="1"/>
          <w:bCs w:val="1"/>
          <w:color w:val="auto"/>
        </w:rPr>
        <w:t>(zz)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time selected by the Board over which the attainment of one or more Performance Goals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measured for the purpose of determining a Participant’s right to vesting or exercise of an Award. Performance Periods may be of varying and overlapping duration, at the sole discretion of the Board.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(aaa)       </w:t>
      </w: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TriSalus Life Sciences, Inc. 2023 Equity Incentive Plan, as amended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(bbb)       </w:t>
      </w:r>
      <w:r>
        <w:rPr>
          <w:rFonts w:ascii="Arial" w:cs="Arial" w:eastAsia="Arial" w:hAnsi="Arial"/>
          <w:sz w:val="18"/>
          <w:szCs w:val="18"/>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means the person, persons, and/or third-party administrator designated by the Company to administer the day to</w:t>
      </w:r>
      <w:r>
        <w:rPr>
          <w:rFonts w:ascii="Arial" w:cs="Arial" w:eastAsia="Arial" w:hAnsi="Arial"/>
          <w:sz w:val="18"/>
          <w:szCs w:val="18"/>
          <w:b w:val="1"/>
          <w:bCs w:val="1"/>
          <w:color w:val="auto"/>
        </w:rPr>
        <w:t xml:space="preserve"> </w:t>
      </w:r>
      <w:r>
        <w:rPr>
          <w:rFonts w:ascii="Arial" w:cs="Arial" w:eastAsia="Arial" w:hAnsi="Arial"/>
          <w:sz w:val="18"/>
          <w:szCs w:val="18"/>
          <w:color w:val="auto"/>
        </w:rPr>
        <w:t>day operations of the Plan and the Company’s other equity incentive programs.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(ccc)       </w:t>
      </w:r>
      <w:r>
        <w:rPr>
          <w:rFonts w:ascii="Arial" w:cs="Arial" w:eastAsia="Arial" w:hAnsi="Arial"/>
          <w:sz w:val="18"/>
          <w:szCs w:val="18"/>
          <w:color w:val="auto"/>
        </w:rPr>
        <w:t>“</w:t>
      </w:r>
      <w:r>
        <w:rPr>
          <w:rFonts w:ascii="Arial" w:cs="Arial" w:eastAsia="Arial" w:hAnsi="Arial"/>
          <w:sz w:val="18"/>
          <w:szCs w:val="18"/>
          <w:b w:val="1"/>
          <w:bCs w:val="1"/>
          <w:i w:val="1"/>
          <w:iCs w:val="1"/>
          <w:color w:val="auto"/>
        </w:rPr>
        <w:t>Post-Termination Exercise Period</w:t>
      </w:r>
      <w:r>
        <w:rPr>
          <w:rFonts w:ascii="Arial" w:cs="Arial" w:eastAsia="Arial" w:hAnsi="Arial"/>
          <w:sz w:val="18"/>
          <w:szCs w:val="18"/>
          <w:color w:val="auto"/>
        </w:rPr>
        <w:t>” means the period following termination of a Participant’s Continuous Service within which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or SAR is exercisable, as specified in Section 4(h).</w:t>
      </w:r>
    </w:p>
    <w:p>
      <w:pPr>
        <w:spacing w:after="0" w:line="162" w:lineRule="exact"/>
        <w:rPr>
          <w:sz w:val="20"/>
          <w:szCs w:val="20"/>
          <w:color w:val="auto"/>
        </w:rPr>
      </w:pPr>
    </w:p>
    <w:p>
      <w:pPr>
        <w:ind w:firstLine="656"/>
        <w:spacing w:after="0" w:line="282" w:lineRule="auto"/>
        <w:tabs>
          <w:tab w:leader="none" w:pos="1113"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RSA</w:t>
      </w:r>
      <w:r>
        <w:rPr>
          <w:rFonts w:ascii="Arial" w:cs="Arial" w:eastAsia="Arial" w:hAnsi="Arial"/>
          <w:sz w:val="18"/>
          <w:szCs w:val="18"/>
          <w:color w:val="auto"/>
        </w:rPr>
        <w:t>” means an Award of shares of Common Stock which is granted pursuant to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 5(a).</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(eee)        </w:t>
      </w: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or electronic agreement between the Company and a holder of a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0" w:name="page261"/>
    <w:bookmarkEnd w:id="260"/>
    <w:p>
      <w:pPr>
        <w:jc w:val="both"/>
        <w:ind w:firstLine="648"/>
        <w:spacing w:after="0" w:line="282" w:lineRule="auto"/>
        <w:rPr>
          <w:sz w:val="20"/>
          <w:szCs w:val="20"/>
          <w:color w:val="auto"/>
        </w:rPr>
      </w:pPr>
      <w:r>
        <w:rPr>
          <w:rFonts w:ascii="Arial" w:cs="Arial" w:eastAsia="Arial" w:hAnsi="Arial"/>
          <w:sz w:val="18"/>
          <w:szCs w:val="18"/>
          <w:b w:val="1"/>
          <w:bCs w:val="1"/>
          <w:color w:val="auto"/>
        </w:rPr>
        <w:t>(fff)         </w:t>
      </w:r>
      <w:r>
        <w:rPr>
          <w:rFonts w:ascii="Arial" w:cs="Arial" w:eastAsia="Arial" w:hAnsi="Arial"/>
          <w:sz w:val="18"/>
          <w:szCs w:val="18"/>
          <w:color w:val="auto"/>
        </w:rPr>
        <w:t>“</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an Award of restricted stock units representing the right to receive an issuance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which is granted pursuant to the terms and conditions of Section 5(a).</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(ggg)      </w:t>
      </w:r>
      <w:r>
        <w:rPr>
          <w:rFonts w:ascii="Arial" w:cs="Arial" w:eastAsia="Arial" w:hAnsi="Arial"/>
          <w:sz w:val="17"/>
          <w:szCs w:val="17"/>
          <w:color w:val="auto"/>
        </w:rPr>
        <w:t>“</w:t>
      </w:r>
      <w:r>
        <w:rPr>
          <w:rFonts w:ascii="Arial" w:cs="Arial" w:eastAsia="Arial" w:hAnsi="Arial"/>
          <w:sz w:val="17"/>
          <w:szCs w:val="17"/>
          <w:b w:val="1"/>
          <w:bCs w:val="1"/>
          <w:i w:val="1"/>
          <w:iCs w:val="1"/>
          <w:color w:val="auto"/>
        </w:rPr>
        <w:t>RSU Award Agreement</w:t>
      </w:r>
      <w:r>
        <w:rPr>
          <w:rFonts w:ascii="Arial" w:cs="Arial" w:eastAsia="Arial" w:hAnsi="Arial"/>
          <w:sz w:val="17"/>
          <w:szCs w:val="17"/>
          <w:color w:val="auto"/>
        </w:rPr>
        <w:t>” means a written or electronic agreement between the Company and a holder of an RSU Award evidencing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of an RSU Award.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(hhh)      </w:t>
      </w:r>
      <w:r>
        <w:rPr>
          <w:rFonts w:ascii="Arial" w:cs="Arial" w:eastAsia="Arial" w:hAnsi="Arial"/>
          <w:sz w:val="17"/>
          <w:szCs w:val="17"/>
          <w:color w:val="auto"/>
        </w:rPr>
        <w:t>“</w:t>
      </w:r>
      <w:r>
        <w:rPr>
          <w:rFonts w:ascii="Arial" w:cs="Arial" w:eastAsia="Arial" w:hAnsi="Arial"/>
          <w:sz w:val="17"/>
          <w:szCs w:val="17"/>
          <w:b w:val="1"/>
          <w:bCs w:val="1"/>
          <w:i w:val="1"/>
          <w:iCs w:val="1"/>
          <w:color w:val="auto"/>
        </w:rPr>
        <w:t>Rule 16b-3</w:t>
      </w:r>
      <w:r>
        <w:rPr>
          <w:rFonts w:ascii="Arial" w:cs="Arial" w:eastAsia="Arial" w:hAnsi="Arial"/>
          <w:sz w:val="17"/>
          <w:szCs w:val="17"/>
          <w:color w:val="auto"/>
        </w:rPr>
        <w:t>” means Rule 16b-3 promulgated under the Exchange Act or any successor to Rule 16b-3, as in effect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(iii)         </w:t>
      </w: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(jjj)         </w:t>
      </w: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the regulations and other guidance thereunder.</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color w:val="auto"/>
        </w:rPr>
        <w:t>(kkk)     </w:t>
      </w:r>
      <w:r>
        <w:rPr>
          <w:rFonts w:ascii="Arial" w:cs="Arial" w:eastAsia="Arial" w:hAnsi="Arial"/>
          <w:sz w:val="17"/>
          <w:szCs w:val="17"/>
          <w:color w:val="auto"/>
        </w:rPr>
        <w:t>“</w:t>
      </w:r>
      <w:r>
        <w:rPr>
          <w:rFonts w:ascii="Arial" w:cs="Arial" w:eastAsia="Arial" w:hAnsi="Arial"/>
          <w:sz w:val="17"/>
          <w:szCs w:val="17"/>
          <w:b w:val="1"/>
          <w:bCs w:val="1"/>
          <w:i w:val="1"/>
          <w:iCs w:val="1"/>
          <w:color w:val="auto"/>
        </w:rPr>
        <w:t>Section 409A Change in Control</w:t>
      </w:r>
      <w:r>
        <w:rPr>
          <w:rFonts w:ascii="Arial" w:cs="Arial" w:eastAsia="Arial" w:hAnsi="Arial"/>
          <w:sz w:val="17"/>
          <w:szCs w:val="17"/>
          <w:color w:val="auto"/>
        </w:rPr>
        <w:t>” means a change in the ownership or effective control of the Company, or in the ownership of a</w:t>
      </w:r>
      <w:r>
        <w:rPr>
          <w:rFonts w:ascii="Arial" w:cs="Arial" w:eastAsia="Arial" w:hAnsi="Arial"/>
          <w:sz w:val="17"/>
          <w:szCs w:val="17"/>
          <w:b w:val="1"/>
          <w:bCs w:val="1"/>
          <w:color w:val="auto"/>
        </w:rPr>
        <w:t xml:space="preserve"> </w:t>
      </w:r>
      <w:r>
        <w:rPr>
          <w:rFonts w:ascii="Arial" w:cs="Arial" w:eastAsia="Arial" w:hAnsi="Arial"/>
          <w:sz w:val="17"/>
          <w:szCs w:val="17"/>
          <w:color w:val="auto"/>
        </w:rPr>
        <w:t>substantial portion of the Company’s assets, as provided in Section 409A(a)(2)(A)(v) of the Code and Treasury Regulations Section 1.409A-3(i)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 (without regard to any alternative definition thereunder).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(lll)         </w:t>
      </w: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(mmm)   </w:t>
      </w:r>
      <w:r>
        <w:rPr>
          <w:rFonts w:ascii="Arial" w:cs="Arial" w:eastAsia="Arial" w:hAnsi="Arial"/>
          <w:sz w:val="18"/>
          <w:szCs w:val="18"/>
          <w:color w:val="auto"/>
        </w:rPr>
        <w:t>“</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means the number of shares available for issuance under the Plan as set forth in Section 2(a).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(nnn)      </w:t>
      </w: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Section 4.</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(ooo)      </w:t>
      </w:r>
      <w:r>
        <w:rPr>
          <w:rFonts w:ascii="Arial" w:cs="Arial" w:eastAsia="Arial" w:hAnsi="Arial"/>
          <w:sz w:val="18"/>
          <w:szCs w:val="18"/>
          <w:color w:val="auto"/>
        </w:rPr>
        <w:t>“</w:t>
      </w:r>
      <w:r>
        <w:rPr>
          <w:rFonts w:ascii="Arial" w:cs="Arial" w:eastAsia="Arial" w:hAnsi="Arial"/>
          <w:sz w:val="18"/>
          <w:szCs w:val="18"/>
          <w:b w:val="1"/>
          <w:bCs w:val="1"/>
          <w:i w:val="1"/>
          <w:iCs w:val="1"/>
          <w:color w:val="auto"/>
        </w:rPr>
        <w:t>SAR Agreement</w:t>
      </w:r>
      <w:r>
        <w:rPr>
          <w:rFonts w:ascii="Arial" w:cs="Arial" w:eastAsia="Arial" w:hAnsi="Arial"/>
          <w:sz w:val="18"/>
          <w:szCs w:val="18"/>
          <w:color w:val="auto"/>
        </w:rPr>
        <w:t>” means a written or electronic agreement between the Company and a holder of a SAR evidencing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(ppp)      </w:t>
      </w: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Company, (i) any corporation of which more than 50% of the outstanding capital stock having</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1" w:name="page262"/>
    <w:bookmarkEnd w:id="261"/>
    <w:p>
      <w:pPr>
        <w:ind w:firstLine="648"/>
        <w:spacing w:after="0" w:line="282" w:lineRule="auto"/>
        <w:rPr>
          <w:sz w:val="20"/>
          <w:szCs w:val="20"/>
          <w:color w:val="auto"/>
        </w:rPr>
      </w:pPr>
      <w:r>
        <w:rPr>
          <w:rFonts w:ascii="Arial" w:cs="Arial" w:eastAsia="Arial" w:hAnsi="Arial"/>
          <w:sz w:val="18"/>
          <w:szCs w:val="18"/>
          <w:b w:val="1"/>
          <w:bCs w:val="1"/>
          <w:color w:val="auto"/>
        </w:rPr>
        <w:t>(qqq)       </w:t>
      </w: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10% of the total combined voting power of all classes of stock of the Company or any Affiliate.</w:t>
      </w:r>
    </w:p>
    <w:p>
      <w:pPr>
        <w:spacing w:after="0" w:line="162"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b w:val="1"/>
          <w:bCs w:val="1"/>
          <w:color w:val="auto"/>
        </w:rPr>
        <w:t>(rrr)       </w:t>
      </w:r>
      <w:r>
        <w:rPr>
          <w:rFonts w:ascii="Arial" w:cs="Arial" w:eastAsia="Arial" w:hAnsi="Arial"/>
          <w:sz w:val="17"/>
          <w:szCs w:val="17"/>
          <w:color w:val="auto"/>
        </w:rPr>
        <w:t>“</w:t>
      </w:r>
      <w:r>
        <w:rPr>
          <w:rFonts w:ascii="Arial" w:cs="Arial" w:eastAsia="Arial" w:hAnsi="Arial"/>
          <w:sz w:val="17"/>
          <w:szCs w:val="17"/>
          <w:b w:val="1"/>
          <w:bCs w:val="1"/>
          <w:i w:val="1"/>
          <w:iCs w:val="1"/>
          <w:color w:val="auto"/>
        </w:rPr>
        <w:t>Trading Policy</w:t>
      </w:r>
      <w:r>
        <w:rPr>
          <w:rFonts w:ascii="Arial" w:cs="Arial" w:eastAsia="Arial" w:hAnsi="Arial"/>
          <w:sz w:val="17"/>
          <w:szCs w:val="17"/>
          <w:color w:val="auto"/>
        </w:rPr>
        <w:t>” means the Company’s policy permitting certain individuals to sell Company shares only during certain "window"</w:t>
      </w:r>
      <w:r>
        <w:rPr>
          <w:rFonts w:ascii="Arial" w:cs="Arial" w:eastAsia="Arial" w:hAnsi="Arial"/>
          <w:sz w:val="17"/>
          <w:szCs w:val="17"/>
          <w:b w:val="1"/>
          <w:bCs w:val="1"/>
          <w:color w:val="auto"/>
        </w:rPr>
        <w:t xml:space="preserve"> </w:t>
      </w:r>
      <w:r>
        <w:rPr>
          <w:rFonts w:ascii="Arial" w:cs="Arial" w:eastAsia="Arial" w:hAnsi="Arial"/>
          <w:sz w:val="17"/>
          <w:szCs w:val="17"/>
          <w:color w:val="auto"/>
        </w:rPr>
        <w:t>periods and/or otherwise restricts the ability of certain individuals to transfer or encumber Company shares, as in effect from time to time.</w:t>
      </w:r>
    </w:p>
    <w:p>
      <w:pPr>
        <w:spacing w:after="0" w:line="14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(sss)       </w:t>
      </w:r>
      <w:r>
        <w:rPr>
          <w:rFonts w:ascii="Arial" w:cs="Arial" w:eastAsia="Arial" w:hAnsi="Arial"/>
          <w:sz w:val="18"/>
          <w:szCs w:val="18"/>
          <w:color w:val="auto"/>
        </w:rPr>
        <w:t>“</w:t>
      </w:r>
      <w:r>
        <w:rPr>
          <w:rFonts w:ascii="Arial" w:cs="Arial" w:eastAsia="Arial" w:hAnsi="Arial"/>
          <w:sz w:val="18"/>
          <w:szCs w:val="18"/>
          <w:b w:val="1"/>
          <w:bCs w:val="1"/>
          <w:i w:val="1"/>
          <w:iCs w:val="1"/>
          <w:color w:val="auto"/>
        </w:rPr>
        <w:t>Unvested Non-Exempt Award</w:t>
      </w:r>
      <w:r>
        <w:rPr>
          <w:rFonts w:ascii="Arial" w:cs="Arial" w:eastAsia="Arial" w:hAnsi="Arial"/>
          <w:sz w:val="18"/>
          <w:szCs w:val="18"/>
          <w:color w:val="auto"/>
        </w:rPr>
        <w:t>” means the portion of any Non-Exempt Award that had not vested in accordance with its terms upon or</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any Corporate Transaction.</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(ttt)         </w:t>
      </w:r>
      <w:r>
        <w:rPr>
          <w:rFonts w:ascii="Arial" w:cs="Arial" w:eastAsia="Arial" w:hAnsi="Arial"/>
          <w:sz w:val="18"/>
          <w:szCs w:val="18"/>
          <w:color w:val="auto"/>
        </w:rPr>
        <w:t>“</w:t>
      </w:r>
      <w:r>
        <w:rPr>
          <w:rFonts w:ascii="Arial" w:cs="Arial" w:eastAsia="Arial" w:hAnsi="Arial"/>
          <w:sz w:val="18"/>
          <w:szCs w:val="18"/>
          <w:b w:val="1"/>
          <w:bCs w:val="1"/>
          <w:i w:val="1"/>
          <w:iCs w:val="1"/>
          <w:color w:val="auto"/>
        </w:rPr>
        <w:t>Vested Non-Exempt Award</w:t>
      </w:r>
      <w:r>
        <w:rPr>
          <w:rFonts w:ascii="Arial" w:cs="Arial" w:eastAsia="Arial" w:hAnsi="Arial"/>
          <w:sz w:val="18"/>
          <w:szCs w:val="18"/>
          <w:color w:val="auto"/>
        </w:rPr>
        <w:t>” means the portion of any Non-Exempt Award that had vested in accordance with its terms upon or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a Corporate Transaction.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2" w:name="page263"/>
    <w:bookmarkEnd w:id="262"/>
    <w:p>
      <w:pPr>
        <w:ind w:left="10180"/>
        <w:spacing w:after="0"/>
        <w:rPr>
          <w:sz w:val="20"/>
          <w:szCs w:val="20"/>
          <w:color w:val="auto"/>
        </w:rPr>
      </w:pPr>
      <w:r>
        <w:rPr>
          <w:rFonts w:ascii="Arial" w:cs="Arial" w:eastAsia="Arial" w:hAnsi="Arial"/>
          <w:sz w:val="17"/>
          <w:szCs w:val="17"/>
          <w:b w:val="1"/>
          <w:bCs w:val="1"/>
          <w:color w:val="auto"/>
        </w:rPr>
        <w:t>Exhibit 10.22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w:t>
      </w:r>
      <w:r>
        <w:rPr>
          <w:rFonts w:ascii="Arial" w:cs="Arial" w:eastAsia="Arial" w:hAnsi="Arial"/>
          <w:sz w:val="18"/>
          <w:szCs w:val="18"/>
          <w:b w:val="1"/>
          <w:bCs w:val="1"/>
          <w:color w:val="auto"/>
        </w:rPr>
        <w:t>S</w:t>
      </w:r>
      <w:r>
        <w:rPr>
          <w:rFonts w:ascii="Arial" w:cs="Arial" w:eastAsia="Arial" w:hAnsi="Arial"/>
          <w:sz w:val="12"/>
          <w:szCs w:val="12"/>
          <w:b w:val="1"/>
          <w:bCs w:val="1"/>
          <w:color w:val="auto"/>
        </w:rPr>
        <w:t>alus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otice</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(2023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TriSalus Life 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2023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has granted to you (“</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xml:space="preserve"> an option to purchase the number of shares of the Common Stock set forth below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14605</wp:posOffset>
            </wp:positionV>
            <wp:extent cx="302577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1">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-121920</wp:posOffset>
            </wp:positionV>
            <wp:extent cx="302577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2">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-121920</wp:posOffset>
            </wp:positionV>
            <wp:extent cx="302577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3">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-121920</wp:posOffset>
            </wp:positionV>
            <wp:extent cx="302577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4">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-121920</wp:posOffset>
            </wp:positionV>
            <wp:extent cx="302577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22860</wp:posOffset>
            </wp:positionV>
            <wp:extent cx="302577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6">
                      <a:extLst>
                        <a:ext uri="{28A0092B-C50C-407E-A947-70E740481C1C}"/>
                      </a:extLst>
                    </a:blip>
                    <a:srcRect/>
                    <a:stretch>
                      <a:fillRect/>
                    </a:stretch>
                  </pic:blipFill>
                  <pic:spPr bwMode="auto">
                    <a:xfrm>
                      <a:off x="0" y="0"/>
                      <a:ext cx="302577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-121920</wp:posOffset>
            </wp:positionV>
            <wp:extent cx="302577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7">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of Grant: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and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[Incentive Stock Option]</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[Nonstatutory Stock Option]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Optionholder’s Continuous Service through each applicable vesting date, the Option will vest as follows:</w:t>
      </w:r>
    </w:p>
    <w:p>
      <w:pPr>
        <w:spacing w:after="0" w:line="4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                          </w:t>
        <w:tab/>
        <w:t>]</w:t>
      </w:r>
    </w:p>
    <w:p>
      <w:pPr>
        <w:spacing w:after="0" w:line="200" w:lineRule="exact"/>
        <w:rPr>
          <w:sz w:val="20"/>
          <w:szCs w:val="20"/>
          <w:color w:val="auto"/>
        </w:rPr>
      </w:pPr>
    </w:p>
    <w:p>
      <w:pPr>
        <w:sectPr>
          <w:pgSz w:w="11900" w:h="16838" w:orient="portrait"/>
          <w:cols w:equalWidth="0" w:num="2">
            <w:col w:w="1360" w:space="460"/>
            <w:col w:w="9420"/>
          </w:cols>
          <w:pgMar w:left="320" w:top="337" w:right="339" w:bottom="1440" w:gutter="0" w:footer="0" w:header="0"/>
          <w:type w:val="continuous"/>
        </w:sectPr>
      </w:pPr>
    </w:p>
    <w:p>
      <w:pPr>
        <w:spacing w:after="0" w:line="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ptionholder acknowledgements</w:t>
      </w:r>
      <w:r>
        <w:rPr>
          <w:rFonts w:ascii="Arial" w:cs="Arial" w:eastAsia="Arial" w:hAnsi="Arial"/>
          <w:sz w:val="18"/>
          <w:szCs w:val="18"/>
          <w:b w:val="1"/>
          <w:bCs w:val="1"/>
          <w:color w:val="auto"/>
        </w:rPr>
        <w:t xml:space="preserve">: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166" w:lineRule="exact"/>
        <w:rPr>
          <w:sz w:val="20"/>
          <w:szCs w:val="20"/>
          <w:color w:val="auto"/>
        </w:rPr>
      </w:pPr>
    </w:p>
    <w:p>
      <w:pPr>
        <w:jc w:val="both"/>
        <w:ind w:left="660" w:hanging="328"/>
        <w:spacing w:after="0" w:line="259" w:lineRule="auto"/>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Option is governed by this Stock Option Grant Notice, and the provisions of the Plan and the Stock Option Agreement and the Notice of Exercise, all of which are made a part of this document. Unless otherwise provided in the Plan, this Grant Notice and the Stock Option Agreement (together,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may not be modified, amended or revised except in a writing signed by you and a duly authorized officer of the Company.</w:t>
      </w:r>
    </w:p>
    <w:p>
      <w:pPr>
        <w:spacing w:after="0" w:line="186" w:lineRule="exact"/>
        <w:rPr>
          <w:rFonts w:ascii="Arial" w:cs="Arial" w:eastAsia="Arial" w:hAnsi="Arial"/>
          <w:sz w:val="18"/>
          <w:szCs w:val="18"/>
          <w:color w:val="auto"/>
        </w:rPr>
      </w:pPr>
    </w:p>
    <w:p>
      <w:pPr>
        <w:ind w:left="660" w:hanging="328"/>
        <w:spacing w:after="0" w:line="341" w:lineRule="auto"/>
        <w:tabs>
          <w:tab w:leader="none" w:pos="66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[If the Option is an Incentive Stock Option, it (plus other outstanding Incentive Stock Options granted to you) cannot be first exercisable for more than $100,000 in value (measured by exercise price) in any calendar year. Any excess over $100,000 is a Nonstatutory Stock Option.]</w:t>
      </w:r>
      <w:r>
        <w:rPr>
          <w:rFonts w:ascii="Arial" w:cs="Arial" w:eastAsia="Arial" w:hAnsi="Arial"/>
          <w:sz w:val="26"/>
          <w:szCs w:val="26"/>
          <w:color w:val="auto"/>
          <w:vertAlign w:val="superscript"/>
        </w:rPr>
        <w:t>1</w:t>
      </w:r>
    </w:p>
    <w:p>
      <w:pPr>
        <w:spacing w:after="0" w:line="2"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1" w:lineRule="exact"/>
        <w:rPr>
          <w:sz w:val="20"/>
          <w:szCs w:val="20"/>
          <w:color w:val="auto"/>
        </w:rPr>
      </w:pPr>
    </w:p>
    <w:p>
      <w:pPr>
        <w:ind w:firstLine="8"/>
        <w:spacing w:after="0" w:line="194" w:lineRule="auto"/>
        <w:tabs>
          <w:tab w:leader="none" w:pos="126" w:val="left"/>
        </w:tabs>
        <w:numPr>
          <w:ilvl w:val="0"/>
          <w:numId w:val="191"/>
        </w:numPr>
        <w:rPr>
          <w:rFonts w:ascii="Arial" w:cs="Arial" w:eastAsia="Arial" w:hAnsi="Arial"/>
          <w:sz w:val="30"/>
          <w:szCs w:val="30"/>
          <w:color w:val="auto"/>
          <w:vertAlign w:val="superscript"/>
        </w:rPr>
      </w:pPr>
      <w:r>
        <w:rPr>
          <w:rFonts w:ascii="Arial" w:cs="Arial" w:eastAsia="Arial" w:hAnsi="Arial"/>
          <w:sz w:val="18"/>
          <w:szCs w:val="18"/>
          <w:color w:val="auto"/>
        </w:rPr>
        <w:t>If this is an Incentive Stock Option, it (plus other outstanding Incentive Stock Options) cannot be first exercisable for more than $100,000 in value (measured by exercise price) in any calendar year. Any excess over $100,000 is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63" w:name="page264"/>
    <w:bookmarkEnd w:id="263"/>
    <w:p>
      <w:pPr>
        <w:jc w:val="both"/>
        <w:ind w:left="660" w:hanging="328"/>
        <w:spacing w:after="0" w:line="263" w:lineRule="auto"/>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183"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17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w:t>
            </w:r>
            <w:r>
              <w:rPr>
                <w:rFonts w:ascii="Arial" w:cs="Arial" w:eastAsia="Arial" w:hAnsi="Arial"/>
                <w:sz w:val="18"/>
                <w:szCs w:val="18"/>
                <w:b w:val="1"/>
                <w:bCs w:val="1"/>
                <w:color w:val="auto"/>
              </w:rPr>
              <w:t>S</w:t>
            </w:r>
            <w:r>
              <w:rPr>
                <w:rFonts w:ascii="Arial" w:cs="Arial" w:eastAsia="Arial" w:hAnsi="Arial"/>
                <w:sz w:val="12"/>
                <w:szCs w:val="12"/>
                <w:b w:val="1"/>
                <w:bCs w:val="1"/>
                <w:color w:val="auto"/>
              </w:rPr>
              <w:t>alus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5840" w:type="dxa"/>
            <w:vAlign w:val="bottom"/>
            <w:gridSpan w:val="2"/>
          </w:tcPr>
          <w:p>
            <w:pPr>
              <w:ind w:left="24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ptionholder</w:t>
            </w:r>
            <w:r>
              <w:rPr>
                <w:rFonts w:ascii="Arial" w:cs="Arial" w:eastAsia="Arial" w:hAnsi="Arial"/>
                <w:sz w:val="18"/>
                <w:szCs w:val="18"/>
                <w:b w:val="1"/>
                <w:bCs w:val="1"/>
                <w:color w:val="auto"/>
              </w:rPr>
              <w:t>:</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By:</w:t>
            </w:r>
          </w:p>
        </w:tc>
        <w:tc>
          <w:tcPr>
            <w:tcW w:w="8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4820" w:type="dxa"/>
            <w:vAlign w:val="bottom"/>
            <w:tcBorders>
              <w:top w:val="single" w:sz="8" w:color="auto"/>
            </w:tcBorders>
          </w:tcPr>
          <w:p>
            <w:pPr>
              <w:ind w:left="2060"/>
              <w:spacing w:after="0"/>
              <w:rPr>
                <w:sz w:val="20"/>
                <w:szCs w:val="20"/>
                <w:color w:val="auto"/>
              </w:rPr>
            </w:pPr>
            <w:r>
              <w:rPr>
                <w:rFonts w:ascii="Arial" w:cs="Arial" w:eastAsia="Arial" w:hAnsi="Arial"/>
                <w:sz w:val="18"/>
                <w:szCs w:val="18"/>
                <w:color w:val="auto"/>
              </w:rPr>
              <w:t>Signature</w:t>
            </w:r>
          </w:p>
        </w:tc>
        <w:tc>
          <w:tcPr>
            <w:tcW w:w="800" w:type="dxa"/>
            <w:vAlign w:val="bottom"/>
          </w:tcPr>
          <w:p>
            <w:pPr>
              <w:spacing w:after="0"/>
              <w:rPr>
                <w:sz w:val="19"/>
                <w:szCs w:val="19"/>
                <w:color w:val="auto"/>
              </w:rPr>
            </w:pPr>
          </w:p>
        </w:tc>
        <w:tc>
          <w:tcPr>
            <w:tcW w:w="5040" w:type="dxa"/>
            <w:vAlign w:val="bottom"/>
            <w:tcBorders>
              <w:top w:val="single" w:sz="8" w:color="auto"/>
            </w:tcBorders>
          </w:tcPr>
          <w:p>
            <w:pPr>
              <w:ind w:left="2180"/>
              <w:spacing w:after="0"/>
              <w:rPr>
                <w:sz w:val="20"/>
                <w:szCs w:val="20"/>
                <w:color w:val="auto"/>
              </w:rPr>
            </w:pPr>
            <w:r>
              <w:rPr>
                <w:rFonts w:ascii="Arial" w:cs="Arial" w:eastAsia="Arial" w:hAnsi="Arial"/>
                <w:sz w:val="18"/>
                <w:szCs w:val="18"/>
                <w:color w:val="auto"/>
              </w:rPr>
              <w:t>Signature</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Date:</w:t>
            </w:r>
          </w:p>
        </w:tc>
        <w:tc>
          <w:tcPr>
            <w:tcW w:w="504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06895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0">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ttachments</w:t>
      </w:r>
      <w:r>
        <w:rPr>
          <w:rFonts w:ascii="Arial" w:cs="Arial" w:eastAsia="Arial" w:hAnsi="Arial"/>
          <w:sz w:val="18"/>
          <w:szCs w:val="18"/>
          <w:color w:val="auto"/>
        </w:rPr>
        <w:t>: Stock Option Agreement, 2023 Equity Incentive Plan,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w:t>
      </w:r>
      <w:r>
        <w:rPr>
          <w:rFonts w:ascii="Arial" w:cs="Arial" w:eastAsia="Arial" w:hAnsi="Arial"/>
          <w:sz w:val="18"/>
          <w:szCs w:val="18"/>
          <w:b w:val="1"/>
          <w:bCs w:val="1"/>
          <w:color w:val="auto"/>
        </w:rPr>
        <w:t>S</w:t>
      </w:r>
      <w:r>
        <w:rPr>
          <w:rFonts w:ascii="Arial" w:cs="Arial" w:eastAsia="Arial" w:hAnsi="Arial"/>
          <w:sz w:val="12"/>
          <w:szCs w:val="12"/>
          <w:b w:val="1"/>
          <w:bCs w:val="1"/>
          <w:color w:val="auto"/>
        </w:rPr>
        <w:t>alus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2023 EQUITY INCENTIVE PLAN</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STOCK OPTION AGREEMENT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reflected by your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TriSalus Life 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an option under its 2023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a number of shares of Common Stock at the exercise price indicated in your Grant Notice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general terms and conditions applicable to your Option are as follows: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             G</w:t>
      </w:r>
      <w:r>
        <w:rPr>
          <w:rFonts w:ascii="Arial" w:cs="Arial" w:eastAsia="Arial" w:hAnsi="Arial"/>
          <w:sz w:val="12"/>
          <w:szCs w:val="12"/>
          <w:b w:val="1"/>
          <w:bCs w:val="1"/>
          <w:color w:val="auto"/>
        </w:rPr>
        <w:t>overning plan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subject to all the provisions of the Plan, including but not limited to the provisions in: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            </w:t>
      </w:r>
      <w:r>
        <w:rPr>
          <w:rFonts w:ascii="Arial" w:cs="Arial" w:eastAsia="Arial" w:hAnsi="Arial"/>
          <w:sz w:val="18"/>
          <w:szCs w:val="18"/>
          <w:color w:val="auto"/>
        </w:rPr>
        <w:t>Section 6 regarding the impact of a Capitalization Adjustment, dissolution, liquidation, or Transaction on your Option;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(b)            </w:t>
      </w:r>
      <w:r>
        <w:rPr>
          <w:rFonts w:ascii="Arial" w:cs="Arial" w:eastAsia="Arial" w:hAnsi="Arial"/>
          <w:sz w:val="17"/>
          <w:szCs w:val="17"/>
          <w:color w:val="auto"/>
        </w:rPr>
        <w:t>Section 9(e) regarding the Company’s retained rights to terminate your Continuous Service notwithstanding the grant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Option; and</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            </w:t>
      </w:r>
      <w:r>
        <w:rPr>
          <w:rFonts w:ascii="Arial" w:cs="Arial" w:eastAsia="Arial" w:hAnsi="Arial"/>
          <w:sz w:val="18"/>
          <w:szCs w:val="18"/>
          <w:color w:val="auto"/>
        </w:rPr>
        <w:t>Section 8(c) regarding the tax consequences of your Option.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2.             V</w:t>
      </w:r>
      <w:r>
        <w:rPr>
          <w:rFonts w:ascii="Arial" w:cs="Arial" w:eastAsia="Arial" w:hAnsi="Arial"/>
          <w:sz w:val="11"/>
          <w:szCs w:val="11"/>
          <w:b w:val="1"/>
          <w:bCs w:val="1"/>
          <w:color w:val="auto"/>
        </w:rPr>
        <w:t>esting</w:t>
      </w:r>
      <w:r>
        <w:rPr>
          <w:rFonts w:ascii="Arial" w:cs="Arial" w:eastAsia="Arial" w:hAnsi="Arial"/>
          <w:sz w:val="17"/>
          <w:szCs w:val="17"/>
          <w:b w:val="1"/>
          <w:bCs w:val="1"/>
          <w:color w:val="auto"/>
        </w:rPr>
        <w:t xml:space="preserve">. </w:t>
      </w:r>
      <w:r>
        <w:rPr>
          <w:rFonts w:ascii="Arial" w:cs="Arial" w:eastAsia="Arial" w:hAnsi="Arial"/>
          <w:sz w:val="17"/>
          <w:szCs w:val="17"/>
          <w:color w:val="auto"/>
        </w:rPr>
        <w:t>Your Option will vest as provided in your Grant Notice, subject to the provisions contained herein and the terms of the Plan.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Vesting will cease upon the termination of your Continuous Service.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E</w:t>
      </w:r>
      <w:r>
        <w:rPr>
          <w:rFonts w:ascii="Arial" w:cs="Arial" w:eastAsia="Arial" w:hAnsi="Arial"/>
          <w:sz w:val="12"/>
          <w:szCs w:val="12"/>
          <w:b w:val="1"/>
          <w:bCs w:val="1"/>
          <w:color w:val="auto"/>
        </w:rPr>
        <w:t>xercise</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(a)            </w:t>
      </w:r>
      <w:r>
        <w:rPr>
          <w:rFonts w:ascii="Arial" w:cs="Arial" w:eastAsia="Arial" w:hAnsi="Arial"/>
          <w:sz w:val="17"/>
          <w:szCs w:val="17"/>
          <w:color w:val="auto"/>
        </w:rPr>
        <w:t>You may generally exercise the vested portion of your Option for whole shares of Common Stock at any time during its term by</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            </w:t>
      </w:r>
      <w:r>
        <w:rPr>
          <w:rFonts w:ascii="Arial" w:cs="Arial" w:eastAsia="Arial" w:hAnsi="Arial"/>
          <w:sz w:val="18"/>
          <w:szCs w:val="18"/>
          <w:color w:val="auto"/>
        </w:rPr>
        <w:t>To the extent permitted by Applicable Law, you may pay your Option exercise price as follows: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(i)               </w:t>
      </w:r>
      <w:r>
        <w:rPr>
          <w:rFonts w:ascii="Arial" w:cs="Arial" w:eastAsia="Arial" w:hAnsi="Arial"/>
          <w:sz w:val="18"/>
          <w:szCs w:val="18"/>
          <w:color w:val="auto"/>
        </w:rPr>
        <w:t>cash, check, bank draft or money order;</w:t>
      </w:r>
    </w:p>
    <w:p>
      <w:pPr>
        <w:spacing w:after="0" w:line="225" w:lineRule="exact"/>
        <w:rPr>
          <w:sz w:val="20"/>
          <w:szCs w:val="20"/>
          <w:color w:val="auto"/>
        </w:rPr>
      </w:pPr>
    </w:p>
    <w:p>
      <w:pPr>
        <w:jc w:val="both"/>
        <w:ind w:right="20" w:firstLine="1944"/>
        <w:spacing w:after="0" w:line="282" w:lineRule="auto"/>
        <w:rPr>
          <w:sz w:val="20"/>
          <w:szCs w:val="20"/>
          <w:color w:val="auto"/>
        </w:rPr>
      </w:pPr>
      <w:r>
        <w:rPr>
          <w:rFonts w:ascii="Arial" w:cs="Arial" w:eastAsia="Arial" w:hAnsi="Arial"/>
          <w:sz w:val="18"/>
          <w:szCs w:val="18"/>
          <w:b w:val="1"/>
          <w:bCs w:val="1"/>
          <w:color w:val="auto"/>
        </w:rPr>
        <w:t>(ii)             </w:t>
      </w:r>
      <w:r>
        <w:rPr>
          <w:rFonts w:ascii="Arial" w:cs="Arial" w:eastAsia="Arial" w:hAnsi="Arial"/>
          <w:sz w:val="18"/>
          <w:szCs w:val="18"/>
          <w:color w:val="auto"/>
        </w:rPr>
        <w:t>pursuant to a “cashless exercise” program as further described in Section 4(c)(ii) of the Plan if at the time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Common Stock is publicly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5" w:name="page266"/>
    <w:bookmarkEnd w:id="265"/>
    <w:p>
      <w:pPr>
        <w:jc w:val="both"/>
        <w:ind w:firstLine="1944"/>
        <w:spacing w:after="0" w:line="282" w:lineRule="auto"/>
        <w:rPr>
          <w:sz w:val="20"/>
          <w:szCs w:val="20"/>
          <w:color w:val="auto"/>
        </w:rPr>
      </w:pPr>
      <w:r>
        <w:rPr>
          <w:rFonts w:ascii="Arial" w:cs="Arial" w:eastAsia="Arial" w:hAnsi="Arial"/>
          <w:sz w:val="18"/>
          <w:szCs w:val="18"/>
          <w:b w:val="1"/>
          <w:bCs w:val="1"/>
          <w:color w:val="auto"/>
        </w:rPr>
        <w:t>(iii)            </w:t>
      </w:r>
      <w:r>
        <w:rPr>
          <w:rFonts w:ascii="Arial" w:cs="Arial" w:eastAsia="Arial" w:hAnsi="Arial"/>
          <w:sz w:val="18"/>
          <w:szCs w:val="18"/>
          <w:color w:val="auto"/>
        </w:rPr>
        <w:t>subject to Company and/or Committee consent at the time of exercise, by delivery of previously owned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as further described in Section 4(c)(iii) of the Plan; or</w:t>
      </w:r>
    </w:p>
    <w:p>
      <w:pPr>
        <w:spacing w:after="0" w:line="162" w:lineRule="exact"/>
        <w:rPr>
          <w:sz w:val="20"/>
          <w:szCs w:val="20"/>
          <w:color w:val="auto"/>
        </w:rPr>
      </w:pPr>
    </w:p>
    <w:p>
      <w:pPr>
        <w:jc w:val="both"/>
        <w:ind w:right="20" w:firstLine="1944"/>
        <w:spacing w:after="0" w:line="282" w:lineRule="auto"/>
        <w:rPr>
          <w:sz w:val="20"/>
          <w:szCs w:val="20"/>
          <w:color w:val="auto"/>
        </w:rPr>
      </w:pPr>
      <w:r>
        <w:rPr>
          <w:rFonts w:ascii="Arial" w:cs="Arial" w:eastAsia="Arial" w:hAnsi="Arial"/>
          <w:sz w:val="18"/>
          <w:szCs w:val="18"/>
          <w:b w:val="1"/>
          <w:bCs w:val="1"/>
          <w:color w:val="auto"/>
        </w:rPr>
        <w:t>(iv)             </w:t>
      </w:r>
      <w:r>
        <w:rPr>
          <w:rFonts w:ascii="Arial" w:cs="Arial" w:eastAsia="Arial" w:hAnsi="Arial"/>
          <w:sz w:val="18"/>
          <w:szCs w:val="18"/>
          <w:color w:val="auto"/>
        </w:rPr>
        <w:t>subject to Company and/or Committee consent at the time of exercise, if the Option is a Nonstatutory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by a “net exercise” arrangement as further described in Section 4(c)(iv) of the Plan.</w:t>
      </w:r>
    </w:p>
    <w:p>
      <w:pPr>
        <w:spacing w:after="0" w:line="162"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b w:val="1"/>
          <w:bCs w:val="1"/>
          <w:color w:val="auto"/>
        </w:rPr>
        <w:t>(c)            </w:t>
      </w:r>
      <w:r>
        <w:rPr>
          <w:rFonts w:ascii="Arial" w:cs="Arial" w:eastAsia="Arial" w:hAnsi="Arial"/>
          <w:sz w:val="16"/>
          <w:szCs w:val="16"/>
          <w:color w:val="auto"/>
        </w:rPr>
        <w:t>By accepting your Option, you agree that you will not sell, dispose of, transfer, make any short sale of, grant any option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Section 3(c)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3(c). The underwriters of the Company’s stock are intended third party beneficiaries of this Section 3(c) and will have the right, power and authority to enforce the provisions hereof as though they were a party hereto.</w:t>
      </w:r>
    </w:p>
    <w:p>
      <w:pPr>
        <w:spacing w:after="0" w:line="16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4.             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exercise your Option before the commencement of its term or after its term expires. The term of your Option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commences on the Date of Grant and expires, subject to the provisions of Section 4(h) of the Plan, upon the earliest of the following:</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            </w:t>
      </w:r>
      <w:r>
        <w:rPr>
          <w:rFonts w:ascii="Arial" w:cs="Arial" w:eastAsia="Arial" w:hAnsi="Arial"/>
          <w:sz w:val="18"/>
          <w:szCs w:val="18"/>
          <w:color w:val="auto"/>
        </w:rPr>
        <w:t>immediately upon the termination of your Continuous Service for Cause;</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b w:val="1"/>
          <w:bCs w:val="1"/>
          <w:color w:val="auto"/>
        </w:rPr>
        <w:t>(b)            </w:t>
      </w:r>
      <w:r>
        <w:rPr>
          <w:rFonts w:ascii="Arial" w:cs="Arial" w:eastAsia="Arial" w:hAnsi="Arial"/>
          <w:sz w:val="16"/>
          <w:szCs w:val="16"/>
          <w:color w:val="auto"/>
        </w:rPr>
        <w:t>three (3) months after the termination of your Continuous Service for any reason other than Cause, your Disability or your death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(except as otherwise provided in Section 4(d)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during any part of such three (3) month period your Option is not exercisable solely because of the condition set forth in the section below regarding “Securities Law Compliance,” your Option will not expire until the earlier of the Expiration Date or until it has been exercisable for an aggregate period of three (3) months after the termination of your Continuous Service;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if during any part of such three (3) month period, the sale of any shares of Common Stock received upon exercise of your Option would</w:t>
      </w:r>
      <w:r>
        <w:rPr>
          <w:rFonts w:ascii="Arial" w:cs="Arial" w:eastAsia="Arial" w:hAnsi="Arial"/>
          <w:sz w:val="16"/>
          <w:szCs w:val="16"/>
          <w:i w:val="1"/>
          <w:iCs w:val="1"/>
          <w:color w:val="auto"/>
        </w:rPr>
        <w:t xml:space="preserve"> </w:t>
      </w:r>
      <w:r>
        <w:rPr>
          <w:rFonts w:ascii="Arial" w:cs="Arial" w:eastAsia="Arial" w:hAnsi="Arial"/>
          <w:sz w:val="16"/>
          <w:szCs w:val="16"/>
          <w:color w:val="auto"/>
        </w:rPr>
        <w:t>violate the Company’s insider trading policy, then your Option will not expire until the earlier of the Expiration Date or until it has been exercisable for an aggregate period of three (3) months after the termination of your Continuous Service during which the sale of the shares of Common Stock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spacing w:after="0" w:line="163"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(c)            </w:t>
      </w:r>
      <w:r>
        <w:rPr>
          <w:rFonts w:ascii="Arial" w:cs="Arial" w:eastAsia="Arial" w:hAnsi="Arial"/>
          <w:sz w:val="18"/>
          <w:szCs w:val="18"/>
          <w:color w:val="auto"/>
        </w:rPr>
        <w:t>twelve (12) months after the termination of your Continuous Service due to your Disability (except as otherwise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4(d) below);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6" w:name="page267"/>
    <w:bookmarkEnd w:id="266"/>
    <w:p>
      <w:pPr>
        <w:jc w:val="both"/>
        <w:ind w:right="20" w:firstLine="1296"/>
        <w:spacing w:after="0" w:line="282" w:lineRule="auto"/>
        <w:rPr>
          <w:sz w:val="20"/>
          <w:szCs w:val="20"/>
          <w:color w:val="auto"/>
        </w:rPr>
      </w:pPr>
      <w:r>
        <w:rPr>
          <w:rFonts w:ascii="Arial" w:cs="Arial" w:eastAsia="Arial" w:hAnsi="Arial"/>
          <w:sz w:val="18"/>
          <w:szCs w:val="18"/>
          <w:b w:val="1"/>
          <w:bCs w:val="1"/>
          <w:color w:val="auto"/>
        </w:rPr>
        <w:t>(d)            </w:t>
      </w:r>
      <w:r>
        <w:rPr>
          <w:rFonts w:ascii="Arial" w:cs="Arial" w:eastAsia="Arial" w:hAnsi="Arial"/>
          <w:sz w:val="18"/>
          <w:szCs w:val="18"/>
          <w:color w:val="auto"/>
        </w:rPr>
        <w:t>eighteen (18) months after your death if you die either during your Continuous Service or within three (3) months after your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Continuous Service terminates for any reason other than Cause;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(e)            </w:t>
      </w:r>
      <w:r>
        <w:rPr>
          <w:rFonts w:ascii="Arial" w:cs="Arial" w:eastAsia="Arial" w:hAnsi="Arial"/>
          <w:sz w:val="18"/>
          <w:szCs w:val="18"/>
          <w:color w:val="auto"/>
        </w:rPr>
        <w:t>immediately upon a Corporate Transaction if the Board has determined that the Option will terminate in connection with a</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Transaction;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            </w:t>
      </w:r>
      <w:r>
        <w:rPr>
          <w:rFonts w:ascii="Arial" w:cs="Arial" w:eastAsia="Arial" w:hAnsi="Arial"/>
          <w:sz w:val="18"/>
          <w:szCs w:val="18"/>
          <w:color w:val="auto"/>
        </w:rPr>
        <w:t>the Expiration Date indicated in your Grant Notice; 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           </w:t>
      </w:r>
      <w:r>
        <w:rPr>
          <w:rFonts w:ascii="Arial" w:cs="Arial" w:eastAsia="Arial" w:hAnsi="Arial"/>
          <w:sz w:val="18"/>
          <w:szCs w:val="18"/>
          <w:color w:val="auto"/>
        </w:rPr>
        <w:t>the day before the tenth (10th) anniversary of the Date of Grant.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your Option is an Incentive Stock Option, note that to obtain the federal income tax advantages associated with an Incentive Stock Option, the Code requires that at all times beginning on the Date of Grant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1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5.             W</w:t>
      </w:r>
      <w:r>
        <w:rPr>
          <w:rFonts w:ascii="Arial" w:cs="Arial" w:eastAsia="Arial" w:hAnsi="Arial"/>
          <w:sz w:val="11"/>
          <w:szCs w:val="11"/>
          <w:b w:val="1"/>
          <w:bCs w:val="1"/>
          <w:color w:val="auto"/>
        </w:rPr>
        <w:t>ithholding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As further provided in Section 8 of the Plan: (a) you may not exercise your Option unless the applicable tax</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6.             I</w:t>
      </w:r>
      <w:r>
        <w:rPr>
          <w:rFonts w:ascii="Arial" w:cs="Arial" w:eastAsia="Arial" w:hAnsi="Arial"/>
          <w:sz w:val="11"/>
          <w:szCs w:val="11"/>
          <w:b w:val="1"/>
          <w:bCs w:val="1"/>
          <w:color w:val="auto"/>
        </w:rPr>
        <w:t>ncentive stock option disposition requirement</w:t>
      </w:r>
      <w:r>
        <w:rPr>
          <w:rFonts w:ascii="Arial" w:cs="Arial" w:eastAsia="Arial" w:hAnsi="Arial"/>
          <w:sz w:val="17"/>
          <w:szCs w:val="17"/>
          <w:b w:val="1"/>
          <w:bCs w:val="1"/>
          <w:color w:val="auto"/>
        </w:rPr>
        <w:t xml:space="preserve">. </w:t>
      </w:r>
      <w:r>
        <w:rPr>
          <w:rFonts w:ascii="Arial" w:cs="Arial" w:eastAsia="Arial" w:hAnsi="Arial"/>
          <w:sz w:val="17"/>
          <w:szCs w:val="17"/>
          <w:color w:val="auto"/>
        </w:rPr>
        <w:t>If your Option is an Incentive Stock Option, you must notify the Company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spacing w:after="0" w:line="15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7.             T</w:t>
      </w:r>
      <w:r>
        <w:rPr>
          <w:rFonts w:ascii="Arial" w:cs="Arial" w:eastAsia="Arial" w:hAnsi="Arial"/>
          <w:sz w:val="12"/>
          <w:szCs w:val="12"/>
          <w:b w:val="1"/>
          <w:bCs w:val="1"/>
          <w:color w:val="auto"/>
        </w:rPr>
        <w: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Section 4(e) of the Plan, your Option is not transferable, except by will or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laws of descent and distribution, and is exercisable during your life only by you.</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8.             C</w:t>
      </w:r>
      <w:r>
        <w:rPr>
          <w:rFonts w:ascii="Arial" w:cs="Arial" w:eastAsia="Arial" w:hAnsi="Arial"/>
          <w:sz w:val="12"/>
          <w:szCs w:val="12"/>
          <w:b w:val="1"/>
          <w:bCs w:val="1"/>
          <w:color w:val="auto"/>
        </w:rPr>
        <w:t>orporate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subject to the terms of any agreement governing a Corporate Transaction involving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a provision for the appointment of a stockholder representative that is authorized to act on your behalf with respect to any escrow, indemnities and any contingent consideration.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7" w:name="page268"/>
    <w:bookmarkEnd w:id="267"/>
    <w:p>
      <w:pPr>
        <w:jc w:val="both"/>
        <w:ind w:firstLine="648"/>
        <w:spacing w:after="0" w:line="258" w:lineRule="auto"/>
        <w:rPr>
          <w:sz w:val="20"/>
          <w:szCs w:val="20"/>
          <w:color w:val="auto"/>
        </w:rPr>
      </w:pPr>
      <w:r>
        <w:rPr>
          <w:rFonts w:ascii="Arial" w:cs="Arial" w:eastAsia="Arial" w:hAnsi="Arial"/>
          <w:sz w:val="18"/>
          <w:szCs w:val="18"/>
          <w:b w:val="1"/>
          <w:bCs w:val="1"/>
          <w:color w:val="auto"/>
        </w:rPr>
        <w:t>9.             S</w:t>
      </w:r>
      <w:r>
        <w:rPr>
          <w:rFonts w:ascii="Arial" w:cs="Arial" w:eastAsia="Arial" w:hAnsi="Arial"/>
          <w:sz w:val="12"/>
          <w:szCs w:val="12"/>
          <w:b w:val="1"/>
          <w:bCs w:val="1"/>
          <w:color w:val="auto"/>
        </w:rPr>
        <w:t>ecurities law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In no event may you exercise your Option unless the Common Stock issuable upon exercise are then</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10.           N</w:t>
      </w:r>
      <w:r>
        <w:rPr>
          <w:rFonts w:ascii="Arial" w:cs="Arial" w:eastAsia="Arial" w:hAnsi="Arial"/>
          <w:sz w:val="11"/>
          <w:szCs w:val="11"/>
          <w:b w:val="1"/>
          <w:bCs w:val="1"/>
          <w:color w:val="auto"/>
        </w:rPr>
        <w:t>o liability for taxes</w:t>
      </w:r>
      <w:r>
        <w:rPr>
          <w:rFonts w:ascii="Arial" w:cs="Arial" w:eastAsia="Arial" w:hAnsi="Arial"/>
          <w:sz w:val="16"/>
          <w:szCs w:val="16"/>
          <w:color w:val="auto"/>
        </w:rPr>
        <w:t>. As a condition to accepting the Option, you hereby (a) agree to not make any claim against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11.           S</w:t>
      </w:r>
      <w:r>
        <w:rPr>
          <w:rFonts w:ascii="Arial" w:cs="Arial" w:eastAsia="Arial" w:hAnsi="Arial"/>
          <w:sz w:val="12"/>
          <w:szCs w:val="12"/>
          <w:b w:val="1"/>
          <w:bCs w:val="1"/>
          <w:color w:val="auto"/>
        </w:rPr>
        <w:t>everability</w:t>
      </w:r>
      <w:r>
        <w:rPr>
          <w:rFonts w:ascii="Arial" w:cs="Arial" w:eastAsia="Arial" w:hAnsi="Arial"/>
          <w:sz w:val="18"/>
          <w:szCs w:val="18"/>
          <w:color w:val="auto"/>
        </w:rPr>
        <w:t>. If any part of this Option Agreement or the Plan is declared by any court or Governmental Body to be unlawful or invalid,</w:t>
      </w:r>
      <w:r>
        <w:rPr>
          <w:rFonts w:ascii="Arial" w:cs="Arial" w:eastAsia="Arial" w:hAnsi="Arial"/>
          <w:sz w:val="18"/>
          <w:szCs w:val="18"/>
          <w:b w:val="1"/>
          <w:bCs w:val="1"/>
          <w:color w:val="auto"/>
        </w:rPr>
        <w:t xml:space="preserve"> </w:t>
      </w:r>
      <w:r>
        <w:rPr>
          <w:rFonts w:ascii="Arial" w:cs="Arial" w:eastAsia="Arial" w:hAnsi="Arial"/>
          <w:sz w:val="18"/>
          <w:szCs w:val="18"/>
          <w:color w:val="auto"/>
        </w:rPr>
        <w:t>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12.           O</w:t>
      </w:r>
      <w:r>
        <w:rPr>
          <w:rFonts w:ascii="Arial" w:cs="Arial" w:eastAsia="Arial" w:hAnsi="Arial"/>
          <w:sz w:val="12"/>
          <w:szCs w:val="12"/>
          <w:b w:val="1"/>
          <w:bCs w:val="1"/>
          <w:color w:val="auto"/>
        </w:rPr>
        <w:t>ption not a service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not an employment or service contract, and nothing in your Option will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create in any way whatsoever any obligation on your part to continue in the employ or service of the Company or an Affiliate, or of the Company or an Affiliate to continue your employment or service. In addition, nothing in your Option will obligate the Company or an Affiliate, their respective shareholders, boards of directors, officers or employees to continue any relationship that you might have as a Director or Consultant for the Company or an Affiliate.</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13.           G</w:t>
      </w:r>
      <w:r>
        <w:rPr>
          <w:rFonts w:ascii="Arial" w:cs="Arial" w:eastAsia="Arial" w:hAnsi="Arial"/>
          <w:sz w:val="12"/>
          <w:szCs w:val="12"/>
          <w:b w:val="1"/>
          <w:bCs w:val="1"/>
          <w:color w:val="auto"/>
        </w:rPr>
        <w:t>overning plan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subject to all the provisions of the Plan, the provisions of which are hereby made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14.           O</w:t>
      </w:r>
      <w:r>
        <w:rPr>
          <w:rFonts w:ascii="Arial" w:cs="Arial" w:eastAsia="Arial" w:hAnsi="Arial"/>
          <w:sz w:val="12"/>
          <w:szCs w:val="12"/>
          <w:b w:val="1"/>
          <w:bCs w:val="1"/>
          <w:color w:val="auto"/>
        </w:rPr>
        <w:t>ther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You hereby acknowledge receipt of or the right to receive a document providing the information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Rule 428(b)(1) promulgated under the Securities Act, which includes the document containing Plan information specified in Section 10(a) of the Securities Act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In addition, you acknowledge receipt of the Company’s Trading Policy.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8" w:name="page269"/>
    <w:bookmarkEnd w:id="268"/>
    <w:p>
      <w:pPr>
        <w:ind w:firstLine="648"/>
        <w:spacing w:after="0" w:line="282" w:lineRule="auto"/>
        <w:rPr>
          <w:sz w:val="20"/>
          <w:szCs w:val="20"/>
          <w:color w:val="auto"/>
        </w:rPr>
      </w:pPr>
      <w:r>
        <w:rPr>
          <w:rFonts w:ascii="Arial" w:cs="Arial" w:eastAsia="Arial" w:hAnsi="Arial"/>
          <w:sz w:val="18"/>
          <w:szCs w:val="18"/>
          <w:b w:val="1"/>
          <w:bCs w:val="1"/>
          <w:color w:val="auto"/>
        </w:rPr>
        <w:t>15.           Q</w:t>
      </w:r>
      <w:r>
        <w:rPr>
          <w:rFonts w:ascii="Arial" w:cs="Arial" w:eastAsia="Arial" w:hAnsi="Arial"/>
          <w:sz w:val="12"/>
          <w:szCs w:val="12"/>
          <w:b w:val="1"/>
          <w:bCs w:val="1"/>
          <w:color w:val="auto"/>
        </w:rPr>
        <w:t>uestions</w:t>
      </w:r>
      <w:r>
        <w:rPr>
          <w:rFonts w:ascii="Arial" w:cs="Arial" w:eastAsia="Arial" w:hAnsi="Arial"/>
          <w:sz w:val="18"/>
          <w:szCs w:val="18"/>
          <w:b w:val="1"/>
          <w:bCs w:val="1"/>
          <w:color w:val="auto"/>
        </w:rPr>
        <w:t xml:space="preserve">. </w:t>
      </w:r>
      <w:r>
        <w:rPr>
          <w:rFonts w:ascii="Arial" w:cs="Arial" w:eastAsia="Arial" w:hAnsi="Arial"/>
          <w:sz w:val="18"/>
          <w:szCs w:val="18"/>
          <w:color w:val="auto"/>
        </w:rPr>
        <w:t>If you have questions regarding these or any other terms and conditions applicable to your Option, including a summary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federal income tax consequences please see the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t>2023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xercise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ri</w:t>
      </w:r>
      <w:r>
        <w:rPr>
          <w:rFonts w:ascii="Arial" w:cs="Arial" w:eastAsia="Arial" w:hAnsi="Arial"/>
          <w:sz w:val="18"/>
          <w:szCs w:val="18"/>
          <w:color w:val="auto"/>
        </w:rPr>
        <w:t>S</w:t>
      </w:r>
      <w:r>
        <w:rPr>
          <w:rFonts w:ascii="Arial" w:cs="Arial" w:eastAsia="Arial" w:hAnsi="Arial"/>
          <w:sz w:val="12"/>
          <w:szCs w:val="12"/>
          <w:color w:val="auto"/>
        </w:rPr>
        <w:t>alus</w:t>
      </w:r>
      <w:r>
        <w:rPr>
          <w:rFonts w:ascii="Arial" w:cs="Arial" w:eastAsia="Arial" w:hAnsi="Arial"/>
          <w:sz w:val="18"/>
          <w:szCs w:val="18"/>
          <w:color w:val="auto"/>
        </w:rPr>
        <w:t xml:space="preserve"> L</w:t>
      </w:r>
      <w:r>
        <w:rPr>
          <w:rFonts w:ascii="Arial" w:cs="Arial" w:eastAsia="Arial" w:hAnsi="Arial"/>
          <w:sz w:val="12"/>
          <w:szCs w:val="12"/>
          <w:color w:val="auto"/>
        </w:rPr>
        <w:t>ife</w:t>
      </w:r>
      <w:r>
        <w:rPr>
          <w:rFonts w:ascii="Arial" w:cs="Arial" w:eastAsia="Arial" w:hAnsi="Arial"/>
          <w:sz w:val="18"/>
          <w:szCs w:val="18"/>
          <w:color w:val="auto"/>
        </w:rPr>
        <w:t xml:space="preserve"> S</w:t>
      </w:r>
      <w:r>
        <w:rPr>
          <w:rFonts w:ascii="Arial" w:cs="Arial" w:eastAsia="Arial" w:hAnsi="Arial"/>
          <w:sz w:val="12"/>
          <w:szCs w:val="12"/>
          <w:color w:val="auto"/>
        </w:rPr>
        <w:t>ciences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ectPr>
          <w:pgSz w:w="11900" w:h="16838" w:orient="portrait"/>
          <w:cols w:equalWidth="0" w:num="1">
            <w:col w:w="11240"/>
          </w:cols>
          <w:pgMar w:left="320" w:top="688" w:right="3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TriSalus Life Sciences,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29210</wp:posOffset>
            </wp:positionV>
            <wp:extent cx="24942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4920" w:space="720"/>
            <w:col w:w="5600"/>
          </w:cols>
          <w:pgMar w:left="320" w:top="688" w:right="339" w:bottom="1440" w:gutter="0" w:footer="0" w:header="0"/>
          <w:type w:val="continuous"/>
        </w:sectPr>
      </w:pPr>
    </w:p>
    <w:p>
      <w:pPr>
        <w:spacing w:after="0" w:line="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constitutes notice to TriSalus Life 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I elect to purchase the below number of shares of Common Stock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by exercising my Option for the price set forth below. Capitalized terms not explicitly defined in this Notice of Exercise but defined in the Grant Notice, Option Agreement or 2023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have the meanings set forth in the Grant Notice, Option Agreement or Plan, as applicable. Use of certain payment methods is subject to Company and/or Committee consent and certain additional requirements set forth in the Option Agreement and the Plan.</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303"/>
        </w:trPr>
        <w:tc>
          <w:tcPr>
            <w:tcW w:w="4780" w:type="dxa"/>
            <w:vAlign w:val="bottom"/>
          </w:tcPr>
          <w:p>
            <w:pPr>
              <w:spacing w:after="0"/>
              <w:rPr>
                <w:sz w:val="20"/>
                <w:szCs w:val="20"/>
                <w:color w:val="auto"/>
              </w:rPr>
            </w:pPr>
            <w:r>
              <w:rPr>
                <w:rFonts w:ascii="Arial" w:cs="Arial" w:eastAsia="Arial" w:hAnsi="Arial"/>
                <w:sz w:val="18"/>
                <w:szCs w:val="18"/>
                <w:color w:val="auto"/>
              </w:rPr>
              <w:t>Type of option (check one):</w:t>
            </w:r>
          </w:p>
        </w:tc>
        <w:tc>
          <w:tcPr>
            <w:tcW w:w="3340" w:type="dxa"/>
            <w:vAlign w:val="bottom"/>
            <w:gridSpan w:val="3"/>
          </w:tcPr>
          <w:p>
            <w:pPr>
              <w:ind w:left="980"/>
              <w:spacing w:after="0" w:line="207" w:lineRule="exact"/>
              <w:rPr>
                <w:sz w:val="20"/>
                <w:szCs w:val="20"/>
                <w:color w:val="auto"/>
              </w:rPr>
            </w:pP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p>
        </w:tc>
        <w:tc>
          <w:tcPr>
            <w:tcW w:w="2540" w:type="dxa"/>
            <w:vAlign w:val="bottom"/>
            <w:gridSpan w:val="3"/>
          </w:tcPr>
          <w:p>
            <w:pPr>
              <w:ind w:left="200"/>
              <w:spacing w:after="0" w:line="207" w:lineRule="exact"/>
              <w:rPr>
                <w:sz w:val="20"/>
                <w:szCs w:val="20"/>
                <w:color w:val="auto"/>
              </w:rPr>
            </w:pPr>
            <w:r>
              <w:rPr>
                <w:rFonts w:ascii="Arial" w:cs="Arial" w:eastAsia="Arial" w:hAnsi="Arial"/>
                <w:sz w:val="18"/>
                <w:szCs w:val="18"/>
                <w:color w:val="auto"/>
              </w:rPr>
              <w:t xml:space="preserve">Nonstatutory </w:t>
            </w:r>
            <w:r>
              <w:rPr>
                <w:rFonts w:ascii="MS PGothic" w:cs="MS PGothic" w:eastAsia="MS PGothic" w:hAnsi="MS PGothic"/>
                <w:sz w:val="18"/>
                <w:szCs w:val="18"/>
                <w:color w:val="auto"/>
              </w:rPr>
              <w:t>☐</w:t>
            </w:r>
          </w:p>
        </w:tc>
      </w:tr>
      <w:tr>
        <w:trPr>
          <w:trHeight w:val="404"/>
        </w:trPr>
        <w:tc>
          <w:tcPr>
            <w:tcW w:w="4780" w:type="dxa"/>
            <w:vAlign w:val="bottom"/>
          </w:tcPr>
          <w:p>
            <w:pPr>
              <w:spacing w:after="0"/>
              <w:rPr>
                <w:sz w:val="20"/>
                <w:szCs w:val="20"/>
                <w:color w:val="auto"/>
              </w:rPr>
            </w:pPr>
            <w:r>
              <w:rPr>
                <w:rFonts w:ascii="Arial" w:cs="Arial" w:eastAsia="Arial" w:hAnsi="Arial"/>
                <w:sz w:val="18"/>
                <w:szCs w:val="18"/>
                <w:color w:val="auto"/>
              </w:rPr>
              <w:t>Stock option dated:</w:t>
            </w:r>
          </w:p>
        </w:tc>
        <w:tc>
          <w:tcPr>
            <w:tcW w:w="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425"/>
        </w:trPr>
        <w:tc>
          <w:tcPr>
            <w:tcW w:w="4780" w:type="dxa"/>
            <w:vAlign w:val="bottom"/>
          </w:tcPr>
          <w:p>
            <w:pPr>
              <w:spacing w:after="0"/>
              <w:rPr>
                <w:sz w:val="20"/>
                <w:szCs w:val="20"/>
                <w:color w:val="auto"/>
              </w:rPr>
            </w:pPr>
            <w:r>
              <w:rPr>
                <w:rFonts w:ascii="Arial" w:cs="Arial" w:eastAsia="Arial" w:hAnsi="Arial"/>
                <w:sz w:val="18"/>
                <w:szCs w:val="18"/>
                <w:color w:val="auto"/>
              </w:rPr>
              <w:t>Number of Shares as to which option is exercised:</w:t>
            </w:r>
          </w:p>
        </w:tc>
        <w:tc>
          <w:tcPr>
            <w:tcW w:w="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426"/>
        </w:trPr>
        <w:tc>
          <w:tcPr>
            <w:tcW w:w="4780" w:type="dxa"/>
            <w:vAlign w:val="bottom"/>
          </w:tcPr>
          <w:p>
            <w:pPr>
              <w:spacing w:after="0"/>
              <w:rPr>
                <w:sz w:val="20"/>
                <w:szCs w:val="20"/>
                <w:color w:val="auto"/>
              </w:rPr>
            </w:pPr>
            <w:r>
              <w:rPr>
                <w:rFonts w:ascii="Arial" w:cs="Arial" w:eastAsia="Arial" w:hAnsi="Arial"/>
                <w:sz w:val="18"/>
                <w:szCs w:val="18"/>
                <w:color w:val="auto"/>
              </w:rPr>
              <w:t>Certificates to be issued in name of:</w:t>
            </w:r>
          </w:p>
        </w:tc>
        <w:tc>
          <w:tcPr>
            <w:tcW w:w="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425"/>
        </w:trPr>
        <w:tc>
          <w:tcPr>
            <w:tcW w:w="4780" w:type="dxa"/>
            <w:vAlign w:val="bottom"/>
          </w:tcPr>
          <w:p>
            <w:pPr>
              <w:spacing w:after="0"/>
              <w:rPr>
                <w:sz w:val="20"/>
                <w:szCs w:val="20"/>
                <w:color w:val="auto"/>
              </w:rPr>
            </w:pPr>
            <w:r>
              <w:rPr>
                <w:rFonts w:ascii="Arial" w:cs="Arial" w:eastAsia="Arial" w:hAnsi="Arial"/>
                <w:sz w:val="18"/>
                <w:szCs w:val="18"/>
                <w:color w:val="auto"/>
              </w:rPr>
              <w:t>Total exercise price:</w:t>
            </w:r>
          </w:p>
        </w:tc>
        <w:tc>
          <w:tcPr>
            <w:tcW w:w="12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spacing w:after="0"/>
              <w:rPr>
                <w:sz w:val="24"/>
                <w:szCs w:val="24"/>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spacing w:after="0"/>
              <w:rPr>
                <w:sz w:val="24"/>
                <w:szCs w:val="24"/>
                <w:color w:val="auto"/>
              </w:rPr>
            </w:pPr>
          </w:p>
        </w:tc>
      </w:tr>
      <w:tr>
        <w:trPr>
          <w:trHeight w:val="412"/>
        </w:trPr>
        <w:tc>
          <w:tcPr>
            <w:tcW w:w="4780" w:type="dxa"/>
            <w:vAlign w:val="bottom"/>
          </w:tcPr>
          <w:p>
            <w:pPr>
              <w:spacing w:after="0"/>
              <w:rPr>
                <w:sz w:val="20"/>
                <w:szCs w:val="20"/>
                <w:color w:val="auto"/>
              </w:rPr>
            </w:pPr>
            <w:r>
              <w:rPr>
                <w:rFonts w:ascii="Arial" w:cs="Arial" w:eastAsia="Arial" w:hAnsi="Arial"/>
                <w:sz w:val="18"/>
                <w:szCs w:val="18"/>
                <w:color w:val="auto"/>
              </w:rPr>
              <w:t>Cash payment delivered herewith:</w:t>
            </w:r>
          </w:p>
        </w:tc>
        <w:tc>
          <w:tcPr>
            <w:tcW w:w="12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spacing w:after="0"/>
              <w:rPr>
                <w:sz w:val="24"/>
                <w:szCs w:val="24"/>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spacing w:after="0"/>
              <w:rPr>
                <w:sz w:val="24"/>
                <w:szCs w:val="24"/>
                <w:color w:val="auto"/>
              </w:rPr>
            </w:pPr>
          </w:p>
        </w:tc>
      </w:tr>
      <w:tr>
        <w:trPr>
          <w:trHeight w:val="412"/>
        </w:trPr>
        <w:tc>
          <w:tcPr>
            <w:tcW w:w="4780" w:type="dxa"/>
            <w:vAlign w:val="bottom"/>
          </w:tcPr>
          <w:p>
            <w:pPr>
              <w:spacing w:after="0"/>
              <w:rPr>
                <w:sz w:val="20"/>
                <w:szCs w:val="20"/>
                <w:color w:val="auto"/>
              </w:rPr>
            </w:pPr>
            <w:r>
              <w:rPr>
                <w:rFonts w:ascii="Arial" w:cs="Arial" w:eastAsia="Arial" w:hAnsi="Arial"/>
                <w:sz w:val="18"/>
                <w:szCs w:val="18"/>
                <w:color w:val="auto"/>
              </w:rPr>
              <w:t>[Value of ________ Shares delivered herewith:</w:t>
            </w:r>
          </w:p>
        </w:tc>
        <w:tc>
          <w:tcPr>
            <w:tcW w:w="12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spacing w:after="0"/>
              <w:rPr>
                <w:sz w:val="24"/>
                <w:szCs w:val="24"/>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spacing w:after="0"/>
              <w:rPr>
                <w:sz w:val="24"/>
                <w:szCs w:val="24"/>
                <w:color w:val="auto"/>
              </w:rPr>
            </w:pPr>
          </w:p>
        </w:tc>
      </w:tr>
      <w:tr>
        <w:trPr>
          <w:trHeight w:val="412"/>
        </w:trPr>
        <w:tc>
          <w:tcPr>
            <w:tcW w:w="4780" w:type="dxa"/>
            <w:vAlign w:val="bottom"/>
          </w:tcPr>
          <w:p>
            <w:pPr>
              <w:spacing w:after="0"/>
              <w:rPr>
                <w:sz w:val="20"/>
                <w:szCs w:val="20"/>
                <w:color w:val="auto"/>
              </w:rPr>
            </w:pPr>
            <w:r>
              <w:rPr>
                <w:rFonts w:ascii="Arial" w:cs="Arial" w:eastAsia="Arial" w:hAnsi="Arial"/>
                <w:sz w:val="18"/>
                <w:szCs w:val="18"/>
                <w:color w:val="auto"/>
              </w:rPr>
              <w:t>[Value of ________ Shares pursuant to net exercise]:</w:t>
            </w:r>
          </w:p>
        </w:tc>
        <w:tc>
          <w:tcPr>
            <w:tcW w:w="12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spacing w:after="0"/>
              <w:rPr>
                <w:sz w:val="24"/>
                <w:szCs w:val="24"/>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spacing w:after="0"/>
              <w:rPr>
                <w:sz w:val="24"/>
                <w:szCs w:val="24"/>
                <w:color w:val="auto"/>
              </w:rPr>
            </w:pPr>
          </w:p>
        </w:tc>
      </w:tr>
      <w:tr>
        <w:trPr>
          <w:trHeight w:val="412"/>
        </w:trPr>
        <w:tc>
          <w:tcPr>
            <w:tcW w:w="4780" w:type="dxa"/>
            <w:vAlign w:val="bottom"/>
          </w:tcPr>
          <w:p>
            <w:pPr>
              <w:spacing w:after="0"/>
              <w:rPr>
                <w:sz w:val="20"/>
                <w:szCs w:val="20"/>
                <w:color w:val="auto"/>
              </w:rPr>
            </w:pPr>
            <w:r>
              <w:rPr>
                <w:rFonts w:ascii="Arial" w:cs="Arial" w:eastAsia="Arial" w:hAnsi="Arial"/>
                <w:sz w:val="18"/>
                <w:szCs w:val="18"/>
                <w:color w:val="auto"/>
              </w:rPr>
              <w:t>[Regulation T Program (cashless exercise):</w:t>
            </w:r>
          </w:p>
        </w:tc>
        <w:tc>
          <w:tcPr>
            <w:tcW w:w="12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spacing w:after="0"/>
              <w:rPr>
                <w:sz w:val="24"/>
                <w:szCs w:val="24"/>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By this exercise, I agree (i) to provide such additional documents as you may require pursuant to the terms of the Plan, (ii) to satisfy the tax withholding obligations, if any, relating to the exercise of this Option as set forth in the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70" w:name="page271"/>
    <w:bookmarkEnd w:id="270"/>
    <w:p>
      <w:pPr>
        <w:jc w:val="both"/>
        <w:ind w:firstLine="648"/>
        <w:spacing w:after="0" w:line="269" w:lineRule="auto"/>
        <w:rPr>
          <w:sz w:val="20"/>
          <w:szCs w:val="20"/>
          <w:color w:val="auto"/>
        </w:rPr>
      </w:pPr>
      <w:r>
        <w:rPr>
          <w:rFonts w:ascii="Arial" w:cs="Arial" w:eastAsia="Arial" w:hAnsi="Arial"/>
          <w:sz w:val="17"/>
          <w:szCs w:val="17"/>
          <w:color w:val="auto"/>
        </w:rPr>
        <w:t>I further agree that I will not sell, dispose of, transfer, make any short sale of, grant any option for the purchase of, or enter into any hedging or similar transaction with the same economic effect as a sale with respect to any shares of Common Stock or other securities of the Company that I hold,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contained in this paragraph will prevent the exercise of a repurchase option, if any, in favor of the Company during the Lock-Up Period. I further agree to execute and deliver such other agreements as may be reasonably requested by the Company or the underwriters that are consistent with the foregoing or that are necessary to give further effect thereto. I further agree that in order to enforce the foregoing covenant, the Company may impose stop-transfer instructions with respect to shares of Common Stock that I hold until the end of such period. I also agree that any transferee of any shares of Common Stock (or other securities) of the Company that I hold will be bound by this paragraph. The underwriters of the Company’s stock are intended third party beneficiaries of this paragraph and will have the right, power and authority to enforce the provisions hereof as though they were a party hereto.</w:t>
      </w:r>
    </w:p>
    <w:p>
      <w:pPr>
        <w:spacing w:after="0" w:line="1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288925</wp:posOffset>
            </wp:positionV>
            <wp:extent cx="3566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10.23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w:t>
      </w:r>
      <w:r>
        <w:rPr>
          <w:rFonts w:ascii="Arial" w:cs="Arial" w:eastAsia="Arial" w:hAnsi="Arial"/>
          <w:sz w:val="18"/>
          <w:szCs w:val="18"/>
          <w:b w:val="1"/>
          <w:bCs w:val="1"/>
          <w:color w:val="auto"/>
        </w:rPr>
        <w:t>S</w:t>
      </w:r>
      <w:r>
        <w:rPr>
          <w:rFonts w:ascii="Arial" w:cs="Arial" w:eastAsia="Arial" w:hAnsi="Arial"/>
          <w:sz w:val="12"/>
          <w:szCs w:val="12"/>
          <w:b w:val="1"/>
          <w:bCs w:val="1"/>
          <w:color w:val="auto"/>
        </w:rPr>
        <w:t>alus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RSU A</w:t>
      </w:r>
      <w:r>
        <w:rPr>
          <w:rFonts w:ascii="Arial" w:cs="Arial" w:eastAsia="Arial" w:hAnsi="Arial"/>
          <w:sz w:val="12"/>
          <w:szCs w:val="12"/>
          <w:b w:val="1"/>
          <w:bCs w:val="1"/>
          <w:color w:val="auto"/>
        </w:rPr>
        <w:t>ward</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TriSalus Life 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to you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number of restricted stock units specified and on the terms set forth below in consideration of your services (the “</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Your RSU Award is subject to all of the terms and conditions as set forth herein and in the Company’s 2023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2061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-121920</wp:posOffset>
            </wp:positionV>
            <wp:extent cx="32061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22860</wp:posOffset>
            </wp:positionV>
            <wp:extent cx="320611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3">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-121920</wp:posOffset>
            </wp:positionV>
            <wp:extent cx="320611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27"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6"/>
          <w:szCs w:val="16"/>
          <w:color w:val="auto"/>
        </w:rPr>
        <w:t>Subject to the Participant’s Continuous Service through each applicable vesting date, the RSU Award will vest as follows:</w:t>
      </w:r>
    </w:p>
    <w:p>
      <w:pPr>
        <w:spacing w:after="0" w:line="229" w:lineRule="exact"/>
        <w:rPr>
          <w:sz w:val="20"/>
          <w:szCs w:val="20"/>
          <w:color w:val="auto"/>
        </w:rPr>
      </w:pPr>
    </w:p>
    <w:p>
      <w:pPr>
        <w:ind w:left="1820"/>
        <w:spacing w:after="0"/>
        <w:tabs>
          <w:tab w:leader="none" w:pos="7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jc w:val="both"/>
        <w:ind w:left="1820" w:hanging="1808"/>
        <w:spacing w:after="0" w:line="277" w:lineRule="auto"/>
        <w:tabs>
          <w:tab w:leader="none" w:pos="1800" w:val="left"/>
        </w:tabs>
        <w:rPr>
          <w:sz w:val="20"/>
          <w:szCs w:val="20"/>
          <w:color w:val="auto"/>
        </w:rPr>
      </w:pPr>
      <w:r>
        <w:rPr>
          <w:rFonts w:ascii="Arial" w:cs="Arial" w:eastAsia="Arial" w:hAnsi="Arial"/>
          <w:sz w:val="18"/>
          <w:szCs w:val="18"/>
          <w:b w:val="1"/>
          <w:bCs w:val="1"/>
          <w:color w:val="auto"/>
        </w:rPr>
        <w:t>Issuance Schedule:</w:t>
      </w:r>
      <w:r>
        <w:rPr>
          <w:sz w:val="20"/>
          <w:szCs w:val="20"/>
          <w:color w:val="auto"/>
        </w:rPr>
        <w:tab/>
      </w:r>
      <w:r>
        <w:rPr>
          <w:rFonts w:ascii="Arial" w:cs="Arial" w:eastAsia="Arial" w:hAnsi="Arial"/>
          <w:sz w:val="18"/>
          <w:szCs w:val="18"/>
          <w:color w:val="auto"/>
        </w:rPr>
        <w:t>One share of Common Stock will be issued for each restricted stock unit which vests at the time set forth in Section 6 of the Agreement.</w:t>
      </w:r>
    </w:p>
    <w:p>
      <w:pPr>
        <w:spacing w:after="0" w:line="170"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 xml:space="preserve">Participant Acknowledgements: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166" w:lineRule="exact"/>
        <w:rPr>
          <w:sz w:val="20"/>
          <w:szCs w:val="20"/>
          <w:color w:val="auto"/>
        </w:rPr>
      </w:pPr>
    </w:p>
    <w:p>
      <w:pPr>
        <w:jc w:val="both"/>
        <w:ind w:left="660" w:hanging="328"/>
        <w:spacing w:after="0" w:line="311" w:lineRule="auto"/>
        <w:tabs>
          <w:tab w:leader="none" w:pos="6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RSU Award is governed by this RSU Award Grant Notice (this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and the provisions of the Plan and the Agreement, all of which are made a part of this document. Unless otherwise provided in the Plan, this Grant Notice and the Agreement (together, the “</w:t>
      </w:r>
      <w:r>
        <w:rPr>
          <w:rFonts w:ascii="Arial" w:cs="Arial" w:eastAsia="Arial" w:hAnsi="Arial"/>
          <w:sz w:val="16"/>
          <w:szCs w:val="16"/>
          <w:b w:val="1"/>
          <w:bCs w:val="1"/>
          <w:i w:val="1"/>
          <w:iCs w:val="1"/>
          <w:color w:val="auto"/>
        </w:rPr>
        <w:t>RSU Award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may not be modified, amended or revised except in a writing signed by you and a duly authorized officer of the Company.</w:t>
      </w:r>
    </w:p>
    <w:p>
      <w:pPr>
        <w:spacing w:after="0" w:line="148"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You have read and are familiar with the provisions of the Plan, the RSU Award Agreement and the document containing the Plan information specified in Section 10(a) of the Securities Act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In the event of any conflict between the provisions in the RSU Award Agreement, or the Prospectus and the terms of the Plan, the terms of the Plan shall control.</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You consent to receive this Grant Notice, the RSU Award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183"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2" w:name="page273"/>
    <w:bookmarkEnd w:id="272"/>
    <w:p>
      <w:pPr>
        <w:jc w:val="both"/>
        <w:ind w:left="660" w:hanging="328"/>
        <w:spacing w:after="0" w:line="263" w:lineRule="auto"/>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w:t>
            </w:r>
            <w:r>
              <w:rPr>
                <w:rFonts w:ascii="Arial" w:cs="Arial" w:eastAsia="Arial" w:hAnsi="Arial"/>
                <w:sz w:val="18"/>
                <w:szCs w:val="18"/>
                <w:b w:val="1"/>
                <w:bCs w:val="1"/>
                <w:color w:val="auto"/>
              </w:rPr>
              <w:t>S</w:t>
            </w:r>
            <w:r>
              <w:rPr>
                <w:rFonts w:ascii="Arial" w:cs="Arial" w:eastAsia="Arial" w:hAnsi="Arial"/>
                <w:sz w:val="12"/>
                <w:szCs w:val="12"/>
                <w:b w:val="1"/>
                <w:bCs w:val="1"/>
                <w:color w:val="auto"/>
              </w:rPr>
              <w:t>alus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5840" w:type="dxa"/>
            <w:vAlign w:val="bottom"/>
            <w:gridSpan w:val="2"/>
          </w:tcPr>
          <w:p>
            <w:pPr>
              <w:ind w:left="24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articipant</w:t>
            </w:r>
            <w:r>
              <w:rPr>
                <w:rFonts w:ascii="Arial" w:cs="Arial" w:eastAsia="Arial" w:hAnsi="Arial"/>
                <w:sz w:val="18"/>
                <w:szCs w:val="18"/>
                <w:b w:val="1"/>
                <w:bCs w:val="1"/>
                <w:color w:val="auto"/>
              </w:rPr>
              <w:t>:</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By:</w:t>
            </w:r>
          </w:p>
        </w:tc>
        <w:tc>
          <w:tcPr>
            <w:tcW w:w="8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4820" w:type="dxa"/>
            <w:vAlign w:val="bottom"/>
            <w:tcBorders>
              <w:top w:val="single" w:sz="8" w:color="auto"/>
            </w:tcBorders>
          </w:tcPr>
          <w:p>
            <w:pPr>
              <w:ind w:left="2060"/>
              <w:spacing w:after="0"/>
              <w:rPr>
                <w:sz w:val="20"/>
                <w:szCs w:val="20"/>
                <w:color w:val="auto"/>
              </w:rPr>
            </w:pPr>
            <w:r>
              <w:rPr>
                <w:rFonts w:ascii="Arial" w:cs="Arial" w:eastAsia="Arial" w:hAnsi="Arial"/>
                <w:sz w:val="18"/>
                <w:szCs w:val="18"/>
                <w:color w:val="auto"/>
              </w:rPr>
              <w:t>Signature</w:t>
            </w:r>
          </w:p>
        </w:tc>
        <w:tc>
          <w:tcPr>
            <w:tcW w:w="800" w:type="dxa"/>
            <w:vAlign w:val="bottom"/>
          </w:tcPr>
          <w:p>
            <w:pPr>
              <w:spacing w:after="0"/>
              <w:rPr>
                <w:sz w:val="19"/>
                <w:szCs w:val="19"/>
                <w:color w:val="auto"/>
              </w:rPr>
            </w:pPr>
          </w:p>
        </w:tc>
        <w:tc>
          <w:tcPr>
            <w:tcW w:w="5040" w:type="dxa"/>
            <w:vAlign w:val="bottom"/>
            <w:tcBorders>
              <w:top w:val="single" w:sz="8" w:color="auto"/>
            </w:tcBorders>
          </w:tcPr>
          <w:p>
            <w:pPr>
              <w:ind w:left="2180"/>
              <w:spacing w:after="0"/>
              <w:rPr>
                <w:sz w:val="20"/>
                <w:szCs w:val="20"/>
                <w:color w:val="auto"/>
              </w:rPr>
            </w:pPr>
            <w:r>
              <w:rPr>
                <w:rFonts w:ascii="Arial" w:cs="Arial" w:eastAsia="Arial" w:hAnsi="Arial"/>
                <w:sz w:val="18"/>
                <w:szCs w:val="18"/>
                <w:color w:val="auto"/>
              </w:rPr>
              <w:t>Signature</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Date:</w:t>
            </w:r>
          </w:p>
        </w:tc>
        <w:tc>
          <w:tcPr>
            <w:tcW w:w="5040" w:type="dxa"/>
            <w:vAlign w:val="bottom"/>
            <w:tcBorders>
              <w:bottom w:val="single" w:sz="8" w:color="auto"/>
            </w:tcBorders>
          </w:tcPr>
          <w:p>
            <w:pPr>
              <w:spacing w:after="0"/>
              <w:rPr>
                <w:sz w:val="24"/>
                <w:szCs w:val="24"/>
                <w:color w:val="auto"/>
              </w:rPr>
            </w:pP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426"/>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ttachments</w:t>
            </w:r>
            <w:r>
              <w:rPr>
                <w:rFonts w:ascii="Arial" w:cs="Arial" w:eastAsia="Arial" w:hAnsi="Arial"/>
                <w:sz w:val="18"/>
                <w:szCs w:val="18"/>
                <w:color w:val="auto"/>
              </w:rPr>
              <w:t>: RSU Award Agreement, 2023 Equity Incentive Plan</w:t>
            </w:r>
          </w:p>
        </w:tc>
        <w:tc>
          <w:tcPr>
            <w:tcW w:w="8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w:t>
      </w:r>
      <w:r>
        <w:rPr>
          <w:rFonts w:ascii="Arial" w:cs="Arial" w:eastAsia="Arial" w:hAnsi="Arial"/>
          <w:sz w:val="18"/>
          <w:szCs w:val="18"/>
          <w:b w:val="1"/>
          <w:bCs w:val="1"/>
          <w:color w:val="auto"/>
        </w:rPr>
        <w:t>S</w:t>
      </w:r>
      <w:r>
        <w:rPr>
          <w:rFonts w:ascii="Arial" w:cs="Arial" w:eastAsia="Arial" w:hAnsi="Arial"/>
          <w:sz w:val="12"/>
          <w:szCs w:val="12"/>
          <w:b w:val="1"/>
          <w:bCs w:val="1"/>
          <w:color w:val="auto"/>
        </w:rPr>
        <w:t>alus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(RSU A</w:t>
      </w:r>
      <w:r>
        <w:rPr>
          <w:rFonts w:ascii="Arial" w:cs="Arial" w:eastAsia="Arial" w:hAnsi="Arial"/>
          <w:sz w:val="12"/>
          <w:szCs w:val="12"/>
          <w:b w:val="1"/>
          <w:bCs w:val="1"/>
          <w:color w:val="auto"/>
        </w:rPr>
        <w:t>ward</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reflected by your Restricted Stock Unit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TriSalus Life 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 RSU Award under its 2023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stock units as indicated in your Grant Notice (the “</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The terms of your RSU Award as specified in this Award Agreement for your RSU Award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Grant Notice constitute your “</w:t>
      </w:r>
      <w:r>
        <w:rPr>
          <w:rFonts w:ascii="Arial" w:cs="Arial" w:eastAsia="Arial" w:hAnsi="Arial"/>
          <w:sz w:val="18"/>
          <w:szCs w:val="18"/>
          <w:b w:val="1"/>
          <w:bCs w:val="1"/>
          <w:i w:val="1"/>
          <w:iCs w:val="1"/>
          <w:color w:val="auto"/>
        </w:rPr>
        <w:t>RSU</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Defined terms not explicitly defined in this Agreement but defined in the Grant Notice or the Plan shall have the same definitions as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Grant Notice or Plan, as applicable.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general terms applicable to your RSU Award are as follows:</w:t>
      </w:r>
    </w:p>
    <w:p>
      <w:pPr>
        <w:spacing w:after="0" w:line="22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             GOVERNING PLAN DOCUMENT. </w:t>
      </w:r>
      <w:r>
        <w:rPr>
          <w:rFonts w:ascii="Arial" w:cs="Arial" w:eastAsia="Arial" w:hAnsi="Arial"/>
          <w:sz w:val="18"/>
          <w:szCs w:val="18"/>
          <w:color w:val="auto"/>
        </w:rPr>
        <w:t>Your RSU Award is subject to all the provisions of the Plan, including but not limited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in: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(a)            </w:t>
      </w:r>
      <w:r>
        <w:rPr>
          <w:rFonts w:ascii="Arial" w:cs="Arial" w:eastAsia="Arial" w:hAnsi="Arial"/>
          <w:sz w:val="16"/>
          <w:szCs w:val="16"/>
          <w:color w:val="auto"/>
        </w:rPr>
        <w:t>Section 6 of the Plan regarding the impact of a Capitalization Adjustment, dissolution, liquidation, or Corporate Transaction 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your RSU Award;</w:t>
      </w:r>
    </w:p>
    <w:p>
      <w:pPr>
        <w:spacing w:after="0" w:line="20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(b)            </w:t>
      </w:r>
      <w:r>
        <w:rPr>
          <w:rFonts w:ascii="Arial" w:cs="Arial" w:eastAsia="Arial" w:hAnsi="Arial"/>
          <w:sz w:val="18"/>
          <w:szCs w:val="18"/>
          <w:color w:val="auto"/>
        </w:rPr>
        <w:t>Section 9(e) of the Plan regarding the Company’s retained rights to terminate your Continuous Service notwithstanding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RSU Award; and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            </w:t>
      </w:r>
      <w:r>
        <w:rPr>
          <w:rFonts w:ascii="Arial" w:cs="Arial" w:eastAsia="Arial" w:hAnsi="Arial"/>
          <w:sz w:val="18"/>
          <w:szCs w:val="18"/>
          <w:color w:val="auto"/>
        </w:rPr>
        <w:t>Section 8(c) of the Plan regarding the tax consequences of your RSU Award.</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 Your RSU Award (and any compensation paid or shares issued under your RSU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2.             G</w:t>
      </w:r>
      <w:r>
        <w:rPr>
          <w:rFonts w:ascii="Arial" w:cs="Arial" w:eastAsia="Arial" w:hAnsi="Arial"/>
          <w:sz w:val="12"/>
          <w:szCs w:val="12"/>
          <w:b w:val="1"/>
          <w:bCs w:val="1"/>
          <w:color w:val="auto"/>
        </w:rPr>
        <w:t>rant</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RSU A</w:t>
      </w:r>
      <w:r>
        <w:rPr>
          <w:rFonts w:ascii="Arial" w:cs="Arial" w:eastAsia="Arial" w:hAnsi="Arial"/>
          <w:sz w:val="12"/>
          <w:szCs w:val="12"/>
          <w:b w:val="1"/>
          <w:bCs w:val="1"/>
          <w:color w:val="auto"/>
        </w:rPr>
        <w:t>ward</w:t>
      </w:r>
      <w:r>
        <w:rPr>
          <w:rFonts w:ascii="Arial" w:cs="Arial" w:eastAsia="Arial" w:hAnsi="Arial"/>
          <w:sz w:val="18"/>
          <w:szCs w:val="18"/>
          <w:b w:val="1"/>
          <w:bCs w:val="1"/>
          <w:color w:val="auto"/>
        </w:rPr>
        <w:t xml:space="preserve">. </w:t>
      </w:r>
      <w:r>
        <w:rPr>
          <w:rFonts w:ascii="Arial" w:cs="Arial" w:eastAsia="Arial" w:hAnsi="Arial"/>
          <w:sz w:val="18"/>
          <w:szCs w:val="18"/>
          <w:color w:val="auto"/>
        </w:rPr>
        <w:t>This RSU Award represents your right to be issued on a future date the number of shares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that is equal to the number of restricted stock units indicated in the Grant Notice as modified to reflect any Capitalization Adjustment and subject to your satisfaction of the vesting conditions set forth therein (the “</w:t>
      </w: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Any additional Restricted Stock Units that become subject to the RSU Award pursuant to Capitalization Adjustments as set forth in the Plan and the provisions of Section 4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             V</w:t>
      </w:r>
      <w:r>
        <w:rPr>
          <w:rFonts w:ascii="Arial" w:cs="Arial" w:eastAsia="Arial" w:hAnsi="Arial"/>
          <w:sz w:val="12"/>
          <w:szCs w:val="12"/>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Your Restricted Stock Units will vest, if at all, in accordance with the vesting schedule provided in the Grant Notice,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contained herein and the terms of the Plan. Vesting will cease upon the termination of your Continuous Service and the Restricted Stock Units that were not vested on the date of such termination will be forfeited at no cost to the Company and you will have no further right, title or interest in or to such RSU Award or the Common Stock to be issued in respect of such portion of the RSU Award.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4" w:name="page275"/>
    <w:bookmarkEnd w:id="274"/>
    <w:p>
      <w:pPr>
        <w:jc w:val="both"/>
        <w:ind w:firstLine="648"/>
        <w:spacing w:after="0" w:line="254" w:lineRule="auto"/>
        <w:rPr>
          <w:sz w:val="20"/>
          <w:szCs w:val="20"/>
          <w:color w:val="auto"/>
        </w:rPr>
      </w:pPr>
      <w:r>
        <w:rPr>
          <w:rFonts w:ascii="Arial" w:cs="Arial" w:eastAsia="Arial" w:hAnsi="Arial"/>
          <w:sz w:val="18"/>
          <w:szCs w:val="18"/>
          <w:b w:val="1"/>
          <w:bCs w:val="1"/>
          <w:color w:val="auto"/>
        </w:rPr>
        <w:t>4.             D</w:t>
      </w:r>
      <w:r>
        <w:rPr>
          <w:rFonts w:ascii="Arial" w:cs="Arial" w:eastAsia="Arial" w:hAnsi="Arial"/>
          <w:sz w:val="12"/>
          <w:szCs w:val="12"/>
          <w:b w:val="1"/>
          <w:bCs w:val="1"/>
          <w:color w:val="auto"/>
        </w:rPr>
        <w:t>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become entitled to receive payments equal to any cash dividends and other distributions paid with respect to a</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number of shares of Common Stock to be issued in respect of the Restricted Stock Units covered by your RSU Award. Any such dividends or distributions shall be subject to the same forfeiture restrictions as apply to the Restricted Stock Units and shall be paid at the same time that the corresponding shares are issued in respect of your vested Restricted Stock Units, provided, however that to the extent any such dividends or distributions are paid in shares of Common Stock, then you will automatically be granted a corresponding number of additional Restricted Stock Units subject to the RSU Award (the “</w:t>
      </w:r>
      <w:r>
        <w:rPr>
          <w:rFonts w:ascii="Arial" w:cs="Arial" w:eastAsia="Arial" w:hAnsi="Arial"/>
          <w:sz w:val="18"/>
          <w:szCs w:val="18"/>
          <w:b w:val="1"/>
          <w:bCs w:val="1"/>
          <w:i w:val="1"/>
          <w:iCs w:val="1"/>
          <w:color w:val="auto"/>
        </w:rPr>
        <w:t>Dividend Units</w:t>
      </w:r>
      <w:r>
        <w:rPr>
          <w:rFonts w:ascii="Arial" w:cs="Arial" w:eastAsia="Arial" w:hAnsi="Arial"/>
          <w:sz w:val="18"/>
          <w:szCs w:val="18"/>
          <w:color w:val="auto"/>
        </w:rPr>
        <w:t>”), and further provided that such Dividend Units shall be subject to the same forfeiture restrictions and restrictions on transferability, and same timing requirements for issuance of shares, as apply to the Restricted Stock Units subject to the RSU Award with respect to which the Dividend Units relate.</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5.             W</w:t>
      </w:r>
      <w:r>
        <w:rPr>
          <w:rFonts w:ascii="Arial" w:cs="Arial" w:eastAsia="Arial" w:hAnsi="Arial"/>
          <w:sz w:val="11"/>
          <w:szCs w:val="11"/>
          <w:b w:val="1"/>
          <w:bCs w:val="1"/>
          <w:color w:val="auto"/>
        </w:rPr>
        <w:t>ithholding</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As further provided in Section 8 of the Plan, you hereby authorize withholding from payroll and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payable to you, and otherwise agree to make adequate provision for, any sums required to satisfy the federal, state, local and foreign tax withholding obligations, if any, which arise in connection with your RSU Award (the “</w:t>
      </w:r>
      <w:r>
        <w:rPr>
          <w:rFonts w:ascii="Arial" w:cs="Arial" w:eastAsia="Arial" w:hAnsi="Arial"/>
          <w:sz w:val="17"/>
          <w:szCs w:val="17"/>
          <w:b w:val="1"/>
          <w:bCs w:val="1"/>
          <w:i w:val="1"/>
          <w:iCs w:val="1"/>
          <w:color w:val="auto"/>
        </w:rPr>
        <w:t>Withholding Obligation</w:t>
      </w:r>
      <w:r>
        <w:rPr>
          <w:rFonts w:ascii="Arial" w:cs="Arial" w:eastAsia="Arial" w:hAnsi="Arial"/>
          <w:sz w:val="17"/>
          <w:szCs w:val="17"/>
          <w:color w:val="auto"/>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             D</w:t>
      </w:r>
      <w:r>
        <w:rPr>
          <w:rFonts w:ascii="Arial" w:cs="Arial" w:eastAsia="Arial" w:hAnsi="Arial"/>
          <w:sz w:val="12"/>
          <w:szCs w:val="12"/>
          <w:b w:val="1"/>
          <w:bCs w:val="1"/>
          <w:color w:val="auto"/>
        </w:rPr>
        <w:t>ate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ssuance</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(a)            </w:t>
      </w:r>
      <w:r>
        <w:rPr>
          <w:rFonts w:ascii="Arial" w:cs="Arial" w:eastAsia="Arial" w:hAnsi="Arial"/>
          <w:sz w:val="18"/>
          <w:szCs w:val="18"/>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4 above, and subject to any different provisions in the Grant Notice). Each issuance date determined by this paragraph is referred to as an “</w:t>
      </w:r>
      <w:r>
        <w:rPr>
          <w:rFonts w:ascii="Arial" w:cs="Arial" w:eastAsia="Arial" w:hAnsi="Arial"/>
          <w:sz w:val="18"/>
          <w:szCs w:val="18"/>
          <w:b w:val="1"/>
          <w:bCs w:val="1"/>
          <w:i w:val="1"/>
          <w:iCs w:val="1"/>
          <w:color w:val="auto"/>
        </w:rPr>
        <w:t>Original Issuance Date</w:t>
      </w:r>
      <w:r>
        <w:rPr>
          <w:rFonts w:ascii="Arial" w:cs="Arial" w:eastAsia="Arial" w:hAnsi="Arial"/>
          <w:sz w:val="18"/>
          <w:szCs w:val="18"/>
          <w:color w:val="auto"/>
        </w:rPr>
        <w:t>.”</w:t>
      </w:r>
    </w:p>
    <w:p>
      <w:pPr>
        <w:spacing w:after="0" w:line="183"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(b)            </w:t>
      </w:r>
      <w:r>
        <w:rPr>
          <w:rFonts w:ascii="Arial" w:cs="Arial" w:eastAsia="Arial" w:hAnsi="Arial"/>
          <w:sz w:val="18"/>
          <w:szCs w:val="18"/>
          <w:color w:val="auto"/>
        </w:rPr>
        <w:t>If the Original Issuance Date falls on a date that is not a business day, delivery shall instead occur on the next following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day. In addition, if:</w:t>
      </w:r>
    </w:p>
    <w:p>
      <w:pPr>
        <w:spacing w:after="0" w:line="162" w:lineRule="exact"/>
        <w:rPr>
          <w:sz w:val="20"/>
          <w:szCs w:val="20"/>
          <w:color w:val="auto"/>
        </w:rPr>
      </w:pPr>
    </w:p>
    <w:p>
      <w:pPr>
        <w:jc w:val="both"/>
        <w:ind w:firstLine="1944"/>
        <w:spacing w:after="0" w:line="258" w:lineRule="auto"/>
        <w:rPr>
          <w:sz w:val="20"/>
          <w:szCs w:val="20"/>
          <w:color w:val="auto"/>
        </w:rPr>
      </w:pPr>
      <w:r>
        <w:rPr>
          <w:rFonts w:ascii="Arial" w:cs="Arial" w:eastAsia="Arial" w:hAnsi="Arial"/>
          <w:sz w:val="18"/>
          <w:szCs w:val="18"/>
          <w:b w:val="1"/>
          <w:bCs w:val="1"/>
          <w:color w:val="auto"/>
        </w:rPr>
        <w:t>(i)             </w:t>
      </w:r>
      <w:r>
        <w:rPr>
          <w:rFonts w:ascii="Arial" w:cs="Arial" w:eastAsia="Arial" w:hAnsi="Arial"/>
          <w:sz w:val="18"/>
          <w:szCs w:val="18"/>
          <w:color w:val="auto"/>
        </w:rPr>
        <w:t>the Original Issuance Date does not occur (1) during an “open window period” applicable to you,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8"/>
          <w:szCs w:val="18"/>
          <w:b w:val="1"/>
          <w:bCs w:val="1"/>
          <w:i w:val="1"/>
          <w:iCs w:val="1"/>
          <w:color w:val="auto"/>
        </w:rPr>
        <w:t>10b5-1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Arrangement</w:t>
      </w:r>
      <w:r>
        <w:rPr>
          <w:rFonts w:ascii="Arial" w:cs="Arial" w:eastAsia="Arial" w:hAnsi="Arial"/>
          <w:sz w:val="18"/>
          <w:szCs w:val="18"/>
          <w:color w:val="auto"/>
        </w:rPr>
        <w:t>) or under such other policy expressly approved 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w:t>
      </w:r>
    </w:p>
    <w:p>
      <w:pPr>
        <w:spacing w:after="0" w:line="183" w:lineRule="exact"/>
        <w:rPr>
          <w:sz w:val="20"/>
          <w:szCs w:val="20"/>
          <w:color w:val="auto"/>
        </w:rPr>
      </w:pPr>
    </w:p>
    <w:p>
      <w:pPr>
        <w:ind w:left="1960"/>
        <w:spacing w:after="0"/>
        <w:rPr>
          <w:sz w:val="20"/>
          <w:szCs w:val="20"/>
          <w:color w:val="auto"/>
        </w:rPr>
      </w:pPr>
      <w:r>
        <w:rPr>
          <w:rFonts w:ascii="Arial" w:cs="Arial" w:eastAsia="Arial" w:hAnsi="Arial"/>
          <w:sz w:val="17"/>
          <w:szCs w:val="17"/>
          <w:b w:val="1"/>
          <w:bCs w:val="1"/>
          <w:color w:val="auto"/>
        </w:rPr>
        <w:t>(ii)            </w:t>
      </w:r>
      <w:r>
        <w:rPr>
          <w:rFonts w:ascii="Arial" w:cs="Arial" w:eastAsia="Arial" w:hAnsi="Arial"/>
          <w:sz w:val="17"/>
          <w:szCs w:val="17"/>
          <w:color w:val="auto"/>
        </w:rPr>
        <w:t>either (1) a Withholding Obligation does not apply, or (2) the Company decides, prior to the Original Issuance Date,</w:t>
      </w:r>
    </w:p>
    <w:p>
      <w:pPr>
        <w:spacing w:after="0" w:line="39" w:lineRule="exact"/>
        <w:rPr>
          <w:sz w:val="20"/>
          <w:szCs w:val="20"/>
          <w:color w:val="auto"/>
        </w:rPr>
      </w:pPr>
    </w:p>
    <w:p>
      <w:pPr>
        <w:jc w:val="both"/>
        <w:ind w:firstLine="8"/>
        <w:spacing w:after="0" w:line="255" w:lineRule="auto"/>
        <w:tabs>
          <w:tab w:leader="none" w:pos="29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5" w:name="page276"/>
    <w:bookmarkEnd w:id="275"/>
    <w:p>
      <w:pPr>
        <w:jc w:val="both"/>
        <w:ind w:firstLine="1944"/>
        <w:spacing w:after="0" w:line="255" w:lineRule="auto"/>
        <w:rPr>
          <w:sz w:val="20"/>
          <w:szCs w:val="20"/>
          <w:color w:val="auto"/>
        </w:rPr>
      </w:pPr>
      <w:r>
        <w:rPr>
          <w:rFonts w:ascii="Arial" w:cs="Arial" w:eastAsia="Arial" w:hAnsi="Arial"/>
          <w:sz w:val="18"/>
          <w:szCs w:val="18"/>
          <w:b w:val="1"/>
          <w:bCs w:val="1"/>
          <w:color w:val="auto"/>
        </w:rPr>
        <w:t>(iii)          </w:t>
      </w:r>
      <w:r>
        <w:rPr>
          <w:rFonts w:ascii="Arial" w:cs="Arial" w:eastAsia="Arial" w:hAnsi="Arial"/>
          <w:sz w:val="18"/>
          <w:szCs w:val="18"/>
          <w:u w:val="single" w:color="auto"/>
          <w:color w:val="auto"/>
        </w:rPr>
        <w:t>then</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that would otherwise be issued to you on the Original Issuance Date will not be delivered on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Original Issuance Date and will instead be delivered on the first business day when you are not prohibited from selling shares of the Company’s Common Stock in the open public market or on such other date determined by the Company, but in no event later than December 31 of the calendar year in which the Original Issuance Date occurs (that is, the last day of your taxable year in which the Original Issuance Date occurs), or, </w:t>
      </w:r>
      <w:r>
        <w:rPr>
          <w:rFonts w:ascii="Arial" w:cs="Arial" w:eastAsia="Arial" w:hAnsi="Arial"/>
          <w:sz w:val="18"/>
          <w:szCs w:val="18"/>
          <w:u w:val="single" w:color="auto"/>
          <w:color w:val="auto"/>
        </w:rPr>
        <w:t>if and only if</w:t>
      </w:r>
      <w:r>
        <w:rPr>
          <w:rFonts w:ascii="Arial" w:cs="Arial" w:eastAsia="Arial" w:hAnsi="Arial"/>
          <w:sz w:val="18"/>
          <w:szCs w:val="18"/>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RSU Award are no longer subject to a “substantial risk of forfeiture” within the meaning of Treasury Regulations Section 1.409A-1(d).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            </w:t>
      </w:r>
      <w:r>
        <w:rPr>
          <w:rFonts w:ascii="Arial" w:cs="Arial" w:eastAsia="Arial" w:hAnsi="Arial"/>
          <w:sz w:val="18"/>
          <w:szCs w:val="18"/>
          <w:color w:val="auto"/>
        </w:rPr>
        <w:t>To the extent the RSU Award is a Non-Exempt Award, the provisions of Section 11 of the Plan shall apply.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7.             L</w:t>
      </w:r>
      <w:r>
        <w:rPr>
          <w:rFonts w:ascii="Arial" w:cs="Arial" w:eastAsia="Arial" w:hAnsi="Arial"/>
          <w:sz w:val="11"/>
          <w:szCs w:val="11"/>
          <w:b w:val="1"/>
          <w:bCs w:val="1"/>
          <w:color w:val="auto"/>
        </w:rPr>
        <w:t>ock</w:t>
      </w:r>
      <w:r>
        <w:rPr>
          <w:rFonts w:ascii="Arial" w:cs="Arial" w:eastAsia="Arial" w:hAnsi="Arial"/>
          <w:sz w:val="17"/>
          <w:szCs w:val="17"/>
          <w:b w:val="1"/>
          <w:bCs w:val="1"/>
          <w:color w:val="auto"/>
        </w:rPr>
        <w:t>-U</w:t>
      </w:r>
      <w:r>
        <w:rPr>
          <w:rFonts w:ascii="Arial" w:cs="Arial" w:eastAsia="Arial" w:hAnsi="Arial"/>
          <w:sz w:val="11"/>
          <w:szCs w:val="11"/>
          <w:b w:val="1"/>
          <w:bCs w:val="1"/>
          <w:color w:val="auto"/>
        </w:rPr>
        <w:t>p</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eriod</w:t>
      </w:r>
      <w:r>
        <w:rPr>
          <w:rFonts w:ascii="Arial" w:cs="Arial" w:eastAsia="Arial" w:hAnsi="Arial"/>
          <w:sz w:val="17"/>
          <w:szCs w:val="17"/>
          <w:color w:val="auto"/>
        </w:rPr>
        <w:t>. By accepting your RSU Award, you agree that you will not sell, dispose of, transfer, make any short sale of, grant any</w:t>
      </w:r>
      <w:r>
        <w:rPr>
          <w:rFonts w:ascii="Arial" w:cs="Arial" w:eastAsia="Arial" w:hAnsi="Arial"/>
          <w:sz w:val="17"/>
          <w:szCs w:val="17"/>
          <w:b w:val="1"/>
          <w:bCs w:val="1"/>
          <w:color w:val="auto"/>
        </w:rPr>
        <w:t xml:space="preserve"> </w:t>
      </w:r>
      <w:r>
        <w:rPr>
          <w:rFonts w:ascii="Arial" w:cs="Arial" w:eastAsia="Arial" w:hAnsi="Arial"/>
          <w:sz w:val="17"/>
          <w:szCs w:val="17"/>
          <w:color w:val="auto"/>
        </w:rPr>
        <w:t>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contained in this Section 7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7. The underwriters of the Company’s stock are intended third party beneficiaries of this Section 7 and will have the right, power and authority to enforce the provisions hereof as though they were a party hereto.</w:t>
      </w:r>
    </w:p>
    <w:p>
      <w:pPr>
        <w:spacing w:after="0" w:line="18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8.             T</w:t>
      </w:r>
      <w:r>
        <w:rPr>
          <w:rFonts w:ascii="Arial" w:cs="Arial" w:eastAsia="Arial" w:hAnsi="Arial"/>
          <w:sz w:val="12"/>
          <w:szCs w:val="12"/>
          <w:b w:val="1"/>
          <w:bCs w:val="1"/>
          <w:color w:val="auto"/>
        </w:rPr>
        <w: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the Plan, your RSU Award is not transferable, except by will or by the applicable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descent and distribution.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9.             C</w:t>
      </w:r>
      <w:r>
        <w:rPr>
          <w:rFonts w:ascii="Arial" w:cs="Arial" w:eastAsia="Arial" w:hAnsi="Arial"/>
          <w:sz w:val="12"/>
          <w:szCs w:val="12"/>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RSU Award is subject to the terms of any agreement governing a Corporate Transaction involving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          RSU A</w:t>
      </w:r>
      <w:r>
        <w:rPr>
          <w:rFonts w:ascii="Arial" w:cs="Arial" w:eastAsia="Arial" w:hAnsi="Arial"/>
          <w:sz w:val="12"/>
          <w:szCs w:val="12"/>
          <w:b w:val="1"/>
          <w:bCs w:val="1"/>
          <w:color w:val="auto"/>
        </w:rPr>
        <w:t>ward not a</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ervice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ontract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b w:val="1"/>
          <w:bCs w:val="1"/>
          <w:color w:val="auto"/>
        </w:rPr>
        <w:t>(a)            </w:t>
      </w:r>
      <w:r>
        <w:rPr>
          <w:rFonts w:ascii="Arial" w:cs="Arial" w:eastAsia="Arial" w:hAnsi="Arial"/>
          <w:sz w:val="18"/>
          <w:szCs w:val="18"/>
          <w:color w:val="auto"/>
        </w:rPr>
        <w:t>Nothing in this Agreement (including, but not limited to, the vesting of your RSU Award or the issuance of the shares in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of your RSU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6" w:name="page277"/>
    <w:bookmarkEnd w:id="276"/>
    <w:p>
      <w:pPr>
        <w:jc w:val="both"/>
        <w:ind w:firstLine="1304"/>
        <w:spacing w:after="0" w:line="287" w:lineRule="auto"/>
        <w:tabs>
          <w:tab w:leader="none" w:pos="2069" w:val="left"/>
        </w:tabs>
        <w:numPr>
          <w:ilvl w:val="0"/>
          <w:numId w:val="196"/>
        </w:numPr>
        <w:rPr>
          <w:rFonts w:ascii="Arial" w:cs="Arial" w:eastAsia="Arial" w:hAnsi="Arial"/>
          <w:sz w:val="16"/>
          <w:szCs w:val="16"/>
          <w:b w:val="1"/>
          <w:bCs w:val="1"/>
          <w:color w:val="auto"/>
        </w:rPr>
      </w:pPr>
      <w:r>
        <w:rPr>
          <w:rFonts w:ascii="Arial" w:cs="Arial" w:eastAsia="Arial" w:hAnsi="Arial"/>
          <w:sz w:val="16"/>
          <w:szCs w:val="16"/>
          <w:color w:val="auto"/>
        </w:rPr>
        <w:t>By accepting this RSU Award, you acknowledge and agree that the right to continue vesting in the RSU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RSU Award or any other award or benefit) and that the Company has the right to reorganize, sell, spin-out or otherwise restructure one or more of its businesses or Affiliates at any time or from time to time, as it deems appropriate (a “</w:t>
      </w:r>
      <w:r>
        <w:rPr>
          <w:rFonts w:ascii="Arial" w:cs="Arial" w:eastAsia="Arial" w:hAnsi="Arial"/>
          <w:sz w:val="16"/>
          <w:szCs w:val="16"/>
          <w:b w:val="1"/>
          <w:bCs w:val="1"/>
          <w:i w:val="1"/>
          <w:iCs w:val="1"/>
          <w:color w:val="auto"/>
        </w:rPr>
        <w:t>reorganization</w:t>
      </w:r>
      <w:r>
        <w:rPr>
          <w:rFonts w:ascii="Arial" w:cs="Arial" w:eastAsia="Arial" w:hAnsi="Arial"/>
          <w:sz w:val="16"/>
          <w:szCs w:val="16"/>
          <w:color w:val="auto"/>
        </w:rPr>
        <w:t>”). You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RSU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terminate your Continuous Service at any time, with or without your cause or notice, or to conduct a reorganization.</w:t>
      </w:r>
    </w:p>
    <w:p>
      <w:pPr>
        <w:spacing w:after="0" w:line="16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11.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ompliance</w:t>
      </w:r>
      <w:r>
        <w:rPr>
          <w:rFonts w:ascii="Arial" w:cs="Arial" w:eastAsia="Arial" w:hAnsi="Arial"/>
          <w:sz w:val="18"/>
          <w:szCs w:val="18"/>
          <w:color w:val="auto"/>
        </w:rPr>
        <w:t>. You may not be issued any Common Stock under your RSU Award unless the Common Stock underlying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are either (i) then registered under the Securities Act, or (ii) the Company has determined that such issuance would be exempt from the registration requirements of the Securities Act. Your RSU Award must also comply with other applicable laws and regulations governing the RSU Award, and you shall not receive such Common Stock if the Company determines that such receipt would not be in material compliance with such laws and regulations.</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color w:val="auto"/>
        </w:rPr>
        <w:t>12.          N</w:t>
      </w:r>
      <w:r>
        <w:rPr>
          <w:rFonts w:ascii="Arial" w:cs="Arial" w:eastAsia="Arial" w:hAnsi="Arial"/>
          <w:sz w:val="11"/>
          <w:szCs w:val="11"/>
          <w:b w:val="1"/>
          <w:bCs w:val="1"/>
          <w:color w:val="auto"/>
        </w:rPr>
        <w:t>o</w:t>
      </w:r>
      <w:r>
        <w:rPr>
          <w:rFonts w:ascii="Arial" w:cs="Arial" w:eastAsia="Arial" w:hAnsi="Arial"/>
          <w:sz w:val="17"/>
          <w:szCs w:val="17"/>
          <w:b w:val="1"/>
          <w:bCs w:val="1"/>
          <w:color w:val="auto"/>
        </w:rPr>
        <w:t xml:space="preserve"> L</w:t>
      </w:r>
      <w:r>
        <w:rPr>
          <w:rFonts w:ascii="Arial" w:cs="Arial" w:eastAsia="Arial" w:hAnsi="Arial"/>
          <w:sz w:val="11"/>
          <w:szCs w:val="11"/>
          <w:b w:val="1"/>
          <w:bCs w:val="1"/>
          <w:color w:val="auto"/>
        </w:rPr>
        <w:t>iability</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axes</w:t>
      </w:r>
      <w:r>
        <w:rPr>
          <w:rFonts w:ascii="Arial" w:cs="Arial" w:eastAsia="Arial" w:hAnsi="Arial"/>
          <w:sz w:val="17"/>
          <w:szCs w:val="17"/>
          <w:color w:val="auto"/>
        </w:rPr>
        <w:t>. As a condition to accepting the RSU Award, you hereby (a) agree to not make any claim against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or any of its Officers, Directors, Employees or Affiliates related to tax liabilities arising from the RSU Award or other Company compensation and</w:t>
      </w:r>
    </w:p>
    <w:p>
      <w:pPr>
        <w:spacing w:after="0" w:line="1" w:lineRule="exact"/>
        <w:rPr>
          <w:sz w:val="20"/>
          <w:szCs w:val="20"/>
          <w:color w:val="auto"/>
        </w:rPr>
      </w:pPr>
    </w:p>
    <w:p>
      <w:pPr>
        <w:ind w:firstLine="8"/>
        <w:spacing w:after="0" w:line="260" w:lineRule="auto"/>
        <w:tabs>
          <w:tab w:leader="none" w:pos="25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acknowledge that you were advised to consult with your own personal tax, financial and other legal advisors regarding the tax consequences of the RSU Award and have either done so or knowingly and voluntarily declined to do so.</w:t>
      </w:r>
    </w:p>
    <w:p>
      <w:pPr>
        <w:spacing w:after="0" w:line="18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13.          S</w:t>
      </w:r>
      <w:r>
        <w:rPr>
          <w:rFonts w:ascii="Arial" w:cs="Arial" w:eastAsia="Arial" w:hAnsi="Arial"/>
          <w:sz w:val="11"/>
          <w:szCs w:val="11"/>
          <w:b w:val="1"/>
          <w:bCs w:val="1"/>
          <w:color w:val="auto"/>
        </w:rPr>
        <w:t>everability</w:t>
      </w:r>
      <w:r>
        <w:rPr>
          <w:rFonts w:ascii="Arial" w:cs="Arial" w:eastAsia="Arial" w:hAnsi="Arial"/>
          <w:sz w:val="17"/>
          <w:szCs w:val="17"/>
          <w:color w:val="auto"/>
        </w:rPr>
        <w:t>. If any part of this RSU Award Agreement or the Plan is declared by any court or Governmental Body to be unlawful or</w:t>
      </w:r>
      <w:r>
        <w:rPr>
          <w:rFonts w:ascii="Arial" w:cs="Arial" w:eastAsia="Arial" w:hAnsi="Arial"/>
          <w:sz w:val="17"/>
          <w:szCs w:val="17"/>
          <w:b w:val="1"/>
          <w:bCs w:val="1"/>
          <w:color w:val="auto"/>
        </w:rPr>
        <w:t xml:space="preserve"> </w:t>
      </w:r>
      <w:r>
        <w:rPr>
          <w:rFonts w:ascii="Arial" w:cs="Arial" w:eastAsia="Arial" w:hAnsi="Arial"/>
          <w:sz w:val="17"/>
          <w:szCs w:val="17"/>
          <w:color w:val="auto"/>
        </w:rPr>
        <w:t>invalid, such unlawfulness or invalidity will not invalidate any portion of this RSU Award Agreement or the Plan not declared to be unlawful or invalid. Any Section of this RSU Award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14.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You hereby acknowledge receipt of or the right to receive a document providing the information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Rule 428(b)(1) promulgated under the Securities Act, which includes the Prospectus. In addition, you acknowledge receipt of the Company’s Trading Policy.</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15.          H</w:t>
      </w:r>
      <w:r>
        <w:rPr>
          <w:rFonts w:ascii="Arial" w:cs="Arial" w:eastAsia="Arial" w:hAnsi="Arial"/>
          <w:sz w:val="12"/>
          <w:szCs w:val="12"/>
          <w:b w:val="1"/>
          <w:bCs w:val="1"/>
          <w:color w:val="auto"/>
        </w:rPr>
        <w:t>eadings</w:t>
      </w:r>
      <w:r>
        <w:rPr>
          <w:rFonts w:ascii="Arial" w:cs="Arial" w:eastAsia="Arial" w:hAnsi="Arial"/>
          <w:sz w:val="18"/>
          <w:szCs w:val="18"/>
          <w:color w:val="auto"/>
        </w:rPr>
        <w:t>. The headings of the Sections in this RSU Award Agreement are inserted for convenience only and shall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part of this RSU Award Agreement or to affect the meaning of this RSU Award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7" w:name="page278"/>
    <w:bookmarkEnd w:id="277"/>
    <w:p>
      <w:pPr>
        <w:jc w:val="both"/>
        <w:ind w:firstLine="648"/>
        <w:spacing w:after="0" w:line="284" w:lineRule="auto"/>
        <w:rPr>
          <w:sz w:val="20"/>
          <w:szCs w:val="20"/>
          <w:color w:val="auto"/>
        </w:rPr>
      </w:pPr>
      <w:r>
        <w:rPr>
          <w:rFonts w:ascii="Arial" w:cs="Arial" w:eastAsia="Arial" w:hAnsi="Arial"/>
          <w:sz w:val="16"/>
          <w:szCs w:val="16"/>
          <w:b w:val="1"/>
          <w:bCs w:val="1"/>
          <w:color w:val="auto"/>
        </w:rPr>
        <w:t>16.          C</w:t>
      </w:r>
      <w:r>
        <w:rPr>
          <w:rFonts w:ascii="Arial" w:cs="Arial" w:eastAsia="Arial" w:hAnsi="Arial"/>
          <w:sz w:val="11"/>
          <w:szCs w:val="11"/>
          <w:b w:val="1"/>
          <w:bCs w:val="1"/>
          <w:color w:val="auto"/>
        </w:rPr>
        <w:t>ompliance</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ith</w:t>
      </w:r>
      <w:r>
        <w:rPr>
          <w:rFonts w:ascii="Arial" w:cs="Arial" w:eastAsia="Arial" w:hAnsi="Arial"/>
          <w:sz w:val="16"/>
          <w:szCs w:val="16"/>
          <w:b w:val="1"/>
          <w:bCs w:val="1"/>
          <w:color w:val="auto"/>
        </w:rPr>
        <w:t xml:space="preserve"> S</w:t>
      </w:r>
      <w:r>
        <w:rPr>
          <w:rFonts w:ascii="Arial" w:cs="Arial" w:eastAsia="Arial" w:hAnsi="Arial"/>
          <w:sz w:val="11"/>
          <w:szCs w:val="11"/>
          <w:b w:val="1"/>
          <w:bCs w:val="1"/>
          <w:color w:val="auto"/>
        </w:rPr>
        <w:t>ection</w:t>
      </w:r>
      <w:r>
        <w:rPr>
          <w:rFonts w:ascii="Arial" w:cs="Arial" w:eastAsia="Arial" w:hAnsi="Arial"/>
          <w:sz w:val="16"/>
          <w:szCs w:val="16"/>
          <w:b w:val="1"/>
          <w:bCs w:val="1"/>
          <w:color w:val="auto"/>
        </w:rPr>
        <w:t xml:space="preserve"> 409A O</w:t>
      </w:r>
      <w:r>
        <w:rPr>
          <w:rFonts w:ascii="Arial" w:cs="Arial" w:eastAsia="Arial" w:hAnsi="Arial"/>
          <w:sz w:val="11"/>
          <w:szCs w:val="11"/>
          <w:b w:val="1"/>
          <w:bCs w:val="1"/>
          <w:color w:val="auto"/>
        </w:rPr>
        <w:t>f</w:t>
      </w:r>
      <w:r>
        <w:rPr>
          <w:rFonts w:ascii="Arial" w:cs="Arial" w:eastAsia="Arial" w:hAnsi="Arial"/>
          <w:sz w:val="16"/>
          <w:szCs w:val="16"/>
          <w:b w:val="1"/>
          <w:bCs w:val="1"/>
          <w:color w:val="auto"/>
        </w:rPr>
        <w:t xml:space="preserve"> T</w:t>
      </w:r>
      <w:r>
        <w:rPr>
          <w:rFonts w:ascii="Arial" w:cs="Arial" w:eastAsia="Arial" w:hAnsi="Arial"/>
          <w:sz w:val="11"/>
          <w:szCs w:val="11"/>
          <w:b w:val="1"/>
          <w:bCs w:val="1"/>
          <w:color w:val="auto"/>
        </w:rPr>
        <w:t>he</w:t>
      </w:r>
      <w:r>
        <w:rPr>
          <w:rFonts w:ascii="Arial" w:cs="Arial" w:eastAsia="Arial" w:hAnsi="Arial"/>
          <w:sz w:val="16"/>
          <w:szCs w:val="16"/>
          <w:b w:val="1"/>
          <w:bCs w:val="1"/>
          <w:color w:val="auto"/>
        </w:rPr>
        <w:t xml:space="preserve"> C</w:t>
      </w:r>
      <w:r>
        <w:rPr>
          <w:rFonts w:ascii="Arial" w:cs="Arial" w:eastAsia="Arial" w:hAnsi="Arial"/>
          <w:sz w:val="11"/>
          <w:szCs w:val="11"/>
          <w:b w:val="1"/>
          <w:bCs w:val="1"/>
          <w:color w:val="auto"/>
        </w:rPr>
        <w:t>ode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RSU Award is intended to be exempt from the application of Section 409A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Code, including but not limited to by reason of complying with the “short-term deferral” rule set forth in Treasury Regulation Section 1.409A-1(b)(4) and any ambiguities herein shall be interpreted accordingly. Notwithstanding the foregoing, if it is determined that the RSU Award fails to satisfy the requirements of the short-term deferral rule and is otherwise not exempt from, and determined to be deferred compensation subject to Section 409A of the Code, this RSU Award shall comply with Section 409A to the extent necessary to avoid adverse personal tax consequences and any ambiguities herein shall be interpreted accordingly. If it is determined that the RSU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w:t>
      </w:r>
    </w:p>
    <w:p>
      <w:pPr>
        <w:spacing w:after="0" w:line="5" w:lineRule="exact"/>
        <w:rPr>
          <w:sz w:val="20"/>
          <w:szCs w:val="20"/>
          <w:color w:val="auto"/>
        </w:rPr>
      </w:pPr>
    </w:p>
    <w:p>
      <w:pPr>
        <w:jc w:val="both"/>
        <w:ind w:firstLine="8"/>
        <w:spacing w:after="0" w:line="253" w:lineRule="auto"/>
        <w:tabs>
          <w:tab w:leader="none" w:pos="26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8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17.          Q</w:t>
      </w:r>
      <w:r>
        <w:rPr>
          <w:rFonts w:ascii="Arial" w:cs="Arial" w:eastAsia="Arial" w:hAnsi="Arial"/>
          <w:sz w:val="12"/>
          <w:szCs w:val="12"/>
          <w:b w:val="1"/>
          <w:bCs w:val="1"/>
          <w:color w:val="auto"/>
        </w:rPr>
        <w:t>uestions</w:t>
      </w:r>
      <w:r>
        <w:rPr>
          <w:rFonts w:ascii="Arial" w:cs="Arial" w:eastAsia="Arial" w:hAnsi="Arial"/>
          <w:sz w:val="18"/>
          <w:szCs w:val="18"/>
          <w:b w:val="1"/>
          <w:bCs w:val="1"/>
          <w:color w:val="auto"/>
        </w:rPr>
        <w:t xml:space="preserve">. </w:t>
      </w:r>
      <w:r>
        <w:rPr>
          <w:rFonts w:ascii="Arial" w:cs="Arial" w:eastAsia="Arial" w:hAnsi="Arial"/>
          <w:sz w:val="18"/>
          <w:szCs w:val="18"/>
          <w:color w:val="auto"/>
        </w:rPr>
        <w:t>If you have questions regarding these or any other terms and conditions applicable to your RSU Award, including a summary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applicable federal income tax consequences please see the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w:t>
      </w:r>
      <w:r>
        <w:rPr>
          <w:rFonts w:ascii="Arial" w:cs="Arial" w:eastAsia="Arial" w:hAnsi="Arial"/>
          <w:sz w:val="18"/>
          <w:szCs w:val="18"/>
          <w:b w:val="1"/>
          <w:bCs w:val="1"/>
          <w:color w:val="auto"/>
        </w:rPr>
        <w:t>S</w:t>
      </w:r>
      <w:r>
        <w:rPr>
          <w:rFonts w:ascii="Arial" w:cs="Arial" w:eastAsia="Arial" w:hAnsi="Arial"/>
          <w:sz w:val="12"/>
          <w:szCs w:val="12"/>
          <w:b w:val="1"/>
          <w:bCs w:val="1"/>
          <w:color w:val="auto"/>
        </w:rPr>
        <w:t>alus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A</w:t>
      </w:r>
      <w:r>
        <w:rPr>
          <w:rFonts w:ascii="Arial" w:cs="Arial" w:eastAsia="Arial" w:hAnsi="Arial"/>
          <w:sz w:val="12"/>
          <w:szCs w:val="12"/>
          <w:b w:val="1"/>
          <w:bCs w:val="1"/>
          <w:color w:val="auto"/>
        </w:rPr>
        <w:t>ugust</w:t>
      </w:r>
      <w:r>
        <w:rPr>
          <w:rFonts w:ascii="Arial" w:cs="Arial" w:eastAsia="Arial" w:hAnsi="Arial"/>
          <w:sz w:val="18"/>
          <w:szCs w:val="18"/>
          <w:b w:val="1"/>
          <w:bCs w:val="1"/>
          <w:color w:val="auto"/>
        </w:rPr>
        <w:t xml:space="preserve"> 10, 2023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 A</w:t>
      </w:r>
      <w:r>
        <w:rPr>
          <w:rFonts w:ascii="Arial" w:cs="Arial" w:eastAsia="Arial" w:hAnsi="Arial"/>
          <w:sz w:val="12"/>
          <w:szCs w:val="12"/>
          <w:b w:val="1"/>
          <w:bCs w:val="1"/>
          <w:color w:val="auto"/>
        </w:rPr>
        <w:t>ugust</w:t>
      </w:r>
      <w:r>
        <w:rPr>
          <w:rFonts w:ascii="Arial" w:cs="Arial" w:eastAsia="Arial" w:hAnsi="Arial"/>
          <w:sz w:val="18"/>
          <w:szCs w:val="18"/>
          <w:b w:val="1"/>
          <w:bCs w:val="1"/>
          <w:color w:val="auto"/>
        </w:rPr>
        <w:t xml:space="preserve"> 8, 2023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P</w:t>
      </w:r>
      <w:r>
        <w:rPr>
          <w:rFonts w:ascii="Arial" w:cs="Arial" w:eastAsia="Arial" w:hAnsi="Arial"/>
          <w:sz w:val="12"/>
          <w:szCs w:val="12"/>
          <w:b w:val="1"/>
          <w:bCs w:val="1"/>
          <w:color w:val="auto"/>
        </w:rPr>
        <w:t>urpose</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(a)           </w:t>
      </w:r>
      <w:r>
        <w:rPr>
          <w:rFonts w:ascii="Arial" w:cs="Arial" w:eastAsia="Arial" w:hAnsi="Arial"/>
          <w:sz w:val="18"/>
          <w:szCs w:val="18"/>
          <w:color w:val="auto"/>
        </w:rPr>
        <w:t>The Plan provides a means by which Eligible Employees of the Company and certain Designated Companies may be given an opportunity</w:t>
      </w:r>
      <w:r>
        <w:rPr>
          <w:rFonts w:ascii="Arial" w:cs="Arial" w:eastAsia="Arial" w:hAnsi="Arial"/>
          <w:sz w:val="18"/>
          <w:szCs w:val="18"/>
          <w:b w:val="1"/>
          <w:bCs w:val="1"/>
          <w:color w:val="auto"/>
        </w:rPr>
        <w:t xml:space="preserve"> </w:t>
      </w:r>
      <w:r>
        <w:rPr>
          <w:rFonts w:ascii="Arial" w:cs="Arial" w:eastAsia="Arial" w:hAnsi="Arial"/>
          <w:sz w:val="18"/>
          <w:szCs w:val="18"/>
          <w:color w:val="auto"/>
        </w:rPr>
        <w:t>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(b)           </w:t>
      </w:r>
      <w:r>
        <w:rPr>
          <w:rFonts w:ascii="Arial" w:cs="Arial" w:eastAsia="Arial" w:hAnsi="Arial"/>
          <w:sz w:val="17"/>
          <w:szCs w:val="17"/>
          <w:color w:val="auto"/>
        </w:rPr>
        <w:t>The Plan includes two components: a 423 Component and a Non-423 Component. The Company intends (but makes no undertaking or</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 to maintain) the 423 Component to qualify as a Qualified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 Qualified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 Qualified Employee Stock Purchase Plan to the extent the Offering is made under the 423 Component), and the Company will designate which Designated Company is participating in each separate Offering.</w:t>
      </w:r>
    </w:p>
    <w:p>
      <w:pPr>
        <w:spacing w:after="0" w:line="17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(c)           </w:t>
      </w:r>
      <w:r>
        <w:rPr>
          <w:rFonts w:ascii="Arial" w:cs="Arial" w:eastAsia="Arial" w:hAnsi="Arial"/>
          <w:sz w:val="17"/>
          <w:szCs w:val="17"/>
          <w:color w:val="auto"/>
        </w:rPr>
        <w:t>The Company, by means of the Plan, seeks to retain the services of Eligible Employees, to secure and retain the services of new</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and to provide incentives for such persons to exert maximum efforts for the success of the Company and its Related Corporations.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w:t>
      </w:r>
      <w:r>
        <w:rPr>
          <w:rFonts w:ascii="Arial" w:cs="Arial" w:eastAsia="Arial" w:hAnsi="Arial"/>
          <w:sz w:val="12"/>
          <w:szCs w:val="12"/>
          <w:b w:val="1"/>
          <w:bCs w:val="1"/>
          <w:color w:val="auto"/>
        </w:rPr>
        <w:t>dministration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(a)           </w:t>
      </w:r>
      <w:r>
        <w:rPr>
          <w:rFonts w:ascii="Arial" w:cs="Arial" w:eastAsia="Arial" w:hAnsi="Arial"/>
          <w:sz w:val="18"/>
          <w:szCs w:val="18"/>
          <w:color w:val="auto"/>
        </w:rPr>
        <w:t>The Board will administer the Plan unless and until the Board delegates administration of the Plan to a Committee or Committees,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Section 2(c).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w:t>
      </w:r>
      <w:r>
        <w:rPr>
          <w:rFonts w:ascii="Arial" w:cs="Arial" w:eastAsia="Arial" w:hAnsi="Arial"/>
          <w:sz w:val="18"/>
          <w:szCs w:val="18"/>
          <w:color w:val="auto"/>
        </w:rPr>
        <w:t>The Board will have the power, subject to, and within the limitations of, the express provisions of the Plan: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(i)              </w:t>
      </w:r>
      <w:r>
        <w:rPr>
          <w:rFonts w:ascii="Arial" w:cs="Arial" w:eastAsia="Arial" w:hAnsi="Arial"/>
          <w:sz w:val="16"/>
          <w:szCs w:val="16"/>
          <w:color w:val="auto"/>
        </w:rPr>
        <w:t>To determine how and when Purchase Rights will be granted and the provisions of each Offering (which need not be identical).</w:t>
      </w:r>
    </w:p>
    <w:p>
      <w:pPr>
        <w:spacing w:after="0" w:line="248"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7"/>
          <w:szCs w:val="17"/>
          <w:b w:val="1"/>
          <w:bCs w:val="1"/>
          <w:color w:val="auto"/>
        </w:rPr>
        <w:t>(ii)             </w:t>
      </w:r>
      <w:r>
        <w:rPr>
          <w:rFonts w:ascii="Arial" w:cs="Arial" w:eastAsia="Arial" w:hAnsi="Arial"/>
          <w:sz w:val="17"/>
          <w:szCs w:val="17"/>
          <w:color w:val="auto"/>
        </w:rPr>
        <w:t>To designate from time to time (A) which Related Corporations of the Company will be eligible to participate in the Plan as</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423 Companies, (B) which Related Corporations or Affiliates will be eligible to participate in the Plan as Designated Non-423 Companies,</w:t>
      </w:r>
    </w:p>
    <w:p>
      <w:pPr>
        <w:spacing w:after="0" w:line="1" w:lineRule="exact"/>
        <w:rPr>
          <w:sz w:val="20"/>
          <w:szCs w:val="20"/>
          <w:color w:val="auto"/>
        </w:rPr>
      </w:pPr>
    </w:p>
    <w:p>
      <w:pPr>
        <w:ind w:firstLine="8"/>
        <w:spacing w:after="0" w:line="260" w:lineRule="auto"/>
        <w:tabs>
          <w:tab w:leader="none" w:pos="28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which Affiliates or Related Corporations may be excluded from participation in the Plan, and (D) which Designated Companies will participate in each separate Offering (to the extent that the Company makes separate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9" w:name="page280"/>
    <w:bookmarkEnd w:id="279"/>
    <w:p>
      <w:pPr>
        <w:jc w:val="both"/>
        <w:ind w:firstLine="1296"/>
        <w:spacing w:after="0" w:line="266" w:lineRule="auto"/>
        <w:rPr>
          <w:sz w:val="20"/>
          <w:szCs w:val="20"/>
          <w:color w:val="auto"/>
        </w:rPr>
      </w:pPr>
      <w:r>
        <w:rPr>
          <w:rFonts w:ascii="Arial" w:cs="Arial" w:eastAsia="Arial" w:hAnsi="Arial"/>
          <w:sz w:val="18"/>
          <w:szCs w:val="18"/>
          <w:b w:val="1"/>
          <w:bCs w:val="1"/>
          <w:color w:val="auto"/>
        </w:rPr>
        <w:t>(iii)            </w:t>
      </w:r>
      <w:r>
        <w:rPr>
          <w:rFonts w:ascii="Arial" w:cs="Arial" w:eastAsia="Arial" w:hAnsi="Arial"/>
          <w:sz w:val="18"/>
          <w:szCs w:val="18"/>
          <w:color w:val="auto"/>
        </w:rPr>
        <w:t>To construe and interpret the Plan and Purchase Rights, and to establish, amend and revoke rules and regulations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The Board, in the exercise of this power, may correct any defect, omission or inconsistency in the Plan, in a manner and to the extent it deems necessary or expedient to make the Plan fully effective.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(iv)             </w:t>
      </w:r>
      <w:r>
        <w:rPr>
          <w:rFonts w:ascii="Arial" w:cs="Arial" w:eastAsia="Arial" w:hAnsi="Arial"/>
          <w:sz w:val="18"/>
          <w:szCs w:val="18"/>
          <w:color w:val="auto"/>
        </w:rPr>
        <w:t>To settle all controversies regarding the Plan and Purchase Rights granted under the Plan.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(v)              </w:t>
      </w:r>
      <w:r>
        <w:rPr>
          <w:rFonts w:ascii="Arial" w:cs="Arial" w:eastAsia="Arial" w:hAnsi="Arial"/>
          <w:sz w:val="18"/>
          <w:szCs w:val="18"/>
          <w:color w:val="auto"/>
        </w:rPr>
        <w:t>To suspend or terminate the Plan at any time as provided in Section 11.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(vi)             </w:t>
      </w:r>
      <w:r>
        <w:rPr>
          <w:rFonts w:ascii="Arial" w:cs="Arial" w:eastAsia="Arial" w:hAnsi="Arial"/>
          <w:sz w:val="18"/>
          <w:szCs w:val="18"/>
          <w:color w:val="auto"/>
        </w:rPr>
        <w:t>To amend the Plan at any time as provided in Section 11.</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(vii)            </w:t>
      </w:r>
      <w:r>
        <w:rPr>
          <w:rFonts w:ascii="Arial" w:cs="Arial" w:eastAsia="Arial" w:hAnsi="Arial"/>
          <w:sz w:val="18"/>
          <w:szCs w:val="18"/>
          <w:color w:val="auto"/>
        </w:rPr>
        <w:t>Generally, to exercise such powers and to perform such acts as it deems necessary or expedient to promote the best interests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its Related Corporations and to carry out the intent that the Plan be treated as a Qualified Employee Stock Purchase Plan with respect to the 423 Component.</w:t>
      </w:r>
    </w:p>
    <w:p>
      <w:pPr>
        <w:spacing w:after="0" w:line="17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b w:val="1"/>
          <w:bCs w:val="1"/>
          <w:color w:val="auto"/>
        </w:rPr>
        <w:t>(viii)          </w:t>
      </w:r>
      <w:r>
        <w:rPr>
          <w:rFonts w:ascii="Arial" w:cs="Arial" w:eastAsia="Arial" w:hAnsi="Arial"/>
          <w:sz w:val="17"/>
          <w:szCs w:val="17"/>
          <w:color w:val="auto"/>
        </w:rPr>
        <w:t>To adopt such rules, procedures and sub-plans as are necessary or appropriate to permit or facilitate participation in the Plan by</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(c)           </w:t>
      </w:r>
      <w:r>
        <w:rPr>
          <w:rFonts w:ascii="Arial" w:cs="Arial" w:eastAsia="Arial" w:hAnsi="Arial"/>
          <w:sz w:val="16"/>
          <w:szCs w:val="16"/>
          <w:color w:val="auto"/>
        </w:rPr>
        <w:t>The Board may delegate some or all of the administration of the Plan to a Committee or Committees. If administration is delegated to a</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(d)            </w:t>
      </w:r>
      <w:r>
        <w:rPr>
          <w:rFonts w:ascii="Arial" w:cs="Arial" w:eastAsia="Arial" w:hAnsi="Arial"/>
          <w:sz w:val="18"/>
          <w:szCs w:val="18"/>
          <w:color w:val="auto"/>
        </w:rPr>
        <w:t>All determinations, interpretations and constructions made by the Board in good faith will not be subject to review by any person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final, binding and conclusive on all persons.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color w:val="auto"/>
        </w:rPr>
        <w:t>3.             S</w:t>
      </w:r>
      <w:r>
        <w:rPr>
          <w:rFonts w:ascii="Arial" w:cs="Arial" w:eastAsia="Arial" w:hAnsi="Arial"/>
          <w:sz w:val="12"/>
          <w:szCs w:val="12"/>
          <w:b w:val="1"/>
          <w:bCs w:val="1"/>
          <w:color w:val="auto"/>
        </w:rPr>
        <w:t>hares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(a)            </w:t>
      </w:r>
      <w:r>
        <w:rPr>
          <w:rFonts w:ascii="Arial" w:cs="Arial" w:eastAsia="Arial" w:hAnsi="Arial"/>
          <w:sz w:val="16"/>
          <w:szCs w:val="16"/>
          <w:color w:val="auto"/>
        </w:rPr>
        <w:t>Subject to the provisions of Section 10(a) relating to Capitalization Adjustments, the maximum number of shares of Common Stock that</w:t>
      </w:r>
      <w:r>
        <w:rPr>
          <w:rFonts w:ascii="Arial" w:cs="Arial" w:eastAsia="Arial" w:hAnsi="Arial"/>
          <w:sz w:val="16"/>
          <w:szCs w:val="16"/>
          <w:b w:val="1"/>
          <w:bCs w:val="1"/>
          <w:color w:val="auto"/>
        </w:rPr>
        <w:t xml:space="preserve"> </w:t>
      </w:r>
      <w:r>
        <w:rPr>
          <w:rFonts w:ascii="Arial" w:cs="Arial" w:eastAsia="Arial" w:hAnsi="Arial"/>
          <w:sz w:val="16"/>
          <w:szCs w:val="16"/>
          <w:color w:val="auto"/>
        </w:rPr>
        <w:t>may be issued under the Plan will not exceed 1,396,252 shares of Common Stock (equal to three percent (3%) of the Fully Diluted Common Stock determined as of immediately after the Effective Time) (the “</w:t>
      </w:r>
      <w:r>
        <w:rPr>
          <w:rFonts w:ascii="Arial" w:cs="Arial" w:eastAsia="Arial" w:hAnsi="Arial"/>
          <w:sz w:val="16"/>
          <w:szCs w:val="16"/>
          <w:b w:val="1"/>
          <w:bCs w:val="1"/>
          <w:i w:val="1"/>
          <w:iCs w:val="1"/>
          <w:color w:val="auto"/>
        </w:rPr>
        <w:t>Initial Share Reserve</w:t>
      </w:r>
      <w:r>
        <w:rPr>
          <w:rFonts w:ascii="Arial" w:cs="Arial" w:eastAsia="Arial" w:hAnsi="Arial"/>
          <w:sz w:val="16"/>
          <w:szCs w:val="16"/>
          <w:color w:val="auto"/>
        </w:rPr>
        <w:t>”), plus the number of shares of Common Stock that are automatically added on January 1st of each year for a period of up to ten years, commencing on January 1, 2024 and ending on (and including) January 1, 2033, in an amount equal to the lesser of (x) two percent (2%) of the total number of shares of the Fully Diluted Common Stock determined as of the day prior to such increase, and (y) 2,792,503 shares of Common Stock (equal to two hundred percent (200%) of the Initial Share Reserve). Notwithstanding the foregoing,</w:t>
      </w:r>
    </w:p>
    <w:p>
      <w:pPr>
        <w:spacing w:after="0" w:line="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Board may act prior to the first day of any calendar year to provide that there will be no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(b)            </w:t>
      </w:r>
      <w:r>
        <w:rPr>
          <w:rFonts w:ascii="Arial" w:cs="Arial" w:eastAsia="Arial" w:hAnsi="Arial"/>
          <w:sz w:val="18"/>
          <w:szCs w:val="18"/>
          <w:color w:val="auto"/>
        </w:rPr>
        <w:t>If any Purchase Right granted under the Plan terminates without having been exercised in full, the shares of Common Stock not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under such Purchase Right will again become available for issuance under the Plan.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(c)            </w:t>
      </w:r>
      <w:r>
        <w:rPr>
          <w:rFonts w:ascii="Arial" w:cs="Arial" w:eastAsia="Arial" w:hAnsi="Arial"/>
          <w:sz w:val="18"/>
          <w:szCs w:val="18"/>
          <w:color w:val="auto"/>
        </w:rPr>
        <w:t>The stock purchasable under the Plan will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w:t>
      </w:r>
      <w:r>
        <w:rPr>
          <w:rFonts w:ascii="Arial" w:cs="Arial" w:eastAsia="Arial" w:hAnsi="Arial"/>
          <w:sz w:val="12"/>
          <w:szCs w:val="12"/>
          <w:b w:val="1"/>
          <w:bCs w:val="1"/>
          <w:color w:val="auto"/>
        </w:rPr>
        <w:t>rant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 O</w:t>
      </w:r>
      <w:r>
        <w:rPr>
          <w:rFonts w:ascii="Arial" w:cs="Arial" w:eastAsia="Arial" w:hAnsi="Arial"/>
          <w:sz w:val="12"/>
          <w:szCs w:val="12"/>
          <w:b w:val="1"/>
          <w:bCs w:val="1"/>
          <w:color w:val="auto"/>
        </w:rPr>
        <w:t>ffering</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(a)            </w:t>
      </w:r>
      <w:r>
        <w:rPr>
          <w:rFonts w:ascii="Arial" w:cs="Arial" w:eastAsia="Arial" w:hAnsi="Arial"/>
          <w:sz w:val="17"/>
          <w:szCs w:val="17"/>
          <w:color w:val="auto"/>
        </w:rPr>
        <w:t>The Board may from time to time grant or provide for the grant of Purchase Rights to Eligible Employees under an Offering (consisting</w:t>
      </w:r>
      <w:r>
        <w:rPr>
          <w:rFonts w:ascii="Arial" w:cs="Arial" w:eastAsia="Arial" w:hAnsi="Arial"/>
          <w:sz w:val="17"/>
          <w:szCs w:val="17"/>
          <w:b w:val="1"/>
          <w:bCs w:val="1"/>
          <w:color w:val="auto"/>
        </w:rPr>
        <w:t xml:space="preserve"> </w:t>
      </w:r>
      <w:r>
        <w:rPr>
          <w:rFonts w:ascii="Arial" w:cs="Arial" w:eastAsia="Arial" w:hAnsi="Arial"/>
          <w:sz w:val="17"/>
          <w:szCs w:val="17"/>
          <w:color w:val="auto"/>
        </w:rPr>
        <w:t>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(except as permitted by any regulations issued thereunder).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7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(b)            </w:t>
      </w:r>
      <w:r>
        <w:rPr>
          <w:rFonts w:ascii="Arial" w:cs="Arial" w:eastAsia="Arial" w:hAnsi="Arial"/>
          <w:sz w:val="18"/>
          <w:szCs w:val="18"/>
          <w:color w:val="auto"/>
        </w:rPr>
        <w:t>If a Participant has more than one Purchase Right outstanding under the Plan, unless he or she otherwise indicates in forms delivered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a third party designated by the Company (each, a “</w:t>
      </w:r>
      <w:r>
        <w:rPr>
          <w:rFonts w:ascii="Arial" w:cs="Arial" w:eastAsia="Arial" w:hAnsi="Arial"/>
          <w:sz w:val="18"/>
          <w:szCs w:val="18"/>
          <w:b w:val="1"/>
          <w:bCs w:val="1"/>
          <w:i w:val="1"/>
          <w:iCs w:val="1"/>
          <w:color w:val="auto"/>
        </w:rPr>
        <w:t>Company Designee</w:t>
      </w:r>
      <w:r>
        <w:rPr>
          <w:rFonts w:ascii="Arial" w:cs="Arial" w:eastAsia="Arial" w:hAnsi="Arial"/>
          <w:sz w:val="18"/>
          <w:szCs w:val="18"/>
          <w:color w:val="auto"/>
        </w:rPr>
        <w:t>”):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(c)            </w:t>
      </w:r>
      <w:r>
        <w:rPr>
          <w:rFonts w:ascii="Arial" w:cs="Arial" w:eastAsia="Arial" w:hAnsi="Arial"/>
          <w:sz w:val="18"/>
          <w:szCs w:val="18"/>
          <w:color w:val="auto"/>
        </w:rPr>
        <w:t>The Board will have the discretion to structure an Offering so that if the Fair Market Value of a share of Common Stock on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color w:val="auto"/>
        </w:rPr>
        <w:t>5.             E</w:t>
      </w:r>
      <w:r>
        <w:rPr>
          <w:rFonts w:ascii="Arial" w:cs="Arial" w:eastAsia="Arial" w:hAnsi="Arial"/>
          <w:sz w:val="12"/>
          <w:szCs w:val="12"/>
          <w:b w:val="1"/>
          <w:bCs w:val="1"/>
          <w:color w:val="auto"/>
        </w:rPr>
        <w:t>ligibility</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(a)            </w:t>
      </w:r>
      <w:r>
        <w:rPr>
          <w:rFonts w:ascii="Arial" w:cs="Arial" w:eastAsia="Arial" w:hAnsi="Arial"/>
          <w:sz w:val="17"/>
          <w:szCs w:val="17"/>
          <w:color w:val="auto"/>
        </w:rPr>
        <w:t>Purchase Rights may be granted only to Employees of the Company or, as the Board may designate in accordance with Section 2(b), to</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from participation in the Plan or any Offering Employees who are "highly compensated employees" (within the meaning of Section 423(b)(4)(D) of the Code) of the Company or a Related Corporation or a subset of such highly compensated employees.</w:t>
      </w:r>
    </w:p>
    <w:p>
      <w:pPr>
        <w:spacing w:after="0" w:line="17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(b)            </w:t>
      </w:r>
      <w:r>
        <w:rPr>
          <w:rFonts w:ascii="Arial" w:cs="Arial" w:eastAsia="Arial" w:hAnsi="Arial"/>
          <w:sz w:val="17"/>
          <w:szCs w:val="17"/>
          <w:color w:val="auto"/>
        </w:rPr>
        <w:t>The Board may provide that each person who, during the course of an Offering, first becomes an Eligible Employee will, on a date or</w:t>
      </w:r>
      <w:r>
        <w:rPr>
          <w:rFonts w:ascii="Arial" w:cs="Arial" w:eastAsia="Arial" w:hAnsi="Arial"/>
          <w:sz w:val="17"/>
          <w:szCs w:val="17"/>
          <w:b w:val="1"/>
          <w:bCs w:val="1"/>
          <w:color w:val="auto"/>
        </w:rPr>
        <w:t xml:space="preserve"> </w:t>
      </w:r>
      <w:r>
        <w:rPr>
          <w:rFonts w:ascii="Arial" w:cs="Arial" w:eastAsia="Arial" w:hAnsi="Arial"/>
          <w:sz w:val="17"/>
          <w:szCs w:val="17"/>
          <w:color w:val="auto"/>
        </w:rPr>
        <w:t>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6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(i)              </w:t>
      </w:r>
      <w:r>
        <w:rPr>
          <w:rFonts w:ascii="Arial" w:cs="Arial" w:eastAsia="Arial" w:hAnsi="Arial"/>
          <w:sz w:val="18"/>
          <w:szCs w:val="18"/>
          <w:color w:val="auto"/>
        </w:rPr>
        <w:t>the date on which such Purchase Right is granted will be the “Offering Date” of such Purchase Right for all purposes,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of the exercise price of such Purchase Right;</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(ii)             </w:t>
      </w:r>
      <w:r>
        <w:rPr>
          <w:rFonts w:ascii="Arial" w:cs="Arial" w:eastAsia="Arial" w:hAnsi="Arial"/>
          <w:sz w:val="18"/>
          <w:szCs w:val="18"/>
          <w:color w:val="auto"/>
        </w:rPr>
        <w:t>the period of the Offering with respect to such Purchase Right will begin on its Offering Date and end coincident with the end</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Offering; and</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(iii)            </w:t>
      </w:r>
      <w:r>
        <w:rPr>
          <w:rFonts w:ascii="Arial" w:cs="Arial" w:eastAsia="Arial" w:hAnsi="Arial"/>
          <w:sz w:val="18"/>
          <w:szCs w:val="18"/>
          <w:color w:val="auto"/>
        </w:rPr>
        <w:t>the Board may provide that if such person first becomes an Eligible Employee within a specified period of time before the end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Offering, he or she will not receive any Purchase Right under that Offering.</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(c)            </w:t>
      </w:r>
      <w:r>
        <w:rPr>
          <w:rFonts w:ascii="Arial" w:cs="Arial" w:eastAsia="Arial" w:hAnsi="Arial"/>
          <w:sz w:val="18"/>
          <w:szCs w:val="18"/>
          <w:color w:val="auto"/>
        </w:rPr>
        <w:t>No Employee will be eligible for the grant of any Purchase Rights under the 423 Component if, immediately after any such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are granted, such Employee owns stock possessing five percent (5%)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(d)            </w:t>
      </w:r>
      <w:r>
        <w:rPr>
          <w:rFonts w:ascii="Arial" w:cs="Arial" w:eastAsia="Arial" w:hAnsi="Arial"/>
          <w:sz w:val="17"/>
          <w:szCs w:val="17"/>
          <w:color w:val="auto"/>
        </w:rPr>
        <w:t>As specified by Section 423(b)(8) of the Code, an Eligible Employee may be granted Purchase Rights under the 423 Component only if</w:t>
      </w:r>
      <w:r>
        <w:rPr>
          <w:rFonts w:ascii="Arial" w:cs="Arial" w:eastAsia="Arial" w:hAnsi="Arial"/>
          <w:sz w:val="17"/>
          <w:szCs w:val="17"/>
          <w:b w:val="1"/>
          <w:bCs w:val="1"/>
          <w:color w:val="auto"/>
        </w:rPr>
        <w:t xml:space="preserve"> </w:t>
      </w:r>
      <w:r>
        <w:rPr>
          <w:rFonts w:ascii="Arial" w:cs="Arial" w:eastAsia="Arial" w:hAnsi="Arial"/>
          <w:sz w:val="17"/>
          <w:szCs w:val="17"/>
          <w:color w:val="auto"/>
        </w:rPr>
        <w:t>such Purchase Rights, together with any other rights granted under all Qualified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2" w:name="page283"/>
    <w:bookmarkEnd w:id="282"/>
    <w:p>
      <w:pPr>
        <w:jc w:val="both"/>
        <w:ind w:firstLine="648"/>
        <w:spacing w:after="0" w:line="314" w:lineRule="auto"/>
        <w:rPr>
          <w:sz w:val="20"/>
          <w:szCs w:val="20"/>
          <w:color w:val="auto"/>
        </w:rPr>
      </w:pPr>
      <w:r>
        <w:rPr>
          <w:rFonts w:ascii="Arial" w:cs="Arial" w:eastAsia="Arial" w:hAnsi="Arial"/>
          <w:sz w:val="16"/>
          <w:szCs w:val="16"/>
          <w:b w:val="1"/>
          <w:bCs w:val="1"/>
          <w:color w:val="auto"/>
        </w:rPr>
        <w:t>(e)            </w:t>
      </w:r>
      <w:r>
        <w:rPr>
          <w:rFonts w:ascii="Arial" w:cs="Arial" w:eastAsia="Arial" w:hAnsi="Arial"/>
          <w:sz w:val="16"/>
          <w:szCs w:val="16"/>
          <w:color w:val="auto"/>
        </w:rPr>
        <w:t>Officers of the Company and any Designated Company, if they are otherwise Eligible Employees, will be eligible to participate in</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Offerings under the Plan. Notwithstanding the foregoing, the Board may (unless prohibited by Applicable Law) provide in an Offering that Employees who are highly compensated Employees (or a subset thereof) within the meaning of Section 423(b)(4)(D) of the Code will not be eligible to participate.</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(f)            </w:t>
      </w:r>
      <w:r>
        <w:rPr>
          <w:rFonts w:ascii="Arial" w:cs="Arial" w:eastAsia="Arial" w:hAnsi="Arial"/>
          <w:sz w:val="18"/>
          <w:szCs w:val="18"/>
          <w:color w:val="auto"/>
        </w:rPr>
        <w:t>Notwithstanding anything in this Section 5 to the contrary, in the case of an Offering under the Non-423 Component, an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(or group of Eligible Employees) may be excluded from participation in the Plan or an Offering if the Board has determined, in its sole discretion, that such individuals shall be excluded.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(a)            </w:t>
      </w:r>
      <w:r>
        <w:rPr>
          <w:rFonts w:ascii="Arial" w:cs="Arial" w:eastAsia="Arial" w:hAnsi="Arial"/>
          <w:sz w:val="17"/>
          <w:szCs w:val="17"/>
          <w:color w:val="auto"/>
        </w:rPr>
        <w:t>On each Offering Date, each Eligible Employee, pursuant to an Offering made under the Plan, will be granted a Purchase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up to that number of shares of Common Stock purchasable either with a maximum percentage of eligible compensation or with a maximum dollar amount, as designated by the Board, during the period that begins on the Offering Date (or such later date as the Board determines for a particular Offering) and ends on the date stated in the Offering, which date will be no later than the end of the Offering.</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(b)            </w:t>
      </w:r>
      <w:r>
        <w:rPr>
          <w:rFonts w:ascii="Arial" w:cs="Arial" w:eastAsia="Arial" w:hAnsi="Arial"/>
          <w:sz w:val="18"/>
          <w:szCs w:val="18"/>
          <w:color w:val="auto"/>
        </w:rPr>
        <w:t>The Board will establish one or more Purchase Dates during an Offering on which Purchase Rights granted for that Offering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and shares of Common Stock will be purchased in accordance with such Offering.</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(c)            </w:t>
      </w:r>
      <w:r>
        <w:rPr>
          <w:rFonts w:ascii="Arial" w:cs="Arial" w:eastAsia="Arial" w:hAnsi="Arial"/>
          <w:sz w:val="17"/>
          <w:szCs w:val="17"/>
          <w:color w:val="auto"/>
        </w:rPr>
        <w:t>In connection with each Offering made under the Plan, the Board may specify (i) a maximum number of shares of Common Stock that</w:t>
      </w:r>
      <w:r>
        <w:rPr>
          <w:rFonts w:ascii="Arial" w:cs="Arial" w:eastAsia="Arial" w:hAnsi="Arial"/>
          <w:sz w:val="17"/>
          <w:szCs w:val="17"/>
          <w:b w:val="1"/>
          <w:bCs w:val="1"/>
          <w:color w:val="auto"/>
        </w:rPr>
        <w:t xml:space="preserve"> </w:t>
      </w:r>
      <w:r>
        <w:rPr>
          <w:rFonts w:ascii="Arial" w:cs="Arial" w:eastAsia="Arial" w:hAnsi="Arial"/>
          <w:sz w:val="17"/>
          <w:szCs w:val="17"/>
          <w:color w:val="auto"/>
        </w:rPr>
        <w:t>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17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(d)            </w:t>
      </w:r>
      <w:r>
        <w:rPr>
          <w:rFonts w:ascii="Arial" w:cs="Arial" w:eastAsia="Arial" w:hAnsi="Arial"/>
          <w:sz w:val="18"/>
          <w:szCs w:val="18"/>
          <w:color w:val="auto"/>
        </w:rPr>
        <w:t>The purchase price of shares of Common Stock acquired pursuant to Purchase Rights will be specified by the Board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of an Offering and will not be less than the lesser 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              </w:t>
      </w:r>
      <w:r>
        <w:rPr>
          <w:rFonts w:ascii="Arial" w:cs="Arial" w:eastAsia="Arial" w:hAnsi="Arial"/>
          <w:sz w:val="18"/>
          <w:szCs w:val="18"/>
          <w:color w:val="auto"/>
        </w:rPr>
        <w:t>an amount equal to 85% of the Fair Market Value of the shares of Common Stock on the Offering Date; 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(ii)             </w:t>
      </w:r>
      <w:r>
        <w:rPr>
          <w:rFonts w:ascii="Arial" w:cs="Arial" w:eastAsia="Arial" w:hAnsi="Arial"/>
          <w:sz w:val="18"/>
          <w:szCs w:val="18"/>
          <w:color w:val="auto"/>
        </w:rPr>
        <w:t>an amount equal to 85% of the Fair Market Value of the shares of Common Stock on the applicable Purchase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w:t>
      </w:r>
      <w:r>
        <w:rPr>
          <w:rFonts w:ascii="Arial" w:cs="Arial" w:eastAsia="Arial" w:hAnsi="Arial"/>
          <w:sz w:val="12"/>
          <w:szCs w:val="12"/>
          <w:b w:val="1"/>
          <w:bCs w:val="1"/>
          <w:color w:val="auto"/>
        </w:rPr>
        <w:t>articipation</w:t>
      </w:r>
      <w:r>
        <w:rPr>
          <w:rFonts w:ascii="Arial" w:cs="Arial" w:eastAsia="Arial" w:hAnsi="Arial"/>
          <w:sz w:val="18"/>
          <w:szCs w:val="18"/>
          <w:b w:val="1"/>
          <w:bCs w:val="1"/>
          <w:color w:val="auto"/>
        </w:rPr>
        <w:t>; W</w:t>
      </w:r>
      <w:r>
        <w:rPr>
          <w:rFonts w:ascii="Arial" w:cs="Arial" w:eastAsia="Arial" w:hAnsi="Arial"/>
          <w:sz w:val="12"/>
          <w:szCs w:val="12"/>
          <w:b w:val="1"/>
          <w:bCs w:val="1"/>
          <w:color w:val="auto"/>
        </w:rPr>
        <w:t>ithdrawal</w:t>
      </w:r>
      <w:r>
        <w:rPr>
          <w:rFonts w:ascii="Arial" w:cs="Arial" w:eastAsia="Arial" w:hAnsi="Arial"/>
          <w:sz w:val="18"/>
          <w:szCs w:val="18"/>
          <w:b w:val="1"/>
          <w:bCs w:val="1"/>
          <w:color w:val="auto"/>
        </w:rPr>
        <w:t>; T</w:t>
      </w:r>
      <w:r>
        <w:rPr>
          <w:rFonts w:ascii="Arial" w:cs="Arial" w:eastAsia="Arial" w:hAnsi="Arial"/>
          <w:sz w:val="12"/>
          <w:szCs w:val="12"/>
          <w:b w:val="1"/>
          <w:bCs w:val="1"/>
          <w:color w:val="auto"/>
        </w:rPr>
        <w:t>ermination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(a)            </w:t>
      </w:r>
      <w:r>
        <w:rPr>
          <w:rFonts w:ascii="Arial" w:cs="Arial" w:eastAsia="Arial" w:hAnsi="Arial"/>
          <w:sz w:val="18"/>
          <w:szCs w:val="18"/>
          <w:color w:val="auto"/>
        </w:rPr>
        <w:t>An Eligible Employee may elect to participate in an Offering and authorize payroll deductions as the means of making Contributions by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completing and delivering to the Company or a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3" w:name="page284"/>
    <w:bookmarkEnd w:id="283"/>
    <w:p>
      <w:pPr>
        <w:jc w:val="both"/>
        <w:ind w:firstLine="648"/>
        <w:spacing w:after="0" w:line="274" w:lineRule="auto"/>
        <w:rPr>
          <w:sz w:val="20"/>
          <w:szCs w:val="20"/>
          <w:color w:val="auto"/>
        </w:rPr>
      </w:pPr>
      <w:r>
        <w:rPr>
          <w:rFonts w:ascii="Arial" w:cs="Arial" w:eastAsia="Arial" w:hAnsi="Arial"/>
          <w:sz w:val="17"/>
          <w:szCs w:val="17"/>
          <w:b w:val="1"/>
          <w:bCs w:val="1"/>
          <w:color w:val="auto"/>
        </w:rPr>
        <w:t>(b)            </w:t>
      </w:r>
      <w:r>
        <w:rPr>
          <w:rFonts w:ascii="Arial" w:cs="Arial" w:eastAsia="Arial" w:hAnsi="Arial"/>
          <w:sz w:val="17"/>
          <w:szCs w:val="17"/>
          <w:color w:val="auto"/>
        </w:rPr>
        <w:t>During an Offering, a Participant may cease making Contributions and withdraw from the Offering by delivering to the Company or a</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(c)            </w:t>
      </w:r>
      <w:r>
        <w:rPr>
          <w:rFonts w:ascii="Arial" w:cs="Arial" w:eastAsia="Arial" w:hAnsi="Arial"/>
          <w:sz w:val="18"/>
          <w:szCs w:val="18"/>
          <w:color w:val="auto"/>
        </w:rPr>
        <w:t>Unless otherwise required by Applicable Law, Purchase Rights granted pursuant to any Offering under the Plan will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 (and if applicable, accumulated interest).</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(d)            </w:t>
      </w:r>
      <w:r>
        <w:rPr>
          <w:rFonts w:ascii="Arial" w:cs="Arial" w:eastAsia="Arial" w:hAnsi="Arial"/>
          <w:sz w:val="17"/>
          <w:szCs w:val="17"/>
          <w:color w:val="auto"/>
        </w:rPr>
        <w:t>Unless otherwise determined by the Board, a Participant whose employment transfers or whose employment terminates with an</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17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(e)            </w:t>
      </w:r>
      <w:r>
        <w:rPr>
          <w:rFonts w:ascii="Arial" w:cs="Arial" w:eastAsia="Arial" w:hAnsi="Arial"/>
          <w:sz w:val="16"/>
          <w:szCs w:val="16"/>
          <w:color w:val="auto"/>
        </w:rPr>
        <w:t>During a Participant’s lifetime, Purchase Rights will be exercisable only by such Participant. Purchase Rights are not transferable by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except by will, by the laws of descent and distribution, or, if permitted by the Company, by a beneficiary designation as described in Section 9.</w:t>
      </w:r>
    </w:p>
    <w:p>
      <w:pPr>
        <w:spacing w:after="0" w:line="1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(f)            </w:t>
      </w:r>
      <w:r>
        <w:rPr>
          <w:rFonts w:ascii="Arial" w:cs="Arial" w:eastAsia="Arial" w:hAnsi="Arial"/>
          <w:sz w:val="18"/>
          <w:szCs w:val="18"/>
          <w:color w:val="auto"/>
        </w:rPr>
        <w:t>Unless otherwise specified in the Offering or as required by Applicable Law, the Company will have no obligation to pay interest on</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color w:val="auto"/>
        </w:rPr>
        <w:t>8.             E</w:t>
      </w:r>
      <w:r>
        <w:rPr>
          <w:rFonts w:ascii="Arial" w:cs="Arial" w:eastAsia="Arial" w:hAnsi="Arial"/>
          <w:sz w:val="12"/>
          <w:szCs w:val="12"/>
          <w:b w:val="1"/>
          <w:bCs w:val="1"/>
          <w:color w:val="auto"/>
        </w:rPr>
        <w:t>xercise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(a)            </w:t>
      </w:r>
      <w:r>
        <w:rPr>
          <w:rFonts w:ascii="Arial" w:cs="Arial" w:eastAsia="Arial" w:hAnsi="Arial"/>
          <w:sz w:val="18"/>
          <w:szCs w:val="18"/>
          <w:color w:val="auto"/>
        </w:rPr>
        <w:t>On each Purchase Date, each Participant’s accumulated Contributions will be applied to the purchase of shares of Common Stock, up to</w:t>
      </w:r>
      <w:r>
        <w:rPr>
          <w:rFonts w:ascii="Arial" w:cs="Arial" w:eastAsia="Arial" w:hAnsi="Arial"/>
          <w:sz w:val="18"/>
          <w:szCs w:val="18"/>
          <w:b w:val="1"/>
          <w:bCs w:val="1"/>
          <w:color w:val="auto"/>
        </w:rPr>
        <w:t xml:space="preserve"> </w:t>
      </w:r>
      <w:r>
        <w:rPr>
          <w:rFonts w:ascii="Arial" w:cs="Arial" w:eastAsia="Arial" w:hAnsi="Arial"/>
          <w:sz w:val="18"/>
          <w:szCs w:val="18"/>
          <w:color w:val="auto"/>
        </w:rPr>
        <w:t>the maximum number of shares of Common Stock permitted by the Plan and the applicable Offering, at the purchase price specified in the Offering. No fractional shares will be issued unless specifically provided for in the Offering.</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(b)            </w:t>
      </w:r>
      <w:r>
        <w:rPr>
          <w:rFonts w:ascii="Arial" w:cs="Arial" w:eastAsia="Arial" w:hAnsi="Arial"/>
          <w:sz w:val="16"/>
          <w:szCs w:val="16"/>
          <w:color w:val="auto"/>
        </w:rPr>
        <w:t>Unless otherwise provided in the Offering, if any amount of accumulated Contributions remains in a Participant’s account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w:t>
      </w:r>
    </w:p>
    <w:p>
      <w:pPr>
        <w:spacing w:after="0" w:line="15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(c)            </w:t>
      </w:r>
      <w:r>
        <w:rPr>
          <w:rFonts w:ascii="Arial" w:cs="Arial" w:eastAsia="Arial" w:hAnsi="Arial"/>
          <w:sz w:val="16"/>
          <w:szCs w:val="16"/>
          <w:color w:val="auto"/>
        </w:rPr>
        <w:t>No Purchase Rights may be exercised to any extent unless the shares of Common Stock to be issued upon such exercise under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w:t>
      </w:r>
      <w:r>
        <w:rPr>
          <w:rFonts w:ascii="Arial" w:cs="Arial" w:eastAsia="Arial" w:hAnsi="Arial"/>
          <w:sz w:val="12"/>
          <w:szCs w:val="12"/>
          <w:b w:val="1"/>
          <w:bCs w:val="1"/>
          <w:color w:val="auto"/>
        </w:rPr>
        <w:t>esignation of</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eneficiary</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(a)            </w:t>
      </w:r>
      <w:r>
        <w:rPr>
          <w:rFonts w:ascii="Arial" w:cs="Arial" w:eastAsia="Arial" w:hAnsi="Arial"/>
          <w:sz w:val="18"/>
          <w:szCs w:val="18"/>
          <w:color w:val="auto"/>
        </w:rPr>
        <w:t>The Company may, but is not obligated to, permit a Participant to submit a form designating a beneficiary who will receive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(b)            </w:t>
      </w:r>
      <w:r>
        <w:rPr>
          <w:rFonts w:ascii="Arial" w:cs="Arial" w:eastAsia="Arial" w:hAnsi="Arial"/>
          <w:sz w:val="18"/>
          <w:szCs w:val="18"/>
          <w:color w:val="auto"/>
        </w:rPr>
        <w:t>If a Participant dies, and in the absence of a valid beneficiary designation, the Company will deliver any shares of Common Stock and/or</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color w:val="auto"/>
        </w:rPr>
        <w:t>10.          A</w:t>
      </w:r>
      <w:r>
        <w:rPr>
          <w:rFonts w:ascii="Arial" w:cs="Arial" w:eastAsia="Arial" w:hAnsi="Arial"/>
          <w:sz w:val="12"/>
          <w:szCs w:val="12"/>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C</w:t>
      </w:r>
      <w:r>
        <w:rPr>
          <w:rFonts w:ascii="Arial" w:cs="Arial" w:eastAsia="Arial" w:hAnsi="Arial"/>
          <w:sz w:val="12"/>
          <w:szCs w:val="12"/>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(a)            </w:t>
      </w:r>
      <w:r>
        <w:rPr>
          <w:rFonts w:ascii="Arial" w:cs="Arial" w:eastAsia="Arial" w:hAnsi="Arial"/>
          <w:sz w:val="17"/>
          <w:szCs w:val="17"/>
          <w:color w:val="auto"/>
        </w:rPr>
        <w:t>In the event of a Capitalization Adjustment, the Board will appropriately and proportionately adjust: (i) the class(es) and maximum</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(b)            </w:t>
      </w:r>
      <w:r>
        <w:rPr>
          <w:rFonts w:ascii="Arial" w:cs="Arial" w:eastAsia="Arial" w:hAnsi="Arial"/>
          <w:sz w:val="18"/>
          <w:szCs w:val="18"/>
          <w:color w:val="auto"/>
        </w:rPr>
        <w:t>In the event of a Corporate Transaction, then: (i) any surviving corporation or acquiring corporation (or the surviving or acquiring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T</w:t>
      </w:r>
      <w:r>
        <w:rPr>
          <w:rFonts w:ascii="Arial" w:cs="Arial" w:eastAsia="Arial" w:hAnsi="Arial"/>
          <w:sz w:val="12"/>
          <w:szCs w:val="12"/>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(a)            </w:t>
      </w:r>
      <w:r>
        <w:rPr>
          <w:rFonts w:ascii="Arial" w:cs="Arial" w:eastAsia="Arial" w:hAnsi="Arial"/>
          <w:sz w:val="18"/>
          <w:szCs w:val="18"/>
          <w:color w:val="auto"/>
        </w:rPr>
        <w:t>The Board may amend the Plan at any time in any respect the Board deems necessary or advisable. However, except as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10(a) relating to Capitalization Adjustments, stockholder approval will be required for any amendment of the Plan for which stockholder approval is required by Applicable Law.</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(b)            </w:t>
      </w:r>
      <w:r>
        <w:rPr>
          <w:rFonts w:ascii="Arial" w:cs="Arial" w:eastAsia="Arial" w:hAnsi="Arial"/>
          <w:sz w:val="18"/>
          <w:szCs w:val="18"/>
          <w:color w:val="auto"/>
        </w:rPr>
        <w:t>The Board may suspend or terminate the Plan at any time. No Purchase Rights may be granted under the Plan while the Plan is suspended</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it is terminated.</w:t>
      </w:r>
    </w:p>
    <w:p>
      <w:pPr>
        <w:spacing w:after="0" w:line="1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(c)            </w:t>
      </w:r>
      <w:r>
        <w:rPr>
          <w:rFonts w:ascii="Arial" w:cs="Arial" w:eastAsia="Arial" w:hAnsi="Arial"/>
          <w:sz w:val="17"/>
          <w:szCs w:val="17"/>
          <w:color w:val="auto"/>
        </w:rPr>
        <w:t>Any benefits, privileges, entitlements and obligations under any outstanding Purchase Rights granted before an amendment, suspension</w:t>
      </w:r>
      <w:r>
        <w:rPr>
          <w:rFonts w:ascii="Arial" w:cs="Arial" w:eastAsia="Arial" w:hAnsi="Arial"/>
          <w:sz w:val="17"/>
          <w:szCs w:val="17"/>
          <w:b w:val="1"/>
          <w:bCs w:val="1"/>
          <w:color w:val="auto"/>
        </w:rPr>
        <w:t xml:space="preserve"> </w:t>
      </w:r>
      <w:r>
        <w:rPr>
          <w:rFonts w:ascii="Arial" w:cs="Arial" w:eastAsia="Arial" w:hAnsi="Arial"/>
          <w:sz w:val="17"/>
          <w:szCs w:val="17"/>
          <w:color w:val="auto"/>
        </w:rPr>
        <w:t>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Qualified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color w:val="auto"/>
        </w:rPr>
        <w:t>12.          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ualification</w:t>
      </w:r>
      <w:r>
        <w:rPr>
          <w:rFonts w:ascii="Arial" w:cs="Arial" w:eastAsia="Arial" w:hAnsi="Arial"/>
          <w:sz w:val="18"/>
          <w:szCs w:val="18"/>
          <w:b w:val="1"/>
          <w:bCs w:val="1"/>
          <w:color w:val="auto"/>
        </w:rPr>
        <w:t>; 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ithholding</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           Each Participant will make arrangements, satisfactory to the Company and any applicable Related Corporation, to enable the Company or the Related Corporation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spacing w:after="0" w:line="1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(c)            </w:t>
      </w:r>
      <w:r>
        <w:rPr>
          <w:rFonts w:ascii="Arial" w:cs="Arial" w:eastAsia="Arial" w:hAnsi="Arial"/>
          <w:sz w:val="17"/>
          <w:szCs w:val="17"/>
          <w:color w:val="auto"/>
        </w:rPr>
        <w:t>The 423 Component is exempt from the application of Section 409A of the Code, and any ambiguities herein shall be interpreted to so be</w:t>
      </w:r>
      <w:r>
        <w:rPr>
          <w:rFonts w:ascii="Arial" w:cs="Arial" w:eastAsia="Arial" w:hAnsi="Arial"/>
          <w:sz w:val="17"/>
          <w:szCs w:val="17"/>
          <w:b w:val="1"/>
          <w:bCs w:val="1"/>
          <w:color w:val="auto"/>
        </w:rPr>
        <w:t xml:space="preserve"> </w:t>
      </w:r>
      <w:r>
        <w:rPr>
          <w:rFonts w:ascii="Arial" w:cs="Arial" w:eastAsia="Arial" w:hAnsi="Arial"/>
          <w:sz w:val="17"/>
          <w:szCs w:val="17"/>
          <w:color w:val="auto"/>
        </w:rPr>
        <w:t>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w:t>
      </w:r>
      <w:r>
        <w:rPr>
          <w:rFonts w:ascii="Arial" w:cs="Arial" w:eastAsia="Arial" w:hAnsi="Arial"/>
          <w:sz w:val="12"/>
          <w:szCs w:val="12"/>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Plan will become effective immediately prior to and contingent upon the Effective Date. No Purchase Rights will be exercised unless and until the Plan has been approved by the stockholders of the Company, which approval must be within 12 months before or after the date the Plan is adopted (or if required under Section 11(a) above, materially amended) by the Board.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color w:val="auto"/>
        </w:rPr>
        <w:t>14.          M</w:t>
      </w:r>
      <w:r>
        <w:rPr>
          <w:rFonts w:ascii="Arial" w:cs="Arial" w:eastAsia="Arial" w:hAnsi="Arial"/>
          <w:sz w:val="12"/>
          <w:szCs w:val="12"/>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rovisions</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(a)            </w:t>
      </w:r>
      <w:r>
        <w:rPr>
          <w:rFonts w:ascii="Arial" w:cs="Arial" w:eastAsia="Arial" w:hAnsi="Arial"/>
          <w:sz w:val="17"/>
          <w:szCs w:val="17"/>
          <w:color w:val="auto"/>
        </w:rPr>
        <w:t>Proceeds from the sale of shares of Common Stock pursuant to Purchase Rights will constitute general funds of the Company.</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(b)            </w:t>
      </w:r>
      <w:r>
        <w:rPr>
          <w:rFonts w:ascii="Arial" w:cs="Arial" w:eastAsia="Arial" w:hAnsi="Arial"/>
          <w:sz w:val="18"/>
          <w:szCs w:val="18"/>
          <w:color w:val="auto"/>
        </w:rPr>
        <w:t>A Participant will not be deemed to be the holder of, or to have any of the rights of a holder with respect to,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Purchase Rights unless and until the Participant’s shares of Common Stock acquired upon exercise of Purchase Rights are recorded in the books of the Company (or its transfer agent).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(c)            </w:t>
      </w:r>
      <w:r>
        <w:rPr>
          <w:rFonts w:ascii="Arial" w:cs="Arial" w:eastAsia="Arial" w:hAnsi="Arial"/>
          <w:sz w:val="18"/>
          <w:szCs w:val="18"/>
          <w:color w:val="auto"/>
        </w:rPr>
        <w:t>The Plan and Offering do not constitute an employment contract. Nothing in the Plan or in the Offering will in any way alter the at will</w:t>
      </w:r>
      <w:r>
        <w:rPr>
          <w:rFonts w:ascii="Arial" w:cs="Arial" w:eastAsia="Arial" w:hAnsi="Arial"/>
          <w:sz w:val="18"/>
          <w:szCs w:val="18"/>
          <w:b w:val="1"/>
          <w:bCs w:val="1"/>
          <w:color w:val="auto"/>
        </w:rPr>
        <w:t xml:space="preserve"> </w:t>
      </w:r>
      <w:r>
        <w:rPr>
          <w:rFonts w:ascii="Arial" w:cs="Arial" w:eastAsia="Arial" w:hAnsi="Arial"/>
          <w:sz w:val="18"/>
          <w:szCs w:val="18"/>
          <w:color w:val="auto"/>
        </w:rPr>
        <w:t>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(d)            </w:t>
      </w:r>
      <w:r>
        <w:rPr>
          <w:rFonts w:ascii="Arial" w:cs="Arial" w:eastAsia="Arial" w:hAnsi="Arial"/>
          <w:sz w:val="17"/>
          <w:szCs w:val="17"/>
          <w:color w:val="auto"/>
        </w:rPr>
        <w:t>The provisions of the Plan will be governed by the laws of the State of Delaware without resort to that state’s conflicts of laws rules.</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(e)            </w:t>
      </w:r>
      <w:r>
        <w:rPr>
          <w:rFonts w:ascii="Arial" w:cs="Arial" w:eastAsia="Arial" w:hAnsi="Arial"/>
          <w:sz w:val="18"/>
          <w:szCs w:val="18"/>
          <w:color w:val="auto"/>
        </w:rPr>
        <w:t>If any particular provision of the Plan is found to be invalid or otherwise unenforceable, such provision will not affect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Plan, but the Plan will be construed in all respects as if such invalid provision were omitted.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(f)             </w:t>
      </w:r>
      <w:r>
        <w:rPr>
          <w:rFonts w:ascii="Arial" w:cs="Arial" w:eastAsia="Arial" w:hAnsi="Arial"/>
          <w:sz w:val="18"/>
          <w:szCs w:val="18"/>
          <w:color w:val="auto"/>
        </w:rPr>
        <w:t>If any provision of the Plan does not comply with Applicable Law, such provision shall be construed in such a manner as to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definitions will apply to the capitalized terms indicated below:</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(a)            </w:t>
      </w:r>
      <w:r>
        <w:rPr>
          <w:rFonts w:ascii="Arial" w:cs="Arial" w:eastAsia="Arial" w:hAnsi="Arial"/>
          <w:sz w:val="18"/>
          <w:szCs w:val="18"/>
          <w:color w:val="auto"/>
        </w:rPr>
        <w:t>“</w:t>
      </w:r>
      <w:r>
        <w:rPr>
          <w:rFonts w:ascii="Arial" w:cs="Arial" w:eastAsia="Arial" w:hAnsi="Arial"/>
          <w:sz w:val="18"/>
          <w:szCs w:val="18"/>
          <w:b w:val="1"/>
          <w:bCs w:val="1"/>
          <w:i w:val="1"/>
          <w:iCs w:val="1"/>
          <w:color w:val="auto"/>
        </w:rPr>
        <w:t>423 Component</w:t>
      </w:r>
      <w:r>
        <w:rPr>
          <w:rFonts w:ascii="Arial" w:cs="Arial" w:eastAsia="Arial" w:hAnsi="Arial"/>
          <w:sz w:val="18"/>
          <w:szCs w:val="18"/>
          <w:color w:val="auto"/>
        </w:rPr>
        <w:t>” means the part of the Plan, which excludes the Non-423 Component, pursuant to which Purchase Rights that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for a Qualified Employee Stock Purchase Plan may be granted to Eligible Employees.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(b)            </w:t>
      </w: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other than a Related Corporation, whether now or subsequently established, which is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a “parent” or “subsidiary” of the Company as such terms are defined in Rule 405 promulgated under the Securities Act. The Board may determine the time or times at which “parent” or “subsidiary” status is determined within the foregoing definition.</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(c)            </w:t>
      </w:r>
      <w:r>
        <w:rPr>
          <w:rFonts w:ascii="Arial" w:cs="Arial" w:eastAsia="Arial" w:hAnsi="Arial"/>
          <w:sz w:val="17"/>
          <w:szCs w:val="17"/>
          <w:color w:val="auto"/>
        </w:rPr>
        <w:t>“</w:t>
      </w:r>
      <w:r>
        <w:rPr>
          <w:rFonts w:ascii="Arial" w:cs="Arial" w:eastAsia="Arial" w:hAnsi="Arial"/>
          <w:sz w:val="17"/>
          <w:szCs w:val="17"/>
          <w:b w:val="1"/>
          <w:bCs w:val="1"/>
          <w:i w:val="1"/>
          <w:iCs w:val="1"/>
          <w:color w:val="auto"/>
        </w:rPr>
        <w:t>Applicable Law</w:t>
      </w:r>
      <w:r>
        <w:rPr>
          <w:rFonts w:ascii="Arial" w:cs="Arial" w:eastAsia="Arial" w:hAnsi="Arial"/>
          <w:sz w:val="17"/>
          <w:szCs w:val="17"/>
          <w:color w:val="auto"/>
        </w:rPr>
        <w:t>” means shall mean the Code and any applicable securities, federal, state, foreign, material local or municipal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w:t>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(e)            </w:t>
      </w: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8" w:name="page289"/>
    <w:bookmarkEnd w:id="288"/>
    <w:p>
      <w:pPr>
        <w:ind w:left="660"/>
        <w:spacing w:after="0"/>
        <w:rPr>
          <w:sz w:val="20"/>
          <w:szCs w:val="20"/>
          <w:color w:val="auto"/>
        </w:rPr>
      </w:pPr>
      <w:r>
        <w:rPr>
          <w:rFonts w:ascii="Arial" w:cs="Arial" w:eastAsia="Arial" w:hAnsi="Arial"/>
          <w:sz w:val="17"/>
          <w:szCs w:val="17"/>
          <w:b w:val="1"/>
          <w:bCs w:val="1"/>
          <w:color w:val="auto"/>
        </w:rPr>
        <w:t>(f)             </w:t>
      </w: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U.S. Internal Revenue Code of 1986, as amended, including any applicable regulations and guidance thereunder.</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(g)            </w:t>
      </w: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members of the Board to whom authority has been delegated by the Board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            </w:t>
      </w: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             </w:t>
      </w: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TriSalus Life Sciences, Inc., a Delaware corporation.</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(j)            </w:t>
      </w: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the payroll deductions and other additional payments specifically provided for in the Offering that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 and, with respect to the 423 Component, to the extent permitted by Section 423.</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(k)            </w:t>
      </w: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(i)              </w:t>
      </w:r>
      <w:r>
        <w:rPr>
          <w:rFonts w:ascii="Arial" w:cs="Arial" w:eastAsia="Arial" w:hAnsi="Arial"/>
          <w:sz w:val="18"/>
          <w:szCs w:val="18"/>
          <w:color w:val="auto"/>
        </w:rPr>
        <w:t>a sale or other disposition of all or substantially all, as determined by the Board in its sole discretion, of the consolidated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and its subsidiaries;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(ii)             </w:t>
      </w:r>
      <w:r>
        <w:rPr>
          <w:rFonts w:ascii="Arial" w:cs="Arial" w:eastAsia="Arial" w:hAnsi="Arial"/>
          <w:sz w:val="18"/>
          <w:szCs w:val="18"/>
          <w:color w:val="auto"/>
        </w:rPr>
        <w:t>a sale or other disposition of more than 50% of the outstanding securities of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(iii)            </w:t>
      </w:r>
      <w:r>
        <w:rPr>
          <w:rFonts w:ascii="Arial" w:cs="Arial" w:eastAsia="Arial" w:hAnsi="Arial"/>
          <w:sz w:val="18"/>
          <w:szCs w:val="18"/>
          <w:color w:val="auto"/>
        </w:rPr>
        <w:t>a merger, consolidation or similar transaction following which the Company is not the surviving corporation; or</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(iv)             </w:t>
      </w:r>
      <w:r>
        <w:rPr>
          <w:rFonts w:ascii="Arial" w:cs="Arial" w:eastAsia="Arial" w:hAnsi="Arial"/>
          <w:sz w:val="18"/>
          <w:szCs w:val="18"/>
          <w:color w:val="auto"/>
        </w:rPr>
        <w:t>a merger, consolidation or similar transaction following which the Company is the surviving corporation but the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             </w:t>
      </w: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423 Company</w:t>
      </w:r>
      <w:r>
        <w:rPr>
          <w:rFonts w:ascii="Arial" w:cs="Arial" w:eastAsia="Arial" w:hAnsi="Arial"/>
          <w:sz w:val="18"/>
          <w:szCs w:val="18"/>
          <w:color w:val="auto"/>
        </w:rPr>
        <w:t>” means any Related Corporation selected by the Board as participating in the 423 Component.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(m)           </w:t>
      </w:r>
      <w:r>
        <w:rPr>
          <w:rFonts w:ascii="Arial" w:cs="Arial" w:eastAsia="Arial" w:hAnsi="Arial"/>
          <w:sz w:val="17"/>
          <w:szCs w:val="17"/>
          <w:color w:val="auto"/>
        </w:rPr>
        <w:t>“</w:t>
      </w:r>
      <w:r>
        <w:rPr>
          <w:rFonts w:ascii="Arial" w:cs="Arial" w:eastAsia="Arial" w:hAnsi="Arial"/>
          <w:sz w:val="17"/>
          <w:szCs w:val="17"/>
          <w:b w:val="1"/>
          <w:bCs w:val="1"/>
          <w:i w:val="1"/>
          <w:iCs w:val="1"/>
          <w:color w:val="auto"/>
        </w:rPr>
        <w:t>Designated Company</w:t>
      </w:r>
      <w:r>
        <w:rPr>
          <w:rFonts w:ascii="Arial" w:cs="Arial" w:eastAsia="Arial" w:hAnsi="Arial"/>
          <w:sz w:val="17"/>
          <w:szCs w:val="17"/>
          <w:color w:val="auto"/>
        </w:rPr>
        <w:t>” means any Designated Non-423 Corporation or Designated 423 Company, provided, however, that at any given</w:t>
      </w:r>
      <w:r>
        <w:rPr>
          <w:rFonts w:ascii="Arial" w:cs="Arial" w:eastAsia="Arial" w:hAnsi="Arial"/>
          <w:sz w:val="17"/>
          <w:szCs w:val="17"/>
          <w:b w:val="1"/>
          <w:bCs w:val="1"/>
          <w:color w:val="auto"/>
        </w:rPr>
        <w:t xml:space="preserve"> </w:t>
      </w:r>
      <w:r>
        <w:rPr>
          <w:rFonts w:ascii="Arial" w:cs="Arial" w:eastAsia="Arial" w:hAnsi="Arial"/>
          <w:sz w:val="17"/>
          <w:szCs w:val="17"/>
          <w:color w:val="auto"/>
        </w:rPr>
        <w:t>time, a Related Corporation participating in the 423 Component shall not be a Related Corporation participating in the Non-423 Component.</w:t>
      </w:r>
    </w:p>
    <w:p>
      <w:pPr>
        <w:spacing w:after="0" w:line="14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(n)           </w:t>
      </w: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Non-423 Company</w:t>
      </w:r>
      <w:r>
        <w:rPr>
          <w:rFonts w:ascii="Arial" w:cs="Arial" w:eastAsia="Arial" w:hAnsi="Arial"/>
          <w:sz w:val="18"/>
          <w:szCs w:val="18"/>
          <w:color w:val="auto"/>
        </w:rPr>
        <w:t>” means any Related Corporation or Affiliate selected by the Board as participating in the Non-423</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9" w:name="page290"/>
    <w:bookmarkEnd w:id="289"/>
    <w:p>
      <w:pPr>
        <w:ind w:left="660"/>
        <w:spacing w:after="0"/>
        <w:rPr>
          <w:sz w:val="20"/>
          <w:szCs w:val="20"/>
          <w:color w:val="auto"/>
        </w:rPr>
      </w:pPr>
      <w:r>
        <w:rPr>
          <w:rFonts w:ascii="Arial" w:cs="Arial" w:eastAsia="Arial" w:hAnsi="Arial"/>
          <w:sz w:val="18"/>
          <w:szCs w:val="18"/>
          <w:b w:val="1"/>
          <w:bCs w:val="1"/>
          <w:color w:val="auto"/>
        </w:rPr>
        <w:t>(o)            </w:t>
      </w: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(p)            </w:t>
      </w: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this Plan, which is the date of the closing of the transactions contemplated by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(q)            </w:t>
      </w: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shall have the meaning set forth in the Merger Agreement.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(r)            </w:t>
      </w:r>
      <w:r>
        <w:rPr>
          <w:rFonts w:ascii="Arial" w:cs="Arial" w:eastAsia="Arial" w:hAnsi="Arial"/>
          <w:sz w:val="17"/>
          <w:szCs w:val="17"/>
          <w:color w:val="auto"/>
        </w:rPr>
        <w:t>“</w:t>
      </w:r>
      <w:r>
        <w:rPr>
          <w:rFonts w:ascii="Arial" w:cs="Arial" w:eastAsia="Arial" w:hAnsi="Arial"/>
          <w:sz w:val="17"/>
          <w:szCs w:val="17"/>
          <w:b w:val="1"/>
          <w:bCs w:val="1"/>
          <w:i w:val="1"/>
          <w:iCs w:val="1"/>
          <w:color w:val="auto"/>
        </w:rPr>
        <w:t>Eligible Employee</w:t>
      </w:r>
      <w:r>
        <w:rPr>
          <w:rFonts w:ascii="Arial" w:cs="Arial" w:eastAsia="Arial" w:hAnsi="Arial"/>
          <w:sz w:val="17"/>
          <w:szCs w:val="17"/>
          <w:color w:val="auto"/>
        </w:rPr>
        <w:t>” means an Employee who meets the requirements set forth in the document(s) governing the Offering for eligibility</w:t>
      </w:r>
      <w:r>
        <w:rPr>
          <w:rFonts w:ascii="Arial" w:cs="Arial" w:eastAsia="Arial" w:hAnsi="Arial"/>
          <w:sz w:val="17"/>
          <w:szCs w:val="17"/>
          <w:b w:val="1"/>
          <w:bCs w:val="1"/>
          <w:color w:val="auto"/>
        </w:rPr>
        <w:t xml:space="preserve"> </w:t>
      </w:r>
      <w:r>
        <w:rPr>
          <w:rFonts w:ascii="Arial" w:cs="Arial" w:eastAsia="Arial" w:hAnsi="Arial"/>
          <w:sz w:val="17"/>
          <w:szCs w:val="17"/>
          <w:color w:val="auto"/>
        </w:rPr>
        <w:t>to participate in the Offering, provided that such Employee also meets the requirements for eligibility to participate set forth in the Plan.</w:t>
      </w:r>
    </w:p>
    <w:p>
      <w:pPr>
        <w:spacing w:after="0" w:line="14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            </w:t>
      </w: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“employed” for purposes of Section 423(b)(4) of the Code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 Related Corporation or solely with respect to the Non-423 Component, an Affiliate. However, service solely as a Director, or payment of a fee for such services, will not cause a Director to be considered an “Employee” for purposes of the Plan.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             </w:t>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            </w:t>
      </w: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b w:val="1"/>
          <w:bCs w:val="1"/>
          <w:color w:val="auto"/>
        </w:rPr>
        <w:t>(i)              </w:t>
      </w:r>
      <w:r>
        <w:rPr>
          <w:rFonts w:ascii="Arial" w:cs="Arial" w:eastAsia="Arial" w:hAnsi="Arial"/>
          <w:sz w:val="17"/>
          <w:szCs w:val="17"/>
          <w:color w:val="auto"/>
        </w:rPr>
        <w:t>If the Common Stock is listed on any established stock exchange or traded on any established market, the Fair Market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a share of Common Stock will be, unless otherwise determined by the Board,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68"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(ii)             </w:t>
      </w:r>
      <w:r>
        <w:rPr>
          <w:rFonts w:ascii="Arial" w:cs="Arial" w:eastAsia="Arial" w:hAnsi="Arial"/>
          <w:sz w:val="18"/>
          <w:szCs w:val="18"/>
          <w:color w:val="auto"/>
        </w:rPr>
        <w:t>In the absence of such markets for the Common Stock, the Fair Market Value will be determined by the Board in good faith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Applicable Laws and regulations and, to the extent applicable as determined in the sole discretion of the Board, in a manner that complies with Sections 409A of the Code.</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(v)            </w:t>
      </w:r>
      <w:r>
        <w:rPr>
          <w:rFonts w:ascii="Arial" w:cs="Arial" w:eastAsia="Arial" w:hAnsi="Arial"/>
          <w:sz w:val="18"/>
          <w:szCs w:val="18"/>
          <w:color w:val="auto"/>
        </w:rPr>
        <w:t>“</w:t>
      </w:r>
      <w:r>
        <w:rPr>
          <w:rFonts w:ascii="Arial" w:cs="Arial" w:eastAsia="Arial" w:hAnsi="Arial"/>
          <w:sz w:val="18"/>
          <w:szCs w:val="18"/>
          <w:b w:val="1"/>
          <w:bCs w:val="1"/>
          <w:i w:val="1"/>
          <w:iCs w:val="1"/>
          <w:color w:val="auto"/>
        </w:rPr>
        <w:t>Fully Diluted Common Stock</w:t>
      </w:r>
      <w:r>
        <w:rPr>
          <w:rFonts w:ascii="Arial" w:cs="Arial" w:eastAsia="Arial" w:hAnsi="Arial"/>
          <w:sz w:val="18"/>
          <w:szCs w:val="18"/>
          <w:color w:val="auto"/>
        </w:rPr>
        <w:t>” means the number of shares of Common Stock, determined as of the applicable time of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the sum of (i) the total number of shares of Common Stock issued and outstanding and (ii) the total number of shares of Common Stock subject to securities that are convertible into or exercisable for shares of Common Stock (whether vested or unvested).</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(w)            </w:t>
      </w: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(a) nation, state, commonwealth, province, territory, county, municipality, district or other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New York Stock Exchange, the NASDAQ Stock Market and the Financial Industry Regulatory Authority).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0" w:name="page291"/>
    <w:bookmarkEnd w:id="290"/>
    <w:p>
      <w:pPr>
        <w:jc w:val="both"/>
        <w:ind w:firstLine="648"/>
        <w:spacing w:after="0" w:line="266" w:lineRule="auto"/>
        <w:rPr>
          <w:sz w:val="20"/>
          <w:szCs w:val="20"/>
          <w:color w:val="auto"/>
        </w:rPr>
      </w:pPr>
      <w:r>
        <w:rPr>
          <w:rFonts w:ascii="Arial" w:cs="Arial" w:eastAsia="Arial" w:hAnsi="Arial"/>
          <w:sz w:val="18"/>
          <w:szCs w:val="18"/>
          <w:b w:val="1"/>
          <w:bCs w:val="1"/>
          <w:color w:val="auto"/>
        </w:rPr>
        <w:t>(x)            </w:t>
      </w: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means that certain Agreement and Plan of Merger, dated as of November 11, 2022, as amended April 4, 2023,</w:t>
      </w:r>
      <w:r>
        <w:rPr>
          <w:rFonts w:ascii="Arial" w:cs="Arial" w:eastAsia="Arial" w:hAnsi="Arial"/>
          <w:sz w:val="18"/>
          <w:szCs w:val="18"/>
          <w:b w:val="1"/>
          <w:bCs w:val="1"/>
          <w:color w:val="auto"/>
        </w:rPr>
        <w:t xml:space="preserve"> </w:t>
      </w:r>
      <w:r>
        <w:rPr>
          <w:rFonts w:ascii="Arial" w:cs="Arial" w:eastAsia="Arial" w:hAnsi="Arial"/>
          <w:sz w:val="18"/>
          <w:szCs w:val="18"/>
          <w:color w:val="auto"/>
        </w:rPr>
        <w:t>May 13, 2023, and July 5, 2023, by and among MedTech Acquisition Corporation, a Delaware corporation (“</w:t>
      </w:r>
      <w:r>
        <w:rPr>
          <w:rFonts w:ascii="Arial" w:cs="Arial" w:eastAsia="Arial" w:hAnsi="Arial"/>
          <w:sz w:val="18"/>
          <w:szCs w:val="18"/>
          <w:b w:val="1"/>
          <w:bCs w:val="1"/>
          <w:i w:val="1"/>
          <w:iCs w:val="1"/>
          <w:color w:val="auto"/>
        </w:rPr>
        <w:t>MTAC</w:t>
      </w:r>
      <w:r>
        <w:rPr>
          <w:rFonts w:ascii="Arial" w:cs="Arial" w:eastAsia="Arial" w:hAnsi="Arial"/>
          <w:sz w:val="18"/>
          <w:szCs w:val="18"/>
          <w:color w:val="auto"/>
        </w:rPr>
        <w:t>”), MTAC Merger Sub, Inc., a Delaware corporation and direct, wholly owned subsidiary of MTAC, and TriSalus Life Sciences, Inc., a Delaware corporation.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(y)            </w:t>
      </w:r>
      <w:r>
        <w:rPr>
          <w:rFonts w:ascii="Arial" w:cs="Arial" w:eastAsia="Arial" w:hAnsi="Arial"/>
          <w:sz w:val="18"/>
          <w:szCs w:val="18"/>
          <w:color w:val="auto"/>
        </w:rPr>
        <w:t>“</w:t>
      </w:r>
      <w:r>
        <w:rPr>
          <w:rFonts w:ascii="Arial" w:cs="Arial" w:eastAsia="Arial" w:hAnsi="Arial"/>
          <w:sz w:val="18"/>
          <w:szCs w:val="18"/>
          <w:b w:val="1"/>
          <w:bCs w:val="1"/>
          <w:i w:val="1"/>
          <w:iCs w:val="1"/>
          <w:color w:val="auto"/>
        </w:rPr>
        <w:t>Non-423 Component</w:t>
      </w:r>
      <w:r>
        <w:rPr>
          <w:rFonts w:ascii="Arial" w:cs="Arial" w:eastAsia="Arial" w:hAnsi="Arial"/>
          <w:sz w:val="18"/>
          <w:szCs w:val="18"/>
          <w:color w:val="auto"/>
        </w:rPr>
        <w:t>” means the part of the Plan, which excludes the 423 Component, pursuant to which Purchase Rights that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satisfy the requirements for a Qualified Employee Stock Purchase Plan may be granted to Eligible Employees.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(z)            </w:t>
      </w:r>
      <w:r>
        <w:rPr>
          <w:rFonts w:ascii="Arial" w:cs="Arial" w:eastAsia="Arial" w:hAnsi="Arial"/>
          <w:sz w:val="18"/>
          <w:szCs w:val="18"/>
          <w:color w:val="auto"/>
        </w:rPr>
        <w:t>“</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the grant to Eligible Employees of Purchase Rights, with the exercise of those Purchase Rights automatically occurring</w:t>
      </w:r>
      <w:r>
        <w:rPr>
          <w:rFonts w:ascii="Arial" w:cs="Arial" w:eastAsia="Arial" w:hAnsi="Arial"/>
          <w:sz w:val="18"/>
          <w:szCs w:val="18"/>
          <w:b w:val="1"/>
          <w:bCs w:val="1"/>
          <w:color w:val="auto"/>
        </w:rPr>
        <w:t xml:space="preserve"> </w:t>
      </w:r>
      <w:r>
        <w:rPr>
          <w:rFonts w:ascii="Arial" w:cs="Arial" w:eastAsia="Arial" w:hAnsi="Arial"/>
          <w:sz w:val="18"/>
          <w:szCs w:val="18"/>
          <w:color w:val="auto"/>
        </w:rPr>
        <w:t>at the end of one or more Purchase Periods. The terms and conditions of an Offering will generally be set forth in the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approved by the Board for that Offering.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(aa)          </w:t>
      </w: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means a date selected by the Board for an Offering to commence.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(bb)          </w:t>
      </w: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a person who is an officer of the Company or a Related Corporation within the meaning of Section 16 of the Exchange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(cc)          </w:t>
      </w: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holds an outstanding Purchase Right.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(dd)         </w:t>
      </w:r>
      <w:r>
        <w:rPr>
          <w:rFonts w:ascii="Arial" w:cs="Arial" w:eastAsia="Arial" w:hAnsi="Arial"/>
          <w:sz w:val="18"/>
          <w:szCs w:val="18"/>
          <w:color w:val="auto"/>
        </w:rPr>
        <w:t>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TriSalus Life Sciences, Inc. 2023 Employee Stock Purchase Plan, as amended from time to time, including both the</w:t>
      </w:r>
      <w:r>
        <w:rPr>
          <w:rFonts w:ascii="Arial" w:cs="Arial" w:eastAsia="Arial" w:hAnsi="Arial"/>
          <w:sz w:val="18"/>
          <w:szCs w:val="18"/>
          <w:b w:val="1"/>
          <w:bCs w:val="1"/>
          <w:color w:val="auto"/>
        </w:rPr>
        <w:t xml:space="preserve"> </w:t>
      </w:r>
      <w:r>
        <w:rPr>
          <w:rFonts w:ascii="Arial" w:cs="Arial" w:eastAsia="Arial" w:hAnsi="Arial"/>
          <w:sz w:val="18"/>
          <w:szCs w:val="18"/>
          <w:color w:val="auto"/>
        </w:rPr>
        <w:t>423 Component and the Non-423 Component.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(ee)          </w:t>
      </w: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one or more dates during an Offering selected by the Board on which Purchase Rights will be exercised and 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purchases of shares of Common Stock will be carried out in accordance with such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(ff)           </w:t>
      </w: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means a period of time specified within an Offering, generally beginning on the Offering Date or on the first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Day following a Purchase Date, and ending on a Purchase Date. An Offering may consist of one or more Purchase Periods.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(gg)         </w:t>
      </w:r>
      <w:r>
        <w:rPr>
          <w:rFonts w:ascii="Arial" w:cs="Arial" w:eastAsia="Arial" w:hAnsi="Arial"/>
          <w:sz w:val="18"/>
          <w:szCs w:val="18"/>
          <w:color w:val="auto"/>
        </w:rPr>
        <w:t>“</w:t>
      </w:r>
      <w:r>
        <w:rPr>
          <w:rFonts w:ascii="Arial" w:cs="Arial" w:eastAsia="Arial" w:hAnsi="Arial"/>
          <w:sz w:val="18"/>
          <w:szCs w:val="18"/>
          <w:b w:val="1"/>
          <w:bCs w:val="1"/>
          <w:i w:val="1"/>
          <w:iCs w:val="1"/>
          <w:color w:val="auto"/>
        </w:rPr>
        <w:t>Purchase Right</w:t>
      </w:r>
      <w:r>
        <w:rPr>
          <w:rFonts w:ascii="Arial" w:cs="Arial" w:eastAsia="Arial" w:hAnsi="Arial"/>
          <w:sz w:val="18"/>
          <w:szCs w:val="18"/>
          <w:color w:val="auto"/>
        </w:rPr>
        <w:t>” means an option to purchase shares of Common Stock granted pursuant to the Plan.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(hh)         </w:t>
      </w: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Employee Stock Purchase Plan</w:t>
      </w:r>
      <w:r>
        <w:rPr>
          <w:rFonts w:ascii="Arial" w:cs="Arial" w:eastAsia="Arial" w:hAnsi="Arial"/>
          <w:sz w:val="18"/>
          <w:szCs w:val="18"/>
          <w:color w:val="auto"/>
        </w:rPr>
        <w:t>” means a plan that grants Purchase Rights intended to be options issued under an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stock purchase plan,” as that term is defined in Section 423(b) of the Code.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(ii)           </w:t>
      </w:r>
      <w:r>
        <w:rPr>
          <w:rFonts w:ascii="Arial" w:cs="Arial" w:eastAsia="Arial" w:hAnsi="Arial"/>
          <w:sz w:val="18"/>
          <w:szCs w:val="18"/>
          <w:color w:val="auto"/>
        </w:rPr>
        <w:t>“</w:t>
      </w:r>
      <w:r>
        <w:rPr>
          <w:rFonts w:ascii="Arial" w:cs="Arial" w:eastAsia="Arial" w:hAnsi="Arial"/>
          <w:sz w:val="18"/>
          <w:szCs w:val="18"/>
          <w:b w:val="1"/>
          <w:bCs w:val="1"/>
          <w:i w:val="1"/>
          <w:iCs w:val="1"/>
          <w:color w:val="auto"/>
        </w:rPr>
        <w:t>Related Corporation</w:t>
      </w:r>
      <w:r>
        <w:rPr>
          <w:rFonts w:ascii="Arial" w:cs="Arial" w:eastAsia="Arial" w:hAnsi="Arial"/>
          <w:sz w:val="18"/>
          <w:szCs w:val="18"/>
          <w:color w:val="auto"/>
        </w:rPr>
        <w:t>” means any “parent corporation” or “subsidiary corporation” of the Company whether now or subsequently</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as those terms are defined in Sections 424(e) and (f), respectively, of the Code.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(jj)           </w:t>
      </w: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(kk)        </w:t>
      </w:r>
      <w:r>
        <w:rPr>
          <w:rFonts w:ascii="Arial" w:cs="Arial" w:eastAsia="Arial" w:hAnsi="Arial"/>
          <w:sz w:val="18"/>
          <w:szCs w:val="18"/>
          <w:color w:val="auto"/>
        </w:rPr>
        <w:t>“</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means any income tax, social insurance, payroll tax, fringe benefit tax, payment on account or other tax-related</w:t>
      </w:r>
      <w:r>
        <w:rPr>
          <w:rFonts w:ascii="Arial" w:cs="Arial" w:eastAsia="Arial" w:hAnsi="Arial"/>
          <w:sz w:val="18"/>
          <w:szCs w:val="18"/>
          <w:b w:val="1"/>
          <w:bCs w:val="1"/>
          <w:color w:val="auto"/>
        </w:rPr>
        <w:t xml:space="preserve"> </w:t>
      </w:r>
      <w:r>
        <w:rPr>
          <w:rFonts w:ascii="Arial" w:cs="Arial" w:eastAsia="Arial" w:hAnsi="Arial"/>
          <w:sz w:val="18"/>
          <w:szCs w:val="18"/>
          <w:color w:val="auto"/>
        </w:rPr>
        <w:t>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1" w:name="page292"/>
    <w:bookmarkEnd w:id="291"/>
    <w:p>
      <w:pPr>
        <w:jc w:val="both"/>
        <w:ind w:left="-20" w:firstLine="656"/>
        <w:spacing w:after="0" w:line="263" w:lineRule="auto"/>
        <w:tabs>
          <w:tab w:leader="none" w:pos="1212"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any day on which the exchange(s) or market(s) on which shares of Common Stock are listed, including but not limited to the New York Stock Exchange, Nasdaq Global Select Market, the Nasdaq Global Market, the Nasdaq Capital Market or any successors thereto, is open for trading.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292" w:name="page293"/>
    <w:bookmarkEnd w:id="292"/>
    <w:p>
      <w:pPr>
        <w:jc w:val="right"/>
        <w:spacing w:after="0"/>
        <w:rPr>
          <w:sz w:val="20"/>
          <w:szCs w:val="20"/>
          <w:color w:val="auto"/>
        </w:rPr>
      </w:pPr>
      <w:r>
        <w:rPr>
          <w:rFonts w:ascii="Arial" w:cs="Arial" w:eastAsia="Arial" w:hAnsi="Arial"/>
          <w:sz w:val="22"/>
          <w:szCs w:val="22"/>
          <w:b w:val="1"/>
          <w:bCs w:val="1"/>
          <w:color w:val="auto"/>
        </w:rPr>
        <w:t>Exhibit 10.25</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TRISALUS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07"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INDEMNIFICATION AGREEMENT</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dated as of       , 20 and is between TriSalus Life Sciences,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-185420</wp:posOffset>
            </wp:positionV>
            <wp:extent cx="9194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5">
                      <a:extLst>
                        <a:ext uri="{28A0092B-C50C-407E-A947-70E740481C1C}"/>
                      </a:extLst>
                    </a:blip>
                    <a:srcRect/>
                    <a:stretch>
                      <a:fillRect/>
                    </a:stretch>
                  </pic:blipFill>
                  <pic:spPr bwMode="auto">
                    <a:xfrm>
                      <a:off x="0" y="0"/>
                      <a:ext cx="919480" cy="8255"/>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-48260</wp:posOffset>
            </wp:positionV>
            <wp:extent cx="6858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42"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 Indemnitee’s service to the Company substantially benefits the Company.</w:t>
      </w:r>
    </w:p>
    <w:p>
      <w:pPr>
        <w:spacing w:after="0" w:line="225" w:lineRule="exact"/>
        <w:rPr>
          <w:sz w:val="20"/>
          <w:szCs w:val="20"/>
          <w:color w:val="auto"/>
        </w:rPr>
      </w:pPr>
    </w:p>
    <w:p>
      <w:pPr>
        <w:jc w:val="both"/>
        <w:ind w:right="20" w:firstLine="360"/>
        <w:spacing w:after="0" w:line="282"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 Individuals are reluctant to serve as directors or officers of corporations or in certain other capacities unless they are provided with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protection through insurance or indemnification against the risks of claims and actions against them arising out of such service.</w:t>
      </w:r>
    </w:p>
    <w:p>
      <w:pPr>
        <w:spacing w:after="0" w:line="162"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7"/>
          <w:szCs w:val="17"/>
          <w:b w:val="1"/>
          <w:bCs w:val="1"/>
          <w:color w:val="auto"/>
        </w:rPr>
        <w:t>C.</w:t>
      </w:r>
      <w:r>
        <w:rPr>
          <w:rFonts w:ascii="Arial" w:cs="Arial" w:eastAsia="Arial" w:hAnsi="Arial"/>
          <w:sz w:val="17"/>
          <w:szCs w:val="17"/>
          <w:color w:val="auto"/>
        </w:rPr>
        <w:t> Indemnitee does not regard the protection currently provided by applicable law, the Company’s governing documents and any insurance as</w:t>
      </w:r>
      <w:r>
        <w:rPr>
          <w:rFonts w:ascii="Arial" w:cs="Arial" w:eastAsia="Arial" w:hAnsi="Arial"/>
          <w:sz w:val="17"/>
          <w:szCs w:val="17"/>
          <w:b w:val="1"/>
          <w:bCs w:val="1"/>
          <w:color w:val="auto"/>
        </w:rPr>
        <w:t xml:space="preserve"> </w:t>
      </w:r>
      <w:r>
        <w:rPr>
          <w:rFonts w:ascii="Arial" w:cs="Arial" w:eastAsia="Arial" w:hAnsi="Arial"/>
          <w:sz w:val="17"/>
          <w:szCs w:val="17"/>
          <w:color w:val="auto"/>
        </w:rPr>
        <w:t>adequate under the present circumstances, and Indemnitee may not be willing to serve as a director or officer without additional protection.</w:t>
      </w:r>
    </w:p>
    <w:p>
      <w:pPr>
        <w:spacing w:after="0" w:line="140"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 In order to induce Indemnitee to continue to provide services to the Company, it is reasonable, prudent and necessary for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contractually obligate itself to indemnify, and to advance expenses on behalf of, Indemnitee as permitted by applicable law.</w:t>
      </w:r>
    </w:p>
    <w:p>
      <w:pPr>
        <w:spacing w:after="0" w:line="162"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8"/>
          <w:szCs w:val="18"/>
          <w:b w:val="1"/>
          <w:bCs w:val="1"/>
          <w:color w:val="auto"/>
        </w:rPr>
        <w:t>E.</w:t>
      </w:r>
      <w:r>
        <w:rPr>
          <w:rFonts w:ascii="Arial" w:cs="Arial" w:eastAsia="Arial" w:hAnsi="Arial"/>
          <w:sz w:val="18"/>
          <w:szCs w:val="18"/>
          <w:color w:val="auto"/>
        </w:rPr>
        <w:t> This Agreement is a supplement to and in furtherance of the indemnification provided in the Company’s certificate of incorporation and bylaws,</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resolutions adopted pursuant thereto, and this Agreement shall not be deemed a substitute therefor, nor shall this Agreement be deemed to limit, diminish or abrogate any rights of Indemnitee thereunder.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parties agree as follows:</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1. Definitions</w:t>
      </w:r>
      <w:r>
        <w:rPr>
          <w:rFonts w:ascii="Arial" w:cs="Arial" w:eastAsia="Arial" w:hAnsi="Arial"/>
          <w:sz w:val="18"/>
          <w:szCs w:val="18"/>
          <w:color w:val="auto"/>
        </w:rPr>
        <w:t>.</w:t>
      </w:r>
    </w:p>
    <w:p>
      <w:pPr>
        <w:spacing w:after="0" w:line="225" w:lineRule="exact"/>
        <w:rPr>
          <w:sz w:val="20"/>
          <w:szCs w:val="20"/>
          <w:color w:val="auto"/>
        </w:rPr>
      </w:pPr>
    </w:p>
    <w:p>
      <w:pPr>
        <w:ind w:left="360" w:firstLine="360"/>
        <w:spacing w:after="0" w:line="282"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w:t>
      </w:r>
      <w:r>
        <w:rPr>
          <w:rFonts w:ascii="Arial" w:cs="Arial" w:eastAsia="Arial" w:hAnsi="Arial"/>
          <w:sz w:val="18"/>
          <w:szCs w:val="18"/>
          <w:b w:val="1"/>
          <w:bCs w:val="1"/>
          <w:i w:val="1"/>
          <w:iCs w:val="1"/>
          <w:color w:val="auto"/>
        </w:rPr>
        <w:t>Affiliat</w:t>
      </w:r>
      <w:r>
        <w:rPr>
          <w:rFonts w:ascii="Arial" w:cs="Arial" w:eastAsia="Arial" w:hAnsi="Arial"/>
          <w:sz w:val="18"/>
          <w:szCs w:val="18"/>
          <w:color w:val="auto"/>
        </w:rPr>
        <w:t>e” shall mean, with respect to any Person, any other Person that directly or indirectly controls, is controlled by, or is under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with, such Person.</w:t>
      </w:r>
    </w:p>
    <w:p>
      <w:pPr>
        <w:spacing w:after="0" w:line="162" w:lineRule="exact"/>
        <w:rPr>
          <w:sz w:val="20"/>
          <w:szCs w:val="20"/>
          <w:color w:val="auto"/>
        </w:rPr>
      </w:pPr>
    </w:p>
    <w:p>
      <w:pPr>
        <w:ind w:left="360" w:firstLine="360"/>
        <w:spacing w:after="0" w:line="293" w:lineRule="auto"/>
        <w:rPr>
          <w:sz w:val="20"/>
          <w:szCs w:val="20"/>
          <w:color w:val="auto"/>
        </w:rPr>
      </w:pPr>
      <w:r>
        <w:rPr>
          <w:rFonts w:ascii="Arial" w:cs="Arial" w:eastAsia="Arial" w:hAnsi="Arial"/>
          <w:sz w:val="16"/>
          <w:szCs w:val="16"/>
          <w:b w:val="1"/>
          <w:bCs w:val="1"/>
          <w:color w:val="auto"/>
        </w:rPr>
        <w:t>(b)</w:t>
      </w:r>
      <w:r>
        <w:rPr>
          <w:rFonts w:ascii="Arial" w:cs="Arial" w:eastAsia="Arial" w:hAnsi="Arial"/>
          <w:sz w:val="16"/>
          <w:szCs w:val="16"/>
          <w:color w:val="auto"/>
        </w:rPr>
        <w:t> “</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shall have the meaning given to such term in Rule 13d-3 under the Securities Exchange Act of 1934, as amended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provided, however, that “Beneficial Owner” shall exclude any Person otherwise becoming a Beneficial Owner solely by reason of</w:t>
      </w:r>
    </w:p>
    <w:p>
      <w:pPr>
        <w:spacing w:after="0" w:line="1" w:lineRule="exact"/>
        <w:rPr>
          <w:sz w:val="20"/>
          <w:szCs w:val="20"/>
          <w:color w:val="auto"/>
        </w:rPr>
      </w:pPr>
    </w:p>
    <w:p>
      <w:pPr>
        <w:jc w:val="both"/>
        <w:ind w:left="360" w:firstLine="8"/>
        <w:spacing w:after="0" w:line="255" w:lineRule="auto"/>
        <w:tabs>
          <w:tab w:leader="none" w:pos="58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stockholders of the Company approving a merger of the Company with another Person, or entering into tender or support agreements relating thereto, provided such merger was approved by the Company’s board of directors, or (ii) the Company’s board of directors approving a sale of securities by the Company to such Person.</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(c)</w:t>
      </w:r>
      <w:r>
        <w:rPr>
          <w:rFonts w:ascii="Arial" w:cs="Arial" w:eastAsia="Arial" w:hAnsi="Arial"/>
          <w:sz w:val="16"/>
          <w:szCs w:val="16"/>
          <w:color w:val="auto"/>
        </w:rPr>
        <w:t> A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shall be deemed to occur upon the earliest to occur after the date of this Agreement of any of the following events:</w:t>
      </w:r>
    </w:p>
    <w:p>
      <w:pPr>
        <w:spacing w:after="0" w:line="248" w:lineRule="exact"/>
        <w:rPr>
          <w:sz w:val="20"/>
          <w:szCs w:val="20"/>
          <w:color w:val="auto"/>
        </w:rPr>
      </w:pPr>
    </w:p>
    <w:p>
      <w:pPr>
        <w:jc w:val="both"/>
        <w:ind w:left="720" w:firstLine="360"/>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 of Stock by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(as defined below) becomes the Beneficial Owner, directly or indirectly, of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representing 50% or more of the combined voting power of the Company’s then outstanding securities;</w:t>
      </w:r>
    </w:p>
    <w:p>
      <w:pPr>
        <w:spacing w:after="0" w:line="162" w:lineRule="exact"/>
        <w:rPr>
          <w:sz w:val="20"/>
          <w:szCs w:val="20"/>
          <w:color w:val="auto"/>
        </w:rPr>
      </w:pPr>
    </w:p>
    <w:p>
      <w:pPr>
        <w:jc w:val="both"/>
        <w:ind w:left="720" w:firstLine="360"/>
        <w:spacing w:after="0" w:line="273" w:lineRule="auto"/>
        <w:rPr>
          <w:sz w:val="20"/>
          <w:szCs w:val="20"/>
          <w:color w:val="auto"/>
        </w:rPr>
      </w:pPr>
      <w:r>
        <w:rPr>
          <w:rFonts w:ascii="Arial" w:cs="Arial" w:eastAsia="Arial" w:hAnsi="Arial"/>
          <w:sz w:val="17"/>
          <w:szCs w:val="17"/>
          <w:b w:val="1"/>
          <w:bCs w:val="1"/>
          <w:color w:val="auto"/>
        </w:rPr>
        <w:t>(ii)</w:t>
      </w:r>
      <w:r>
        <w:rPr>
          <w:rFonts w:ascii="Arial" w:cs="Arial" w:eastAsia="Arial" w:hAnsi="Arial"/>
          <w:sz w:val="17"/>
          <w:szCs w:val="17"/>
          <w:color w:val="auto"/>
        </w:rPr>
        <w:t xml:space="preserve"> </w:t>
      </w:r>
      <w:r>
        <w:rPr>
          <w:rFonts w:ascii="Arial" w:cs="Arial" w:eastAsia="Arial" w:hAnsi="Arial"/>
          <w:sz w:val="17"/>
          <w:szCs w:val="17"/>
          <w:i w:val="1"/>
          <w:iCs w:val="1"/>
          <w:color w:val="auto"/>
        </w:rPr>
        <w:t>Change in Board Composition.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any period of two consecutive years (not including any period prior to the execution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individuals who at the beginning of such period constituted the Company’s board of directors and any Approved Directors cease for any reason to constitute at least a majority of the members of the Company’s board of directors. </w:t>
      </w:r>
      <w:r>
        <w:rPr>
          <w:rFonts w:ascii="Arial" w:cs="Arial" w:eastAsia="Arial" w:hAnsi="Arial"/>
          <w:sz w:val="17"/>
          <w:szCs w:val="17"/>
          <w:b w:val="1"/>
          <w:bCs w:val="1"/>
          <w:i w:val="1"/>
          <w:iCs w:val="1"/>
          <w:color w:val="auto"/>
        </w:rPr>
        <w:t>“Approved Directors”</w:t>
      </w:r>
      <w:r>
        <w:rPr>
          <w:rFonts w:ascii="Arial" w:cs="Arial" w:eastAsia="Arial" w:hAnsi="Arial"/>
          <w:sz w:val="17"/>
          <w:szCs w:val="17"/>
          <w:color w:val="auto"/>
        </w:rPr>
        <w:t xml:space="preserve"> means new directors (other than a director designated by a person who has entered into an agreement with the Company to effect a transaction described in Sections 1(c)(i), 1(c)(iii) or 1(c)(iv)) whose election or nomination by the Company’s board of directors (or, if applicable, by the Company’s stockholders) was approved by a vote of at least two thirds of the directors then still in office who either were directors at the beginning of such two-year period or whose election or nomination for election was previously so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3" w:name="page294"/>
    <w:bookmarkEnd w:id="293"/>
    <w:p>
      <w:pPr>
        <w:jc w:val="both"/>
        <w:ind w:left="360" w:firstLine="360"/>
        <w:spacing w:after="0" w:line="277" w:lineRule="auto"/>
        <w:rPr>
          <w:sz w:val="20"/>
          <w:szCs w:val="20"/>
          <w:color w:val="auto"/>
        </w:rPr>
      </w:pPr>
      <w:r>
        <w:rPr>
          <w:rFonts w:ascii="Arial" w:cs="Arial" w:eastAsia="Arial" w:hAnsi="Arial"/>
          <w:sz w:val="17"/>
          <w:szCs w:val="17"/>
          <w:b w:val="1"/>
          <w:bCs w:val="1"/>
          <w:color w:val="auto"/>
        </w:rPr>
        <w:t>(iii)</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Corporate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effective date of a merger or consolidation of the Company with any other entity, other than a merger or</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consolidation that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 majority of the board of directors or other governing body of such surviving entity; or</w:t>
      </w:r>
    </w:p>
    <w:p>
      <w:pPr>
        <w:spacing w:after="0" w:line="168" w:lineRule="exact"/>
        <w:rPr>
          <w:sz w:val="20"/>
          <w:szCs w:val="20"/>
          <w:color w:val="auto"/>
        </w:rPr>
      </w:pPr>
    </w:p>
    <w:p>
      <w:pPr>
        <w:jc w:val="both"/>
        <w:ind w:left="360" w:firstLine="360"/>
        <w:spacing w:after="0" w:line="282" w:lineRule="auto"/>
        <w:rPr>
          <w:sz w:val="20"/>
          <w:szCs w:val="20"/>
          <w:color w:val="auto"/>
        </w:rPr>
      </w:pPr>
      <w:r>
        <w:rPr>
          <w:rFonts w:ascii="Arial" w:cs="Arial" w:eastAsia="Arial" w:hAnsi="Arial"/>
          <w:sz w:val="18"/>
          <w:szCs w:val="18"/>
          <w:b w:val="1"/>
          <w:bCs w:val="1"/>
          <w:color w:val="auto"/>
        </w:rPr>
        <w:t>(iv)</w:t>
      </w:r>
      <w:r>
        <w:rPr>
          <w:rFonts w:ascii="Arial" w:cs="Arial" w:eastAsia="Arial" w:hAnsi="Arial"/>
          <w:sz w:val="18"/>
          <w:szCs w:val="18"/>
          <w:color w:val="auto"/>
        </w:rPr>
        <w:t xml:space="preserve"> </w:t>
      </w:r>
      <w:r>
        <w:rPr>
          <w:rFonts w:ascii="Arial" w:cs="Arial" w:eastAsia="Arial" w:hAnsi="Arial"/>
          <w:sz w:val="18"/>
          <w:szCs w:val="18"/>
          <w:i w:val="1"/>
          <w:iCs w:val="1"/>
          <w:color w:val="auto"/>
        </w:rPr>
        <w:t>Liquidation.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approval by the Company’s board of directors of a complete liquidation or the dissolution of the Company or 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the sale, lease or disposition by the Company of all or substantially all of the Company’s assets; or</w:t>
      </w:r>
    </w:p>
    <w:p>
      <w:pPr>
        <w:spacing w:after="0" w:line="162" w:lineRule="exact"/>
        <w:rPr>
          <w:sz w:val="20"/>
          <w:szCs w:val="20"/>
          <w:color w:val="auto"/>
        </w:rPr>
      </w:pPr>
    </w:p>
    <w:p>
      <w:pPr>
        <w:jc w:val="both"/>
        <w:ind w:left="360" w:firstLine="360"/>
        <w:spacing w:after="0" w:line="298" w:lineRule="auto"/>
        <w:rPr>
          <w:sz w:val="20"/>
          <w:szCs w:val="20"/>
          <w:color w:val="auto"/>
        </w:rPr>
      </w:pPr>
      <w:r>
        <w:rPr>
          <w:rFonts w:ascii="Arial" w:cs="Arial" w:eastAsia="Arial" w:hAnsi="Arial"/>
          <w:sz w:val="16"/>
          <w:szCs w:val="16"/>
          <w:b w:val="1"/>
          <w:bCs w:val="1"/>
          <w:color w:val="auto"/>
        </w:rPr>
        <w:t>(v)</w:t>
      </w:r>
      <w:r>
        <w:rPr>
          <w:rFonts w:ascii="Arial" w:cs="Arial" w:eastAsia="Arial" w:hAnsi="Arial"/>
          <w:sz w:val="16"/>
          <w:szCs w:val="16"/>
          <w:color w:val="auto"/>
        </w:rPr>
        <w:t xml:space="preserve"> </w:t>
      </w:r>
      <w:r>
        <w:rPr>
          <w:rFonts w:ascii="Arial" w:cs="Arial" w:eastAsia="Arial" w:hAnsi="Arial"/>
          <w:sz w:val="16"/>
          <w:szCs w:val="16"/>
          <w:i w:val="1"/>
          <w:iCs w:val="1"/>
          <w:color w:val="auto"/>
        </w:rPr>
        <w:t>Other Events.</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event of a nature that would be required to be reported in response to Item 6(e) of Schedule 14A of Regulation</w:t>
      </w:r>
      <w:r>
        <w:rPr>
          <w:rFonts w:ascii="Arial" w:cs="Arial" w:eastAsia="Arial" w:hAnsi="Arial"/>
          <w:sz w:val="16"/>
          <w:szCs w:val="16"/>
          <w:b w:val="1"/>
          <w:bCs w:val="1"/>
          <w:color w:val="auto"/>
        </w:rPr>
        <w:t xml:space="preserve"> </w:t>
      </w:r>
      <w:r>
        <w:rPr>
          <w:rFonts w:ascii="Arial" w:cs="Arial" w:eastAsia="Arial" w:hAnsi="Arial"/>
          <w:sz w:val="16"/>
          <w:szCs w:val="16"/>
          <w:color w:val="auto"/>
        </w:rPr>
        <w:t>14A (or in response to any similar item on any similar schedule or form) promulgated under the Exchange Act, whether or not the Company is then subject to such reporting requirement, except the completion of the transactions contemplated by the Agreement and Plan of Merger, dated as of November 11, 2022 and as amended, among the Company (formerly known as MedTech Acquisition Corporation), MTAC Merger Sub, Inc. and TriSalus Operating Life Sciences, Inc. (formerly known as TriSalus Life Sciences, Inc.), shall not be considered a Change in Control.</w:t>
      </w:r>
    </w:p>
    <w:p>
      <w:pPr>
        <w:spacing w:after="0" w:line="154"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 “</w:t>
      </w:r>
      <w:r>
        <w:rPr>
          <w:rFonts w:ascii="Arial" w:cs="Arial" w:eastAsia="Arial" w:hAnsi="Arial"/>
          <w:sz w:val="18"/>
          <w:szCs w:val="18"/>
          <w:b w:val="1"/>
          <w:bCs w:val="1"/>
          <w:i w:val="1"/>
          <w:iCs w:val="1"/>
          <w:color w:val="auto"/>
        </w:rPr>
        <w:t>Corporate Status</w:t>
      </w:r>
      <w:r>
        <w:rPr>
          <w:rFonts w:ascii="Arial" w:cs="Arial" w:eastAsia="Arial" w:hAnsi="Arial"/>
          <w:sz w:val="18"/>
          <w:szCs w:val="18"/>
          <w:color w:val="auto"/>
        </w:rPr>
        <w:t>” describes the status of a person who is or was a director, trustee, general partner, managing member, officer,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agent or fiduciary of the Company or any other Enterprise.</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8"/>
          <w:szCs w:val="18"/>
          <w:color w:val="auto"/>
        </w:rPr>
        <w:t>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means the General Corporation Law of the State of Delaware.</w:t>
      </w:r>
    </w:p>
    <w:p>
      <w:pPr>
        <w:spacing w:after="0" w:line="22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b w:val="1"/>
          <w:bCs w:val="1"/>
          <w:i w:val="1"/>
          <w:iCs w:val="1"/>
          <w:color w:val="auto"/>
        </w:rPr>
        <w:t>“Disinterested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director of the Company who is not and was not a party to the Proceeding in respect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is sought by Indemnitee.</w:t>
      </w:r>
    </w:p>
    <w:p>
      <w:pPr>
        <w:spacing w:after="0" w:line="162"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8"/>
          <w:szCs w:val="18"/>
          <w:b w:val="1"/>
          <w:bCs w:val="1"/>
          <w:color w:val="auto"/>
        </w:rPr>
        <w:t>(g)</w:t>
      </w:r>
      <w:r>
        <w:rPr>
          <w:rFonts w:ascii="Arial" w:cs="Arial" w:eastAsia="Arial" w:hAnsi="Arial"/>
          <w:sz w:val="18"/>
          <w:szCs w:val="18"/>
          <w:color w:val="auto"/>
        </w:rPr>
        <w:t> “</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means the Company and any other corporation, partnership, limited liability company, joint venture, trust, employee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plan or other enterprise of which Indemnitee is or was serving at the request of the Company as a director, trustee, general partner, managing member, officer, employee, agent or fiduciary.</w:t>
      </w:r>
    </w:p>
    <w:p>
      <w:pPr>
        <w:spacing w:after="0" w:line="176"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b w:val="1"/>
          <w:bCs w:val="1"/>
          <w:color w:val="auto"/>
        </w:rPr>
        <w:t>(h)</w:t>
      </w:r>
      <w:r>
        <w:rPr>
          <w:rFonts w:ascii="Arial" w:cs="Arial" w:eastAsia="Arial" w:hAnsi="Arial"/>
          <w:sz w:val="18"/>
          <w:szCs w:val="18"/>
          <w:color w:val="auto"/>
        </w:rPr>
        <w:t> “</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include all reasonable and actually incurred attorneys’ fees, retainers, court costs, transcript costs, fees and costs of experts,</w:t>
      </w:r>
      <w:r>
        <w:rPr>
          <w:rFonts w:ascii="Arial" w:cs="Arial" w:eastAsia="Arial" w:hAnsi="Arial"/>
          <w:sz w:val="18"/>
          <w:szCs w:val="18"/>
          <w:b w:val="1"/>
          <w:bCs w:val="1"/>
          <w:color w:val="auto"/>
        </w:rPr>
        <w:t xml:space="preserve"> </w:t>
      </w:r>
      <w:r>
        <w:rPr>
          <w:rFonts w:ascii="Arial" w:cs="Arial" w:eastAsia="Arial" w:hAnsi="Arial"/>
          <w:sz w:val="18"/>
          <w:szCs w:val="18"/>
          <w:color w:val="auto"/>
        </w:rPr>
        <w:t>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 as bond or other appeal bond or their equivalent, and (ii) for purposes of Section 11(d),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188" w:lineRule="exact"/>
        <w:rPr>
          <w:sz w:val="20"/>
          <w:szCs w:val="20"/>
          <w:color w:val="auto"/>
        </w:rPr>
      </w:pPr>
    </w:p>
    <w:p>
      <w:pPr>
        <w:jc w:val="both"/>
        <w:ind w:firstLine="360"/>
        <w:spacing w:after="0" w:line="294" w:lineRule="auto"/>
        <w:rPr>
          <w:sz w:val="20"/>
          <w:szCs w:val="20"/>
          <w:color w:val="auto"/>
        </w:rPr>
      </w:pPr>
      <w:r>
        <w:rPr>
          <w:rFonts w:ascii="Arial" w:cs="Arial" w:eastAsia="Arial" w:hAnsi="Arial"/>
          <w:sz w:val="16"/>
          <w:szCs w:val="16"/>
          <w:b w:val="1"/>
          <w:bCs w:val="1"/>
          <w:color w:val="auto"/>
        </w:rPr>
        <w:t>(i)</w:t>
      </w:r>
      <w:r>
        <w:rPr>
          <w:rFonts w:ascii="Arial" w:cs="Arial" w:eastAsia="Arial" w:hAnsi="Arial"/>
          <w:sz w:val="16"/>
          <w:szCs w:val="16"/>
          <w:color w:val="auto"/>
        </w:rPr>
        <w:t> “</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means a law firm, or a partner or member of a law firm, that is experienced in matters of corporation law and</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presently is, nor in the past five years has been, retained to represent (i) the Company, any Enterprise or Indemnitee in any matter material to any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(j)</w:t>
      </w:r>
      <w:r>
        <w:rPr>
          <w:rFonts w:ascii="Arial" w:cs="Arial" w:eastAsia="Arial" w:hAnsi="Arial"/>
          <w:sz w:val="16"/>
          <w:szCs w:val="16"/>
          <w:color w:val="auto"/>
        </w:rPr>
        <w:t>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set forth in Sections 13(d) and 14(d) of the Exchange Act;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Person shall exclude</w:t>
      </w:r>
    </w:p>
    <w:p>
      <w:pPr>
        <w:spacing w:after="0" w:line="50" w:lineRule="exact"/>
        <w:rPr>
          <w:sz w:val="20"/>
          <w:szCs w:val="20"/>
          <w:color w:val="auto"/>
        </w:rPr>
      </w:pPr>
    </w:p>
    <w:p>
      <w:pPr>
        <w:ind w:firstLine="8"/>
        <w:spacing w:after="0" w:line="323" w:lineRule="auto"/>
        <w:tabs>
          <w:tab w:leader="none" w:pos="21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388620</wp:posOffset>
            </wp:positionV>
            <wp:extent cx="71323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680" w:top="904" w:right="339" w:bottom="1440" w:gutter="0" w:footer="0" w:header="0"/>
        </w:sectPr>
      </w:pPr>
    </w:p>
    <w:bookmarkStart w:id="294" w:name="page295"/>
    <w:bookmarkEnd w:id="294"/>
    <w:p>
      <w:pPr>
        <w:jc w:val="both"/>
        <w:ind w:left="360" w:firstLine="360"/>
        <w:spacing w:after="0" w:line="271" w:lineRule="auto"/>
        <w:rPr>
          <w:sz w:val="20"/>
          <w:szCs w:val="20"/>
          <w:color w:val="auto"/>
        </w:rPr>
      </w:pPr>
      <w:r>
        <w:rPr>
          <w:rFonts w:ascii="Arial" w:cs="Arial" w:eastAsia="Arial" w:hAnsi="Arial"/>
          <w:sz w:val="17"/>
          <w:szCs w:val="17"/>
          <w:b w:val="1"/>
          <w:bCs w:val="1"/>
          <w:color w:val="auto"/>
        </w:rPr>
        <w:t>(k)</w:t>
      </w:r>
      <w:r>
        <w:rPr>
          <w:rFonts w:ascii="Arial" w:cs="Arial" w:eastAsia="Arial" w:hAnsi="Arial"/>
          <w:sz w:val="17"/>
          <w:szCs w:val="17"/>
          <w:color w:val="auto"/>
        </w:rPr>
        <w:t>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means any threatened, pending or completed action, suit, arbitration, mediation, alternate dispute resolution mechanism,</w:t>
      </w:r>
      <w:r>
        <w:rPr>
          <w:rFonts w:ascii="Arial" w:cs="Arial" w:eastAsia="Arial" w:hAnsi="Arial"/>
          <w:sz w:val="17"/>
          <w:szCs w:val="17"/>
          <w:b w:val="1"/>
          <w:bCs w:val="1"/>
          <w:color w:val="auto"/>
        </w:rPr>
        <w:t xml:space="preserve"> </w:t>
      </w:r>
      <w:r>
        <w:rPr>
          <w:rFonts w:ascii="Arial" w:cs="Arial" w:eastAsia="Arial" w:hAnsi="Arial"/>
          <w:sz w:val="17"/>
          <w:szCs w:val="17"/>
          <w:color w:val="auto"/>
        </w:rPr>
        <w:t>investigation, inquiry, administrative hearing or proceeding, whether brought in the right of the Company or otherwise and whether of a civil, criminal, administrative or investigative nature, whether formal or informal,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they are or were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(l)</w:t>
      </w:r>
      <w:r>
        <w:rPr>
          <w:rFonts w:ascii="Arial" w:cs="Arial" w:eastAsia="Arial" w:hAnsi="Arial"/>
          <w:sz w:val="16"/>
          <w:szCs w:val="16"/>
          <w:color w:val="auto"/>
        </w:rPr>
        <w:t> “</w:t>
      </w:r>
      <w:r>
        <w:rPr>
          <w:rFonts w:ascii="Arial" w:cs="Arial" w:eastAsia="Arial" w:hAnsi="Arial"/>
          <w:sz w:val="16"/>
          <w:szCs w:val="16"/>
          <w:b w:val="1"/>
          <w:bCs w:val="1"/>
          <w:i w:val="1"/>
          <w:iCs w:val="1"/>
          <w:color w:val="auto"/>
        </w:rPr>
        <w:t>to the fullest extent permitted by applicable law</w:t>
      </w:r>
      <w:r>
        <w:rPr>
          <w:rFonts w:ascii="Arial" w:cs="Arial" w:eastAsia="Arial" w:hAnsi="Arial"/>
          <w:sz w:val="16"/>
          <w:szCs w:val="16"/>
          <w:color w:val="auto"/>
        </w:rPr>
        <w:t>” means to the fullest extent permitted by all applicable laws, including without limitation:</w:t>
      </w:r>
    </w:p>
    <w:p>
      <w:pPr>
        <w:spacing w:after="0" w:line="50" w:lineRule="exact"/>
        <w:rPr>
          <w:sz w:val="20"/>
          <w:szCs w:val="20"/>
          <w:color w:val="auto"/>
        </w:rPr>
      </w:pPr>
    </w:p>
    <w:p>
      <w:pPr>
        <w:jc w:val="both"/>
        <w:ind w:left="360" w:firstLine="8"/>
        <w:spacing w:after="0" w:line="255" w:lineRule="auto"/>
        <w:tabs>
          <w:tab w:leader="none" w:pos="58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fullest extent permitted by DGCL as of the date of this Agreement and (ii) the fullest extent authorized or permitted by any amendments to or replacements of the DGCL adopted after the date of this Agreement that increase the extent to which a corporation may indemnify its officers and directors.</w:t>
      </w:r>
    </w:p>
    <w:p>
      <w:pPr>
        <w:spacing w:after="0" w:line="186" w:lineRule="exact"/>
        <w:rPr>
          <w:sz w:val="20"/>
          <w:szCs w:val="20"/>
          <w:color w:val="auto"/>
        </w:rPr>
      </w:pPr>
    </w:p>
    <w:p>
      <w:pPr>
        <w:jc w:val="both"/>
        <w:ind w:left="360" w:firstLine="360"/>
        <w:spacing w:after="0" w:line="274" w:lineRule="auto"/>
        <w:rPr>
          <w:sz w:val="20"/>
          <w:szCs w:val="20"/>
          <w:color w:val="auto"/>
        </w:rPr>
      </w:pPr>
      <w:r>
        <w:rPr>
          <w:rFonts w:ascii="Arial" w:cs="Arial" w:eastAsia="Arial" w:hAnsi="Arial"/>
          <w:sz w:val="17"/>
          <w:szCs w:val="17"/>
          <w:b w:val="1"/>
          <w:bCs w:val="1"/>
          <w:color w:val="auto"/>
        </w:rPr>
        <w:t>(m)</w:t>
      </w:r>
      <w:r>
        <w:rPr>
          <w:rFonts w:ascii="Arial" w:cs="Arial" w:eastAsia="Arial" w:hAnsi="Arial"/>
          <w:sz w:val="17"/>
          <w:szCs w:val="17"/>
          <w:color w:val="auto"/>
        </w:rPr>
        <w:t> In connection with any Proceeding relating to an employee benefit plan: references to</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“fines”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include any excise taxes assessed on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person with respect to any employee benefit plan; references to </w:t>
      </w:r>
      <w:r>
        <w:rPr>
          <w:rFonts w:ascii="Arial" w:cs="Arial" w:eastAsia="Arial" w:hAnsi="Arial"/>
          <w:sz w:val="17"/>
          <w:szCs w:val="17"/>
          <w:b w:val="1"/>
          <w:bCs w:val="1"/>
          <w:i w:val="1"/>
          <w:iCs w:val="1"/>
          <w:color w:val="auto"/>
        </w:rPr>
        <w:t>“serving at the request of the Company”</w:t>
      </w:r>
      <w:r>
        <w:rPr>
          <w:rFonts w:ascii="Arial" w:cs="Arial" w:eastAsia="Arial" w:hAnsi="Arial"/>
          <w:sz w:val="17"/>
          <w:szCs w:val="17"/>
          <w:color w:val="auto"/>
        </w:rPr>
        <w:t xml:space="preserve">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they reasonably believed to be in the best interests of the participants and beneficiaries of an employee benefit plan shall be deemed to have acted in a manner “</w:t>
      </w:r>
      <w:r>
        <w:rPr>
          <w:rFonts w:ascii="Arial" w:cs="Arial" w:eastAsia="Arial" w:hAnsi="Arial"/>
          <w:sz w:val="17"/>
          <w:szCs w:val="17"/>
          <w:b w:val="1"/>
          <w:bCs w:val="1"/>
          <w:i w:val="1"/>
          <w:iCs w:val="1"/>
          <w:color w:val="auto"/>
        </w:rPr>
        <w:t>not opposed to the best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interests of the Company</w:t>
      </w:r>
      <w:r>
        <w:rPr>
          <w:rFonts w:ascii="Arial" w:cs="Arial" w:eastAsia="Arial" w:hAnsi="Arial"/>
          <w:sz w:val="17"/>
          <w:szCs w:val="17"/>
          <w:color w:val="auto"/>
        </w:rPr>
        <w:t>” as referred to in this Agreement.</w:t>
      </w:r>
    </w:p>
    <w:p>
      <w:pPr>
        <w:spacing w:after="0" w:line="173"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b w:val="1"/>
          <w:bCs w:val="1"/>
          <w:color w:val="auto"/>
        </w:rPr>
        <w:t>2. Indemnity in Third-Party Proceedings</w:t>
      </w:r>
      <w:r>
        <w:rPr>
          <w:rFonts w:ascii="Arial" w:cs="Arial" w:eastAsia="Arial" w:hAnsi="Arial"/>
          <w:sz w:val="17"/>
          <w:szCs w:val="17"/>
          <w:color w:val="auto"/>
        </w:rPr>
        <w:t>. The Company shall indemnify Indemnitee in accordance with the provisions of this Section 2 if</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is, or is threatened to be made, a party to or witness or other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their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 The parties hereto intend that this Agreement shall provide to the fullest extent permitted by law for indemnification in excess of that expressly permitted by statute, including, without limitation, any indemnification provided by the Company’s certificate of incorporation or bylaws, vote of the Company’s stockholders or disinterested directors or applicable law.</w:t>
      </w:r>
    </w:p>
    <w:p>
      <w:pPr>
        <w:spacing w:after="0" w:line="174"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b w:val="1"/>
          <w:bCs w:val="1"/>
          <w:color w:val="auto"/>
        </w:rPr>
        <w:t>3. Indemnity in Proceedings by or in the Right of the Company</w:t>
      </w:r>
      <w:r>
        <w:rPr>
          <w:rFonts w:ascii="Arial" w:cs="Arial" w:eastAsia="Arial" w:hAnsi="Arial"/>
          <w:sz w:val="16"/>
          <w:szCs w:val="16"/>
          <w:color w:val="auto"/>
        </w:rPr>
        <w:t>. The Company shall indemnify Indemnitee in accordance with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Section 3 if Indemnitee is, or is threatened to be made, a party to or a witness or other participant in any Proceeding by or in the right of the Company to procure a judgment in its favor. Pursuant to this Section 3, Indemnitee shall be indemnified to the fullest extent permitted by applicable law against all Expenses incurred by Indemnitee or on their behalf in connection with such Proceeding or any claim, issue or matter therein if Indemnitee acted in good faith and in a manner Indemnitee reasonably believed to be in or not opposed to the best interests of the Company. No indemnification for Expenses shall be made under this Section 3 in respect of any claim, issue or matter as to which Indemnitee shall have been finally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66"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8"/>
          <w:szCs w:val="18"/>
          <w:b w:val="1"/>
          <w:bCs w:val="1"/>
          <w:color w:val="auto"/>
        </w:rPr>
        <w:t>4. Indemnification for Expenses of a Party Who is Wholly or Partly Successful</w:t>
      </w:r>
      <w:r>
        <w:rPr>
          <w:rFonts w:ascii="Arial" w:cs="Arial" w:eastAsia="Arial" w:hAnsi="Arial"/>
          <w:sz w:val="18"/>
          <w:szCs w:val="18"/>
          <w:color w:val="auto"/>
        </w:rPr>
        <w:t>. Notwithstanding any other provision of this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where indemnification is not available under Section 2 or 3, as the case may be, to the fullest extent permitted by law and to the extent that Indemnitee is a party to, or participant in, and is successful (on the merits or otherwise) in defense of, any Proceeding or any claim, issue or matter therein, the Company shall indemnify Indemnitee against all Expenses incurred by Indemnitee or on Indemnitee’s behalf in connection therewith. For purposes of this Section 4, the termination of any claim, issue or matter in such a Proceeding by dismissal, with or without prejudice, shall be deemed to be a successful result as to such claim, issue or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5" w:name="page296"/>
    <w:bookmarkEnd w:id="295"/>
    <w:p>
      <w:pPr>
        <w:jc w:val="both"/>
        <w:ind w:firstLine="360"/>
        <w:spacing w:after="0" w:line="266" w:lineRule="auto"/>
        <w:rPr>
          <w:sz w:val="20"/>
          <w:szCs w:val="20"/>
          <w:color w:val="auto"/>
        </w:rPr>
      </w:pPr>
      <w:r>
        <w:rPr>
          <w:rFonts w:ascii="Arial" w:cs="Arial" w:eastAsia="Arial" w:hAnsi="Arial"/>
          <w:sz w:val="18"/>
          <w:szCs w:val="18"/>
          <w:b w:val="1"/>
          <w:bCs w:val="1"/>
          <w:color w:val="auto"/>
        </w:rPr>
        <w:t>5. Partial Indemnification</w:t>
      </w:r>
      <w:r>
        <w:rPr>
          <w:rFonts w:ascii="Arial" w:cs="Arial" w:eastAsia="Arial" w:hAnsi="Arial"/>
          <w:sz w:val="18"/>
          <w:szCs w:val="18"/>
          <w:color w:val="auto"/>
        </w:rPr>
        <w:t>. If Indemnitee is entitled under any provision of this Agreement to indemnification by the Company for some or a</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Expenses, but not, however, for the total amount thereof, the Company shall nevertheless indemnify Indemnitee for the portion thereof to which Indemnitee is entitled.</w:t>
      </w:r>
    </w:p>
    <w:p>
      <w:pPr>
        <w:spacing w:after="0" w:line="176"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8"/>
          <w:szCs w:val="18"/>
          <w:b w:val="1"/>
          <w:bCs w:val="1"/>
          <w:color w:val="auto"/>
        </w:rPr>
        <w:t>6. Exclusions</w:t>
      </w:r>
      <w:r>
        <w:rPr>
          <w:rFonts w:ascii="Arial" w:cs="Arial" w:eastAsia="Arial" w:hAnsi="Arial"/>
          <w:sz w:val="18"/>
          <w:szCs w:val="18"/>
          <w:color w:val="auto"/>
        </w:rPr>
        <w:t>. Notwithstanding any provision in this Agreement, the Company shall not be obligated under this Agreement to make any indemnity</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any Proceeding (or any part of any Proceeding):</w:t>
      </w:r>
    </w:p>
    <w:p>
      <w:pPr>
        <w:spacing w:after="0" w:line="162" w:lineRule="exact"/>
        <w:rPr>
          <w:sz w:val="20"/>
          <w:szCs w:val="20"/>
          <w:color w:val="auto"/>
        </w:rPr>
      </w:pPr>
    </w:p>
    <w:p>
      <w:pPr>
        <w:jc w:val="both"/>
        <w:ind w:left="360" w:firstLine="360"/>
        <w:spacing w:after="0" w:line="282"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 for which payment has actually been made to or on behalf of Indemnitee under any statute, insurance policy, indemnity provision, vote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except with respect to any excess beyond the amount paid;</w:t>
      </w:r>
    </w:p>
    <w:p>
      <w:pPr>
        <w:spacing w:after="0" w:line="162" w:lineRule="exact"/>
        <w:rPr>
          <w:sz w:val="20"/>
          <w:szCs w:val="20"/>
          <w:color w:val="auto"/>
        </w:rPr>
      </w:pPr>
    </w:p>
    <w:p>
      <w:pPr>
        <w:jc w:val="both"/>
        <w:ind w:left="360" w:firstLine="360"/>
        <w:spacing w:after="0" w:line="282"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 for an accounting or disgorgement of profits pursuant to Section 16(b) of the Exchange Act, or similar provisions of federal, state or local</w:t>
      </w:r>
      <w:r>
        <w:rPr>
          <w:rFonts w:ascii="Arial" w:cs="Arial" w:eastAsia="Arial" w:hAnsi="Arial"/>
          <w:sz w:val="18"/>
          <w:szCs w:val="18"/>
          <w:b w:val="1"/>
          <w:bCs w:val="1"/>
          <w:color w:val="auto"/>
        </w:rPr>
        <w:t xml:space="preserve"> </w:t>
      </w:r>
      <w:r>
        <w:rPr>
          <w:rFonts w:ascii="Arial" w:cs="Arial" w:eastAsia="Arial" w:hAnsi="Arial"/>
          <w:sz w:val="18"/>
          <w:szCs w:val="18"/>
          <w:color w:val="auto"/>
        </w:rPr>
        <w:t>statutory law or common law, if Indemnitee is held liable therefor (including pursuant to any settlement arrangements);</w:t>
      </w:r>
    </w:p>
    <w:p>
      <w:pPr>
        <w:spacing w:after="0" w:line="162" w:lineRule="exact"/>
        <w:rPr>
          <w:sz w:val="20"/>
          <w:szCs w:val="20"/>
          <w:color w:val="auto"/>
        </w:rPr>
      </w:pPr>
    </w:p>
    <w:p>
      <w:pPr>
        <w:jc w:val="both"/>
        <w:ind w:left="360" w:firstLine="360"/>
        <w:spacing w:after="0" w:line="254" w:lineRule="auto"/>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 for any reimbursement of the Company by Indemnitee of (i) any bonus or other incentive-based or equity-based compensation or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profits realized by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if Indemnitee is held liable therefor (including pursuant to any settlement arrangements) or (ii) any compensation pursuant to any compensation recoupment or clawback policy adopted by the Company’s board of directors or the compensation committee of the Company’s board of directors, including but not limited to any such policy adopted to comply with stock exchange listing requirements implementing Section 10D of the Exchange Act;</w:t>
      </w:r>
    </w:p>
    <w:p>
      <w:pPr>
        <w:spacing w:after="0" w:line="192" w:lineRule="exact"/>
        <w:rPr>
          <w:sz w:val="20"/>
          <w:szCs w:val="20"/>
          <w:color w:val="auto"/>
        </w:rPr>
      </w:pPr>
    </w:p>
    <w:p>
      <w:pPr>
        <w:jc w:val="both"/>
        <w:ind w:left="360" w:firstLine="360"/>
        <w:spacing w:after="0" w:line="286" w:lineRule="auto"/>
        <w:rPr>
          <w:sz w:val="20"/>
          <w:szCs w:val="20"/>
          <w:color w:val="auto"/>
        </w:rPr>
      </w:pPr>
      <w:r>
        <w:rPr>
          <w:rFonts w:ascii="Arial" w:cs="Arial" w:eastAsia="Arial" w:hAnsi="Arial"/>
          <w:sz w:val="16"/>
          <w:szCs w:val="16"/>
          <w:b w:val="1"/>
          <w:bCs w:val="1"/>
          <w:color w:val="auto"/>
        </w:rPr>
        <w:t>(d)</w:t>
      </w:r>
      <w:r>
        <w:rPr>
          <w:rFonts w:ascii="Arial" w:cs="Arial" w:eastAsia="Arial" w:hAnsi="Arial"/>
          <w:sz w:val="16"/>
          <w:szCs w:val="16"/>
          <w:color w:val="auto"/>
        </w:rPr>
        <w:t> initiated by Indemnitee, including any Proceeding (or any part of any Proceeding) initiated by Indemnitee against the Company or its</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11(d) or (iv) otherwise required by applicable law; provided, for the avoidance of doubt, Indemnitee shall not be deemed for purposes of this paragraph, to have initiated any Proceeding (or any part of a Proceeding) by reason of</w:t>
      </w:r>
    </w:p>
    <w:p>
      <w:pPr>
        <w:spacing w:after="0" w:line="2" w:lineRule="exact"/>
        <w:rPr>
          <w:sz w:val="20"/>
          <w:szCs w:val="20"/>
          <w:color w:val="auto"/>
        </w:rPr>
      </w:pPr>
    </w:p>
    <w:p>
      <w:pPr>
        <w:ind w:left="360" w:right="20" w:firstLine="8"/>
        <w:spacing w:after="0" w:line="260" w:lineRule="auto"/>
        <w:tabs>
          <w:tab w:leader="none" w:pos="59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having asserted any affirmative defenses in connection with a claim not initiated by Indemnitee or (ii) having made any counterclaim (whether permissive or mandatory) in connection with any claim not initiated by Indemnitee; or</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8"/>
          <w:szCs w:val="18"/>
          <w:color w:val="auto"/>
        </w:rPr>
        <w:t> if prohibited by the DGCL or other applicable law.</w:t>
      </w:r>
    </w:p>
    <w:p>
      <w:pPr>
        <w:spacing w:after="0" w:line="225"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b w:val="1"/>
          <w:bCs w:val="1"/>
          <w:color w:val="auto"/>
        </w:rPr>
        <w:t>7. Advances of Expenses</w:t>
      </w:r>
      <w:r>
        <w:rPr>
          <w:rFonts w:ascii="Arial" w:cs="Arial" w:eastAsia="Arial" w:hAnsi="Arial"/>
          <w:sz w:val="17"/>
          <w:szCs w:val="17"/>
          <w:color w:val="auto"/>
        </w:rPr>
        <w:t>. The Company shall advance the Expenses incurred by Indemnitee in connection with any Proceeding prior to its final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disposition, and such advancement shall be made as soon as reasonably practicable, but in any event no later than 30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w:t>
      </w:r>
      <w:r>
        <w:rPr>
          <w:rFonts w:ascii="Arial" w:cs="Arial" w:eastAsia="Arial" w:hAnsi="Arial"/>
          <w:sz w:val="17"/>
          <w:szCs w:val="17"/>
          <w:i w:val="1"/>
          <w:iCs w:val="1"/>
          <w:color w:val="auto"/>
        </w:rPr>
        <w:t>except</w:t>
      </w:r>
      <w:r>
        <w:rPr>
          <w:rFonts w:ascii="Arial" w:cs="Arial" w:eastAsia="Arial" w:hAnsi="Arial"/>
          <w:sz w:val="17"/>
          <w:szCs w:val="17"/>
          <w:color w:val="auto"/>
        </w:rPr>
        <w:t>, with respect to advances of expenses made pursuant to Section 11(d), in which case Indemnitee makes the undertaking provided in Section 11(d). This Section 7 shall not apply to the extent advancement is prohibited by law and shall not apply to any Proceeding (or any part of any Proceeding) for which indemnity is not permitted under this Agreement, but shall apply to any Proceeding (or any part of any Proceeding) referenced in Section 6(b) or 6(c) prior to a determination that Indemnitee is not entitled to be indemnified by the Company.</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8. Procedures for Notification and Defense of Claim</w:t>
      </w:r>
      <w:r>
        <w:rPr>
          <w:rFonts w:ascii="Arial" w:cs="Arial" w:eastAsia="Arial" w:hAnsi="Arial"/>
          <w:sz w:val="18"/>
          <w:szCs w:val="18"/>
          <w:color w:val="auto"/>
        </w:rPr>
        <w:t>.</w:t>
      </w:r>
    </w:p>
    <w:p>
      <w:pPr>
        <w:spacing w:after="0" w:line="225" w:lineRule="exact"/>
        <w:rPr>
          <w:sz w:val="20"/>
          <w:szCs w:val="20"/>
          <w:color w:val="auto"/>
        </w:rPr>
      </w:pPr>
    </w:p>
    <w:p>
      <w:pPr>
        <w:jc w:val="both"/>
        <w:ind w:left="360" w:firstLine="360"/>
        <w:spacing w:after="0" w:line="256"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Indemnitee shall notify the Company in writing of any matter with respect to which Indemnitee intends to seek indemnification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that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6" w:name="page297"/>
    <w:bookmarkEnd w:id="296"/>
    <w:p>
      <w:pPr>
        <w:jc w:val="both"/>
        <w:ind w:firstLine="360"/>
        <w:spacing w:after="0" w:line="303" w:lineRule="auto"/>
        <w:rPr>
          <w:sz w:val="20"/>
          <w:szCs w:val="20"/>
          <w:color w:val="auto"/>
        </w:rPr>
      </w:pPr>
      <w:r>
        <w:rPr>
          <w:rFonts w:ascii="Arial" w:cs="Arial" w:eastAsia="Arial" w:hAnsi="Arial"/>
          <w:sz w:val="16"/>
          <w:szCs w:val="16"/>
          <w:b w:val="1"/>
          <w:bCs w:val="1"/>
          <w:color w:val="auto"/>
        </w:rPr>
        <w:t>(b)</w:t>
      </w:r>
      <w:r>
        <w:rPr>
          <w:rFonts w:ascii="Arial" w:cs="Arial" w:eastAsia="Arial" w:hAnsi="Arial"/>
          <w:sz w:val="16"/>
          <w:szCs w:val="16"/>
          <w:color w:val="auto"/>
        </w:rPr>
        <w:t> If, at the time of the receipt of a notice of a Proceeding pursuant to the terms hereof, the Company has directors’ and officers’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in effect that may be applicable to the Proceeding, the Company shall give prompt notice of the commencement of the Proceeding to the insurers in accordance with the procedures set forth in the applicable policies. The Company shall thereafter take all commercially reasonable action to cause such insurers to pay, on behalf of Indemnitee, all amounts payable as a result of such Proceeding in accordance with the terms of such policies.</w:t>
      </w:r>
    </w:p>
    <w:p>
      <w:pPr>
        <w:spacing w:after="0" w:line="151"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6"/>
          <w:szCs w:val="16"/>
          <w:b w:val="1"/>
          <w:bCs w:val="1"/>
          <w:color w:val="auto"/>
        </w:rPr>
        <w:t>(c)</w:t>
      </w:r>
      <w:r>
        <w:rPr>
          <w:rFonts w:ascii="Arial" w:cs="Arial" w:eastAsia="Arial" w:hAnsi="Arial"/>
          <w:sz w:val="16"/>
          <w:szCs w:val="16"/>
          <w:color w:val="auto"/>
        </w:rPr>
        <w:t> In the event the Company may be obligated to make any indemnity in connection with a Proceeding, the Company shall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assume the defense of such Proceeding with counsel approved by Indemnitee, which approval shall not be unreasonably withheld, conditioned or delayed,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w:t>
      </w:r>
    </w:p>
    <w:p>
      <w:pPr>
        <w:spacing w:after="0" w:line="5" w:lineRule="exact"/>
        <w:rPr>
          <w:sz w:val="20"/>
          <w:szCs w:val="20"/>
          <w:color w:val="auto"/>
        </w:rPr>
      </w:pPr>
    </w:p>
    <w:p>
      <w:pPr>
        <w:jc w:val="both"/>
        <w:ind w:firstLine="8"/>
        <w:spacing w:after="0" w:line="253" w:lineRule="auto"/>
        <w:tabs>
          <w:tab w:leader="none" w:pos="31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Company is not financially or legally able to perform its indemnification obligations, or (iv) the Company shall not have retained, or shall not continue to retain, counsel to defend such Proceeding.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(d)</w:t>
      </w:r>
      <w:r>
        <w:rPr>
          <w:rFonts w:ascii="Arial" w:cs="Arial" w:eastAsia="Arial" w:hAnsi="Arial"/>
          <w:sz w:val="16"/>
          <w:szCs w:val="16"/>
          <w:color w:val="auto"/>
        </w:rPr>
        <w:t>  Indemnitee shall give the Company such information and cooperation in connection with the Proceeding as may be reasonably appropriate.</w:t>
      </w:r>
    </w:p>
    <w:p>
      <w:pPr>
        <w:spacing w:after="0" w:line="248"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7"/>
          <w:szCs w:val="17"/>
          <w:b w:val="1"/>
          <w:bCs w:val="1"/>
          <w:color w:val="auto"/>
        </w:rPr>
        <w:t>(e)</w:t>
      </w:r>
      <w:r>
        <w:rPr>
          <w:rFonts w:ascii="Arial" w:cs="Arial" w:eastAsia="Arial" w:hAnsi="Arial"/>
          <w:sz w:val="17"/>
          <w:szCs w:val="17"/>
          <w:color w:val="auto"/>
        </w:rPr>
        <w:t> The Company shall not be liable to indemnify Indemnitee for any settlement of any Proceeding (or any part thereof) effected without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prior written consent, which shall not be unreasonably withheld, conditioned or delayed. 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 settlement to which the Company has given its prior written consent, such settlement shall be treated as a success on the merits in the settled action, suit or proceeding.</w:t>
      </w:r>
    </w:p>
    <w:p>
      <w:pPr>
        <w:spacing w:after="0" w:line="168"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7"/>
          <w:szCs w:val="17"/>
          <w:b w:val="1"/>
          <w:bCs w:val="1"/>
          <w:color w:val="auto"/>
        </w:rPr>
        <w:t>(f)</w:t>
      </w:r>
      <w:r>
        <w:rPr>
          <w:rFonts w:ascii="Arial" w:cs="Arial" w:eastAsia="Arial" w:hAnsi="Arial"/>
          <w:sz w:val="17"/>
          <w:szCs w:val="17"/>
          <w:color w:val="auto"/>
        </w:rPr>
        <w:t> The Company shall not settle any Proceeding (or any part thereof) in a manner that imposes any penalty or liability on Indemnitee not paid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Company without Indemnitee’s prior written consent, which shall not be unreasonably withheld, conditioned or delayed.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9. Procedures upon Application for 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7"/>
          <w:szCs w:val="17"/>
          <w:b w:val="1"/>
          <w:bCs w:val="1"/>
          <w:color w:val="auto"/>
        </w:rPr>
        <w:t>(a)</w:t>
      </w:r>
      <w:r>
        <w:rPr>
          <w:rFonts w:ascii="Arial" w:cs="Arial" w:eastAsia="Arial" w:hAnsi="Arial"/>
          <w:sz w:val="17"/>
          <w:szCs w:val="17"/>
          <w:color w:val="auto"/>
        </w:rPr>
        <w:t> To obtain indemnification under this Agreement, Indemnitee shall submit to the Company a written request, including therein or therewith</w:t>
      </w:r>
      <w:r>
        <w:rPr>
          <w:rFonts w:ascii="Arial" w:cs="Arial" w:eastAsia="Arial" w:hAnsi="Arial"/>
          <w:sz w:val="17"/>
          <w:szCs w:val="17"/>
          <w:b w:val="1"/>
          <w:bCs w:val="1"/>
          <w:color w:val="auto"/>
        </w:rPr>
        <w:t xml:space="preserve"> </w:t>
      </w:r>
      <w:r>
        <w:rPr>
          <w:rFonts w:ascii="Arial" w:cs="Arial" w:eastAsia="Arial" w:hAnsi="Arial"/>
          <w:sz w:val="17"/>
          <w:szCs w:val="17"/>
          <w:color w:val="auto"/>
        </w:rPr>
        <w:t>such documentation and information as is reasonably available to Indemnitee and as is reasonably necessary to determine whether and to what extent Indemnitee is entitled to indemnification following the final disposition of the Proceeding. Any delay in providing the request will not relieve the Company from its obligations under this Agreement, except to the extent such failure is prejudicial.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407670</wp:posOffset>
            </wp:positionV>
            <wp:extent cx="7132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680" w:top="904" w:right="339" w:bottom="1440" w:gutter="0" w:footer="0" w:header="0"/>
        </w:sectPr>
      </w:pPr>
    </w:p>
    <w:bookmarkStart w:id="297" w:name="page298"/>
    <w:bookmarkEnd w:id="297"/>
    <w:p>
      <w:pPr>
        <w:jc w:val="both"/>
        <w:ind w:left="20" w:firstLine="360"/>
        <w:spacing w:after="0" w:line="286" w:lineRule="auto"/>
        <w:rPr>
          <w:sz w:val="20"/>
          <w:szCs w:val="20"/>
          <w:color w:val="auto"/>
        </w:rPr>
      </w:pPr>
      <w:r>
        <w:rPr>
          <w:rFonts w:ascii="Arial" w:cs="Arial" w:eastAsia="Arial" w:hAnsi="Arial"/>
          <w:sz w:val="16"/>
          <w:szCs w:val="16"/>
          <w:b w:val="1"/>
          <w:bCs w:val="1"/>
          <w:color w:val="auto"/>
        </w:rPr>
        <w:t>(b)</w:t>
      </w:r>
      <w:r>
        <w:rPr>
          <w:rFonts w:ascii="Arial" w:cs="Arial" w:eastAsia="Arial" w:hAnsi="Arial"/>
          <w:sz w:val="16"/>
          <w:szCs w:val="16"/>
          <w:color w:val="auto"/>
        </w:rPr>
        <w:t> Upon written request by Indemnitee for indemnification pursuant to Section 9(a), a determination with respect to Indemnitee’s entitlement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thereto shall be made as follows, provided that a Change in Control shall not have occurred: (i) by a majority vote of the Disinterested Directors, even though less than a quorum of the Company’s board of directors; (ii) by a committee of Disinterested Directors designated by a majority vote of the Disinterested Directors, even though less than a quorum of the Company’s board of directors; (iii) if there are no such Disinterested Directors or, if a majority of Disinterested Directors so direct, by Independent Counsel in a written opinion to the Company’s board of directors, a copy of which shall be delivered to Indemnitee; or (iv) if so directed by the Company’s board of directors, by the stockholders of the Company. If a Change in Control shall have occurred, a determination with respect to Indemnitee’s entitlement to indemnification shall be made by Independent Counsel in a written opinion to the Company’s board of directors, a copy of which shall be delivered to Indemnitee.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w:t>
      </w:r>
    </w:p>
    <w:p>
      <w:pPr>
        <w:spacing w:after="0" w:line="171" w:lineRule="exact"/>
        <w:rPr>
          <w:sz w:val="20"/>
          <w:szCs w:val="20"/>
          <w:color w:val="auto"/>
        </w:rPr>
      </w:pPr>
    </w:p>
    <w:p>
      <w:pPr>
        <w:jc w:val="both"/>
        <w:ind w:left="20" w:firstLine="360"/>
        <w:spacing w:after="0" w:line="285" w:lineRule="auto"/>
        <w:rPr>
          <w:sz w:val="20"/>
          <w:szCs w:val="20"/>
          <w:color w:val="auto"/>
        </w:rPr>
      </w:pPr>
      <w:r>
        <w:rPr>
          <w:rFonts w:ascii="Arial" w:cs="Arial" w:eastAsia="Arial" w:hAnsi="Arial"/>
          <w:sz w:val="16"/>
          <w:szCs w:val="16"/>
          <w:b w:val="1"/>
          <w:bCs w:val="1"/>
          <w:color w:val="auto"/>
        </w:rPr>
        <w:t>(c)</w:t>
      </w:r>
      <w:r>
        <w:rPr>
          <w:rFonts w:ascii="Arial" w:cs="Arial" w:eastAsia="Arial" w:hAnsi="Arial"/>
          <w:sz w:val="16"/>
          <w:szCs w:val="16"/>
          <w:color w:val="auto"/>
        </w:rPr>
        <w:t> In the event the determination of entitlement to indemnification is to be made by Independent Counsel pursuant to Section 9(b), the</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Counsel shall be selected as provided in this Section 9(c). If a Change in Control shall not have occurred, the Independent Counsel shall be selected by the Company’s board of directors, and the Company shall give written notice to Indemnitee advising them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1,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9(a) and (ii) the final disposition of the Proceeding, the parties have not agreed upon an Independent Counsel, either the Company or Indemnitee may petition a court of competent jurisdiction for resolution of any objection that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9(b). Upon the due commencement of any judicial proceeding or arbitration pursuant to Section 11(a), the Independent Counsel shall be discharged and relieved of any further responsibility in such capacity (subject to the applicable standards of professional conduct then prevailing).</w:t>
      </w:r>
    </w:p>
    <w:p>
      <w:pPr>
        <w:spacing w:after="0" w:line="387" w:lineRule="exact"/>
        <w:rPr>
          <w:sz w:val="20"/>
          <w:szCs w:val="20"/>
          <w:color w:val="auto"/>
        </w:rPr>
      </w:pPr>
    </w:p>
    <w:p>
      <w:pPr>
        <w:jc w:val="both"/>
        <w:ind w:firstLine="360"/>
        <w:spacing w:after="0" w:line="294" w:lineRule="auto"/>
        <w:rPr>
          <w:sz w:val="20"/>
          <w:szCs w:val="20"/>
          <w:color w:val="auto"/>
        </w:rPr>
      </w:pPr>
      <w:r>
        <w:rPr>
          <w:rFonts w:ascii="Arial" w:cs="Arial" w:eastAsia="Arial" w:hAnsi="Arial"/>
          <w:sz w:val="16"/>
          <w:szCs w:val="16"/>
          <w:b w:val="1"/>
          <w:bCs w:val="1"/>
          <w:color w:val="auto"/>
        </w:rPr>
        <w:t xml:space="preserve">(d) </w:t>
      </w:r>
      <w:r>
        <w:rPr>
          <w:rFonts w:ascii="Arial" w:cs="Arial" w:eastAsia="Arial" w:hAnsi="Arial"/>
          <w:sz w:val="16"/>
          <w:szCs w:val="16"/>
          <w:color w:val="auto"/>
        </w:rPr>
        <w:t>The Company shall pay the reasonable fees and expenses of any Independent Counsel and shall fully indemnify such counsel against any</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Expenses, claims, liabilities and damages arising out of or relating to this Agreement or its engagement pursuant hereto. Notwithstanding any other provision of this Agreement, the Company shall not be required to pay Expenses of more than one Independent Counsel in connection with all matters concerning a single Indemnitee, and such Independent Counsel shall be the Independent Counsel for any or all other indemnitees under agreements similar to this Agreement unless (a) the Company otherwise determines or (B) any Indemnitee shall provide a written statement setting forth in detail a reasonable objection to such Independent Counsel representing other indemnitees under agreements similar to this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10. Presumptions and Effect of Certain Proceedings.</w:t>
      </w:r>
    </w:p>
    <w:p>
      <w:pPr>
        <w:spacing w:after="0" w:line="225" w:lineRule="exact"/>
        <w:rPr>
          <w:sz w:val="20"/>
          <w:szCs w:val="20"/>
          <w:color w:val="auto"/>
        </w:rPr>
      </w:pPr>
    </w:p>
    <w:p>
      <w:pPr>
        <w:jc w:val="both"/>
        <w:ind w:firstLine="360"/>
        <w:spacing w:after="0" w:line="314"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In making a determination with respect to entitlement to indemnification hereunder, the person, persons or entity making such determination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to the fullest extent not prohibited by law, presume that Indemnitee is entitled to indemnification under this Agreement, and the Company shall, to the fullest extent not prohibited by law, have the burden of proof to overcome that presumption by clear and convincing evidence.</w:t>
      </w:r>
    </w:p>
    <w:p>
      <w:pPr>
        <w:spacing w:after="0" w:line="142"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termination of any Proceeding or of any claim, issue or matter therein, by judgment, order, settlement or conviction, or upon a plea of</w:t>
      </w:r>
      <w:r>
        <w:rPr>
          <w:rFonts w:ascii="Arial" w:cs="Arial" w:eastAsia="Arial" w:hAnsi="Arial"/>
          <w:sz w:val="18"/>
          <w:szCs w:val="18"/>
          <w:b w:val="1"/>
          <w:bCs w:val="1"/>
          <w:color w:val="auto"/>
        </w:rPr>
        <w:t xml:space="preserve"> </w:t>
      </w:r>
      <w:r>
        <w:rPr>
          <w:rFonts w:ascii="Arial" w:cs="Arial" w:eastAsia="Arial" w:hAnsi="Arial"/>
          <w:sz w:val="18"/>
          <w:szCs w:val="18"/>
          <w:color w:val="auto"/>
        </w:rPr>
        <w:t>nolo contendere or its equivalent, shall not (except as otherwise expressly provided in this Agreement) of itself adversely affect the right of Indemnitee to indemnification or create a presumption that Indemnitee did not act in good faith and in a manner that they reasonably believed to be in or not opposed to the best interests of the Company or, with respect to any criminal Proceeding, that Indemnitee had reasonable cause to believe that their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419735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298" w:name="page299"/>
    <w:bookmarkEnd w:id="298"/>
    <w:p>
      <w:pPr>
        <w:jc w:val="both"/>
        <w:ind w:firstLine="360"/>
        <w:spacing w:after="0" w:line="273" w:lineRule="auto"/>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color w:val="auto"/>
        </w:rPr>
        <w:t>For purposes of any determination of good faith, Indemnitee shall be deemed to have acted in good faith to the extent Indemnitee relied in</w:t>
      </w:r>
      <w:r>
        <w:rPr>
          <w:rFonts w:ascii="Arial" w:cs="Arial" w:eastAsia="Arial" w:hAnsi="Arial"/>
          <w:sz w:val="17"/>
          <w:szCs w:val="17"/>
          <w:b w:val="1"/>
          <w:bCs w:val="1"/>
          <w:color w:val="auto"/>
        </w:rPr>
        <w:t xml:space="preserve"> </w:t>
      </w:r>
      <w:r>
        <w:rPr>
          <w:rFonts w:ascii="Arial" w:cs="Arial" w:eastAsia="Arial" w:hAnsi="Arial"/>
          <w:sz w:val="17"/>
          <w:szCs w:val="17"/>
          <w:color w:val="auto"/>
        </w:rPr>
        <w:t>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10(c) shall not be deemed to be exclusive or to limit in any way the other circumstances in which Indemnitee may be deemed to have met the applicable standard of conduct set forth in this Agreement.</w:t>
      </w:r>
    </w:p>
    <w:p>
      <w:pPr>
        <w:spacing w:after="0" w:line="172"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Neither the knowledge, actions nor failure to act of any other director, officer, agent or employee of the Enterprise shall be imputed to</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for purposes of determining the right to indemnification under this Agreement.</w:t>
      </w:r>
    </w:p>
    <w:p>
      <w:pPr>
        <w:spacing w:after="0" w:line="162" w:lineRule="exact"/>
        <w:rPr>
          <w:sz w:val="20"/>
          <w:szCs w:val="20"/>
          <w:color w:val="auto"/>
        </w:rPr>
      </w:pPr>
    </w:p>
    <w:p>
      <w:pPr>
        <w:jc w:val="both"/>
        <w:ind w:firstLine="360"/>
        <w:spacing w:after="0" w:line="298" w:lineRule="auto"/>
        <w:rPr>
          <w:sz w:val="20"/>
          <w:szCs w:val="20"/>
          <w:color w:val="auto"/>
        </w:rPr>
      </w:pPr>
      <w:r>
        <w:rPr>
          <w:rFonts w:ascii="Arial" w:cs="Arial" w:eastAsia="Arial" w:hAnsi="Arial"/>
          <w:sz w:val="16"/>
          <w:szCs w:val="16"/>
          <w:b w:val="1"/>
          <w:bCs w:val="1"/>
          <w:color w:val="auto"/>
        </w:rPr>
        <w:t xml:space="preserve">(e) </w:t>
      </w:r>
      <w:r>
        <w:rPr>
          <w:rFonts w:ascii="Arial" w:cs="Arial" w:eastAsia="Arial" w:hAnsi="Arial"/>
          <w:sz w:val="16"/>
          <w:szCs w:val="16"/>
          <w:color w:val="auto"/>
        </w:rPr>
        <w:t>The Company acknowledges that a settlement or other disposition short of final judgment may be successful if it permits a party to avoid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delay, distraction, disruption and uncertainty. In the event that any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Proceeding. Anyone seeking to overcome this presumption shall have the burden of proof and the burden of persuasion by clear and convincing evidence.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11. Remedies of Indemnitee.</w:t>
      </w:r>
    </w:p>
    <w:p>
      <w:pPr>
        <w:spacing w:after="0" w:line="225" w:lineRule="exact"/>
        <w:rPr>
          <w:sz w:val="20"/>
          <w:szCs w:val="20"/>
          <w:color w:val="auto"/>
        </w:rPr>
      </w:pPr>
    </w:p>
    <w:p>
      <w:pPr>
        <w:jc w:val="both"/>
        <w:ind w:left="20" w:firstLine="360"/>
        <w:spacing w:after="0" w:line="268" w:lineRule="auto"/>
        <w:rPr>
          <w:sz w:val="20"/>
          <w:szCs w:val="20"/>
          <w:color w:val="auto"/>
        </w:rPr>
      </w:pPr>
      <w:r>
        <w:rPr>
          <w:rFonts w:ascii="Arial" w:cs="Arial" w:eastAsia="Arial" w:hAnsi="Arial"/>
          <w:sz w:val="17"/>
          <w:szCs w:val="17"/>
          <w:b w:val="1"/>
          <w:bCs w:val="1"/>
          <w:color w:val="auto"/>
        </w:rPr>
        <w:t>(a)</w:t>
      </w:r>
      <w:r>
        <w:rPr>
          <w:rFonts w:ascii="Arial" w:cs="Arial" w:eastAsia="Arial" w:hAnsi="Arial"/>
          <w:sz w:val="17"/>
          <w:szCs w:val="17"/>
          <w:color w:val="auto"/>
        </w:rPr>
        <w:t> Subject to Section 11(e), in the event that (i) a determination is made pursuant to Section 9(b) that Indemnitee is not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indemnification under this Agreement, (ii) advancement of Expenses is not timely made pursuant to Section 7 or 11(d), (iii) no determination of entitlement to indemnification shall have been made pursuant to Section 9 within 90 days after the later of the receipt by the Company of the request for indemnification or the final disposition of the Proceeding, (iv) payment of indemnification pursuant to this Agreement is not made (A) within 10 days after a determination has been made that Indemnitee is entitled to indemnification or (B) with respect to indemnification pursuant to Sections 4 and 11(d),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their entitlement to such indemnification or advancement of Expenses. Alternatively, Indemnitee, at their option, may seek an award in arbitration with respect to their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12 months following the date on which Indemnitee first has the right to commence such proceeding pursuant to this Section 11(a);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foregoing clause shall not apply in respect of a proceeding brought by Indemnitee to enforce their rights under Section 4. The Company shall not oppose Indemnitee’s right to seek any such adjudication or award in arbitration in accordance with this Agreement.</w:t>
      </w:r>
    </w:p>
    <w:p>
      <w:pPr>
        <w:spacing w:after="0" w:line="182" w:lineRule="exact"/>
        <w:rPr>
          <w:sz w:val="20"/>
          <w:szCs w:val="20"/>
          <w:color w:val="auto"/>
        </w:rPr>
      </w:pPr>
    </w:p>
    <w:p>
      <w:pPr>
        <w:jc w:val="both"/>
        <w:ind w:left="20" w:firstLine="360"/>
        <w:spacing w:after="0" w:line="270" w:lineRule="auto"/>
        <w:rPr>
          <w:sz w:val="20"/>
          <w:szCs w:val="20"/>
          <w:color w:val="auto"/>
        </w:rPr>
      </w:pPr>
      <w:r>
        <w:rPr>
          <w:rFonts w:ascii="Arial" w:cs="Arial" w:eastAsia="Arial" w:hAnsi="Arial"/>
          <w:sz w:val="17"/>
          <w:szCs w:val="17"/>
          <w:b w:val="1"/>
          <w:bCs w:val="1"/>
          <w:color w:val="auto"/>
        </w:rPr>
        <w:t>(b)</w:t>
      </w:r>
      <w:r>
        <w:rPr>
          <w:rFonts w:ascii="Arial" w:cs="Arial" w:eastAsia="Arial" w:hAnsi="Arial"/>
          <w:sz w:val="17"/>
          <w:szCs w:val="17"/>
          <w:color w:val="auto"/>
        </w:rPr>
        <w:t> Neither (i) the failure of the Company, its board of directors, any committee or subgroup of the board of directors, Independent Counsel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9 that Indemnitee is not entitled to indemnification, any judicial proceeding or arbitration commenced pursuant to this Section 11 shall be conducted in all respects as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trial, or arbitration, on the merits, and Indemnitee shall not be prejudiced by reason of that adverse determination. In any judicial proceeding or arbitration commenced pursuant to this Section 11, the Company shall, to the fullest extent not prohibited by law, have the burden of proving Indemnitee is not entitled to indemnification or advancement of Expenses, as the case may be, and the burden of proof shall be by clear and convincing evidence.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415290</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299" w:name="page300"/>
    <w:bookmarkEnd w:id="299"/>
    <w:p>
      <w:pPr>
        <w:jc w:val="both"/>
        <w:ind w:left="360" w:firstLine="360"/>
        <w:spacing w:after="0" w:line="255" w:lineRule="auto"/>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 To the fullest extent not prohibited by law, the Company shall be precluded from asserting in any judicial proceeding or 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commenced pursuant to this Section 11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9 that Indemnitee is entitled to indemnification, the Company shall be bound by such determination in any judicial proceeding or arbitration commenced pursuant to this Section 11, absent (i) 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spacing w:after="0" w:line="189" w:lineRule="exact"/>
        <w:rPr>
          <w:sz w:val="20"/>
          <w:szCs w:val="20"/>
          <w:color w:val="auto"/>
        </w:rPr>
      </w:pPr>
    </w:p>
    <w:p>
      <w:pPr>
        <w:jc w:val="both"/>
        <w:ind w:left="360" w:firstLine="360"/>
        <w:spacing w:after="0" w:line="294" w:lineRule="auto"/>
        <w:rPr>
          <w:sz w:val="20"/>
          <w:szCs w:val="20"/>
          <w:color w:val="auto"/>
        </w:rPr>
      </w:pPr>
      <w:r>
        <w:rPr>
          <w:rFonts w:ascii="Arial" w:cs="Arial" w:eastAsia="Arial" w:hAnsi="Arial"/>
          <w:sz w:val="16"/>
          <w:szCs w:val="16"/>
          <w:b w:val="1"/>
          <w:bCs w:val="1"/>
          <w:color w:val="auto"/>
        </w:rPr>
        <w:t>(d)</w:t>
      </w:r>
      <w:r>
        <w:rPr>
          <w:rFonts w:ascii="Arial" w:cs="Arial" w:eastAsia="Arial" w:hAnsi="Arial"/>
          <w:sz w:val="16"/>
          <w:szCs w:val="16"/>
          <w:color w:val="auto"/>
        </w:rPr>
        <w:t> To the extent not prohibited by law, the Company shall indemnify Indemnitee against all Expenses incurred by Indemnitee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any action for indemnification or advancement of Expenses from the Company under this Agreement, any other agreement, the Company’s certificate of incorporation or bylaws or under any directors’ and officers’ liability insurance policies maintained by the Company to the extent Indemnitee is successful in such action, and, if requested by Indemnitee, shall (as soon as reasonably practicable, but in any event no later than 30 days, after receipt by the Company of a written request therefor) advance such Expenses to Indemnitee, subject to the provisions of Section 7. Indemnitee hereby undertakes to repay such advances to the extent the Indemnitee is ultimately unsuccessful in such action or arbitration.</w:t>
      </w:r>
    </w:p>
    <w:p>
      <w:pPr>
        <w:spacing w:after="0" w:line="160" w:lineRule="exact"/>
        <w:rPr>
          <w:sz w:val="20"/>
          <w:szCs w:val="20"/>
          <w:color w:val="auto"/>
        </w:rPr>
      </w:pPr>
    </w:p>
    <w:p>
      <w:pPr>
        <w:jc w:val="both"/>
        <w:ind w:left="360" w:firstLine="360"/>
        <w:spacing w:after="0" w:line="282" w:lineRule="auto"/>
        <w:rPr>
          <w:sz w:val="20"/>
          <w:szCs w:val="20"/>
          <w:color w:val="auto"/>
        </w:rPr>
      </w:pPr>
      <w:r>
        <w:rPr>
          <w:rFonts w:ascii="Arial" w:cs="Arial" w:eastAsia="Arial" w:hAnsi="Arial"/>
          <w:sz w:val="18"/>
          <w:szCs w:val="18"/>
          <w:b w:val="1"/>
          <w:bCs w:val="1"/>
          <w:color w:val="auto"/>
        </w:rPr>
        <w:t>(e)</w:t>
      </w:r>
      <w:r>
        <w:rPr>
          <w:rFonts w:ascii="Arial" w:cs="Arial" w:eastAsia="Arial" w:hAnsi="Arial"/>
          <w:sz w:val="18"/>
          <w:szCs w:val="18"/>
          <w:color w:val="auto"/>
        </w:rPr>
        <w:t>  Notwithstanding anything in this Agreement to the contrary, no determination as to entitlement of Indemnitee to indemnification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required to be made prior to the final disposition of the Proceeding.</w:t>
      </w:r>
    </w:p>
    <w:p>
      <w:pPr>
        <w:spacing w:after="0" w:line="162"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7"/>
          <w:szCs w:val="17"/>
          <w:b w:val="1"/>
          <w:bCs w:val="1"/>
          <w:color w:val="auto"/>
        </w:rPr>
        <w:t>12. Contribution</w:t>
      </w:r>
      <w:r>
        <w:rPr>
          <w:rFonts w:ascii="Arial" w:cs="Arial" w:eastAsia="Arial" w:hAnsi="Arial"/>
          <w:sz w:val="17"/>
          <w:szCs w:val="17"/>
          <w:color w:val="auto"/>
        </w:rPr>
        <w:t>. To the fullest extent permissible under applicable law, if the indemnification provided for in this Agreement is unavailable to</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173"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b w:val="1"/>
          <w:bCs w:val="1"/>
          <w:color w:val="auto"/>
        </w:rPr>
        <w:t>13. Non-exclusivity</w:t>
      </w:r>
      <w:r>
        <w:rPr>
          <w:rFonts w:ascii="Arial" w:cs="Arial" w:eastAsia="Arial" w:hAnsi="Arial"/>
          <w:sz w:val="16"/>
          <w:szCs w:val="16"/>
          <w:color w:val="auto"/>
        </w:rPr>
        <w:t>. The rights of indemnification and to receive advancement of Expenses as provided by this Agreement shall not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166"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b w:val="1"/>
          <w:bCs w:val="1"/>
          <w:color w:val="auto"/>
        </w:rPr>
        <w:t>14. Primary Responsibility</w:t>
      </w:r>
      <w:r>
        <w:rPr>
          <w:rFonts w:ascii="Arial" w:cs="Arial" w:eastAsia="Arial" w:hAnsi="Arial"/>
          <w:sz w:val="17"/>
          <w:szCs w:val="17"/>
          <w:color w:val="auto"/>
        </w:rPr>
        <w:t>. The Company acknowledges that to the extent Indemnitee is serving as a director on the Company’s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at the request or direction of a private equity or venture capital fund or other entity and/or certain of its Affiliates (collectively, the “</w:t>
      </w:r>
      <w:r>
        <w:rPr>
          <w:rFonts w:ascii="Arial" w:cs="Arial" w:eastAsia="Arial" w:hAnsi="Arial"/>
          <w:sz w:val="17"/>
          <w:szCs w:val="17"/>
          <w:b w:val="1"/>
          <w:bCs w:val="1"/>
          <w:i w:val="1"/>
          <w:iCs w:val="1"/>
          <w:color w:val="auto"/>
        </w:rPr>
        <w:t>Secondary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Indemnitors</w:t>
      </w:r>
      <w:r>
        <w:rPr>
          <w:rFonts w:ascii="Arial" w:cs="Arial" w:eastAsia="Arial" w:hAnsi="Arial"/>
          <w:sz w:val="17"/>
          <w:szCs w:val="17"/>
          <w:color w:val="auto"/>
        </w:rPr>
        <w:t>”), Indemnitee may have certain rights to indemnification and advancement of expenses provided by such Secondary Indemnitors.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14.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Section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0" w:name="page301"/>
    <w:bookmarkEnd w:id="300"/>
    <w:p>
      <w:pPr>
        <w:jc w:val="both"/>
        <w:ind w:firstLine="360"/>
        <w:spacing w:after="0" w:line="266" w:lineRule="auto"/>
        <w:rPr>
          <w:sz w:val="20"/>
          <w:szCs w:val="20"/>
          <w:color w:val="auto"/>
        </w:rPr>
      </w:pPr>
      <w:r>
        <w:rPr>
          <w:rFonts w:ascii="Arial" w:cs="Arial" w:eastAsia="Arial" w:hAnsi="Arial"/>
          <w:sz w:val="18"/>
          <w:szCs w:val="18"/>
          <w:b w:val="1"/>
          <w:bCs w:val="1"/>
          <w:color w:val="auto"/>
        </w:rPr>
        <w:t>15. No Duplication of Payments</w:t>
      </w:r>
      <w:r>
        <w:rPr>
          <w:rFonts w:ascii="Arial" w:cs="Arial" w:eastAsia="Arial" w:hAnsi="Arial"/>
          <w:sz w:val="18"/>
          <w:szCs w:val="18"/>
          <w:color w:val="auto"/>
        </w:rPr>
        <w:t>. Subject to Section 14, the Company shall not be liable under this Agreement to make any payment of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indemnifiable hereunder (or for which advancement is provided hereunder) if and to the extent that Indemnitee has otherwise actually received payment for such amounts under any insurance policy, contract, agreement or otherwise.</w:t>
      </w:r>
    </w:p>
    <w:p>
      <w:pPr>
        <w:spacing w:after="0" w:line="176"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7"/>
          <w:szCs w:val="17"/>
          <w:b w:val="1"/>
          <w:bCs w:val="1"/>
          <w:color w:val="auto"/>
        </w:rPr>
        <w:t>16. Insurance</w:t>
      </w:r>
      <w:r>
        <w:rPr>
          <w:rFonts w:ascii="Arial" w:cs="Arial" w:eastAsia="Arial" w:hAnsi="Arial"/>
          <w:sz w:val="17"/>
          <w:szCs w:val="17"/>
          <w:color w:val="auto"/>
        </w:rPr>
        <w:t>. To the extent that the Company maintains an insurance policy or policies providing liability insurance for directors, trustees,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158"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8"/>
          <w:szCs w:val="18"/>
          <w:b w:val="1"/>
          <w:bCs w:val="1"/>
          <w:color w:val="auto"/>
        </w:rPr>
        <w:t>17. Subrogation</w:t>
      </w:r>
      <w:r>
        <w:rPr>
          <w:rFonts w:ascii="Arial" w:cs="Arial" w:eastAsia="Arial" w:hAnsi="Arial"/>
          <w:sz w:val="18"/>
          <w:szCs w:val="18"/>
          <w:color w:val="auto"/>
        </w:rPr>
        <w:t>. Subject to Section 14, in the event of any payment under this Agreement, the Company shall be subrogated to the extent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76"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b w:val="1"/>
          <w:bCs w:val="1"/>
          <w:color w:val="auto"/>
        </w:rPr>
        <w:t>18. Services to the Company</w:t>
      </w:r>
      <w:r>
        <w:rPr>
          <w:rFonts w:ascii="Arial" w:cs="Arial" w:eastAsia="Arial" w:hAnsi="Arial"/>
          <w:sz w:val="18"/>
          <w:szCs w:val="18"/>
          <w:color w:val="auto"/>
        </w:rPr>
        <w:t>. Indemnitee agrees to serve as a director or officer of the Company or, at the request of the Company, as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general partner, managing member, officer, employee, agent or fiduciary of another Enterprise, for so long as Indemnitee is duly elected or appointed or until Indemnitee tenders their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192"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8"/>
          <w:szCs w:val="18"/>
          <w:b w:val="1"/>
          <w:bCs w:val="1"/>
          <w:color w:val="auto"/>
        </w:rPr>
        <w:t>19. Duration</w:t>
      </w:r>
      <w:r>
        <w:rPr>
          <w:rFonts w:ascii="Arial" w:cs="Arial" w:eastAsia="Arial" w:hAnsi="Arial"/>
          <w:sz w:val="18"/>
          <w:szCs w:val="18"/>
          <w:color w:val="auto"/>
        </w:rPr>
        <w:t>. This Agreement shall continue until and terminate upon the later of (a) six years after the date that Indemnitee shall have ceased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11 relating thereto.</w:t>
      </w:r>
    </w:p>
    <w:p>
      <w:pPr>
        <w:spacing w:after="0" w:line="183"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8"/>
          <w:szCs w:val="18"/>
          <w:b w:val="1"/>
          <w:bCs w:val="1"/>
          <w:color w:val="auto"/>
        </w:rPr>
        <w:t>20. Successors</w:t>
      </w:r>
      <w:r>
        <w:rPr>
          <w:rFonts w:ascii="Arial" w:cs="Arial" w:eastAsia="Arial" w:hAnsi="Arial"/>
          <w:sz w:val="18"/>
          <w:szCs w:val="18"/>
          <w:color w:val="auto"/>
        </w:rPr>
        <w:t>. This Agreement shall be binding upon the Company and its successors and assigns, including any direct or indirect successor, by</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merger, consolidation or otherwise, to all or substantially all of the business or assets of the Company, and shall inure to the benefit of Indemnitee and Indemnitee’s heirs, executors and administrators. Further,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187"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b w:val="1"/>
          <w:bCs w:val="1"/>
          <w:color w:val="auto"/>
        </w:rPr>
        <w:t>21. Severability</w:t>
      </w:r>
      <w:r>
        <w:rPr>
          <w:rFonts w:ascii="Arial" w:cs="Arial" w:eastAsia="Arial" w:hAnsi="Arial"/>
          <w:sz w:val="17"/>
          <w:szCs w:val="17"/>
          <w:color w:val="auto"/>
        </w:rPr>
        <w:t>. Nothing in this Agreement is intended to require or shall be construed as requiring the Company to do or fail to do any act in</w:t>
      </w:r>
      <w:r>
        <w:rPr>
          <w:rFonts w:ascii="Arial" w:cs="Arial" w:eastAsia="Arial" w:hAnsi="Arial"/>
          <w:sz w:val="17"/>
          <w:szCs w:val="17"/>
          <w:b w:val="1"/>
          <w:bCs w:val="1"/>
          <w:color w:val="auto"/>
        </w:rPr>
        <w:t xml:space="preserve"> </w:t>
      </w:r>
      <w:r>
        <w:rPr>
          <w:rFonts w:ascii="Arial" w:cs="Arial" w:eastAsia="Arial" w:hAnsi="Arial"/>
          <w:sz w:val="17"/>
          <w:szCs w:val="17"/>
          <w:color w:val="auto"/>
        </w:rPr>
        <w:t>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1" w:name="page302"/>
    <w:bookmarkEnd w:id="301"/>
    <w:p>
      <w:pPr>
        <w:jc w:val="both"/>
        <w:ind w:firstLine="360"/>
        <w:spacing w:after="0" w:line="266" w:lineRule="auto"/>
        <w:rPr>
          <w:sz w:val="20"/>
          <w:szCs w:val="20"/>
          <w:color w:val="auto"/>
        </w:rPr>
      </w:pPr>
      <w:r>
        <w:rPr>
          <w:rFonts w:ascii="Arial" w:cs="Arial" w:eastAsia="Arial" w:hAnsi="Arial"/>
          <w:sz w:val="18"/>
          <w:szCs w:val="18"/>
          <w:b w:val="1"/>
          <w:bCs w:val="1"/>
          <w:color w:val="auto"/>
        </w:rPr>
        <w:t>22. Enforcement</w:t>
      </w:r>
      <w:r>
        <w:rPr>
          <w:rFonts w:ascii="Arial" w:cs="Arial" w:eastAsia="Arial" w:hAnsi="Arial"/>
          <w:sz w:val="18"/>
          <w:szCs w:val="18"/>
          <w:color w:val="auto"/>
        </w:rPr>
        <w:t>. The Company expressly confirms and agrees that it has entered into this Agreement and assumed the obligations imposed on it</w:t>
      </w:r>
      <w:r>
        <w:rPr>
          <w:rFonts w:ascii="Arial" w:cs="Arial" w:eastAsia="Arial" w:hAnsi="Arial"/>
          <w:sz w:val="18"/>
          <w:szCs w:val="18"/>
          <w:b w:val="1"/>
          <w:bCs w:val="1"/>
          <w:color w:val="auto"/>
        </w:rPr>
        <w:t xml:space="preserve"> </w:t>
      </w:r>
      <w:r>
        <w:rPr>
          <w:rFonts w:ascii="Arial" w:cs="Arial" w:eastAsia="Arial" w:hAnsi="Arial"/>
          <w:sz w:val="18"/>
          <w:szCs w:val="18"/>
          <w:color w:val="auto"/>
        </w:rPr>
        <w:t>hereby in order to induce Indemnitee to serve as a director or officer of the Company, and the Company acknowledges that Indemnitee is relying upon this Agreement in serving as a director or officer of the Company.</w:t>
      </w:r>
    </w:p>
    <w:p>
      <w:pPr>
        <w:spacing w:after="0" w:line="176" w:lineRule="exact"/>
        <w:rPr>
          <w:sz w:val="20"/>
          <w:szCs w:val="20"/>
          <w:color w:val="auto"/>
        </w:rPr>
      </w:pPr>
    </w:p>
    <w:p>
      <w:pPr>
        <w:jc w:val="both"/>
        <w:ind w:firstLine="360"/>
        <w:spacing w:after="0" w:line="314" w:lineRule="auto"/>
        <w:rPr>
          <w:sz w:val="20"/>
          <w:szCs w:val="20"/>
          <w:color w:val="auto"/>
        </w:rPr>
      </w:pPr>
      <w:r>
        <w:rPr>
          <w:rFonts w:ascii="Arial" w:cs="Arial" w:eastAsia="Arial" w:hAnsi="Arial"/>
          <w:sz w:val="16"/>
          <w:szCs w:val="16"/>
          <w:b w:val="1"/>
          <w:bCs w:val="1"/>
          <w:color w:val="auto"/>
        </w:rPr>
        <w:t>23. Entire Agreement</w:t>
      </w:r>
      <w:r>
        <w:rPr>
          <w:rFonts w:ascii="Arial" w:cs="Arial" w:eastAsia="Arial" w:hAnsi="Arial"/>
          <w:sz w:val="16"/>
          <w:szCs w:val="16"/>
          <w:color w:val="auto"/>
        </w:rPr>
        <w:t>. This Agreement constitutes the entire agreement between the parties hereto with respect to the subject matter 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supersedes all prior agreements and understandings, oral, written and implied, between the parties hereto with respect to the subject matter hereof;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this Agreement is a supplement to and in furtherance of the Company’s certificate of incorporation and bylaws and applicable law.</w:t>
      </w:r>
    </w:p>
    <w:p>
      <w:pPr>
        <w:spacing w:after="0" w:line="142" w:lineRule="exact"/>
        <w:rPr>
          <w:sz w:val="20"/>
          <w:szCs w:val="20"/>
          <w:color w:val="auto"/>
        </w:rPr>
      </w:pPr>
    </w:p>
    <w:p>
      <w:pPr>
        <w:jc w:val="both"/>
        <w:ind w:firstLine="360"/>
        <w:spacing w:after="0" w:line="303" w:lineRule="auto"/>
        <w:rPr>
          <w:sz w:val="20"/>
          <w:szCs w:val="20"/>
          <w:color w:val="auto"/>
        </w:rPr>
      </w:pPr>
      <w:r>
        <w:rPr>
          <w:rFonts w:ascii="Arial" w:cs="Arial" w:eastAsia="Arial" w:hAnsi="Arial"/>
          <w:sz w:val="16"/>
          <w:szCs w:val="16"/>
          <w:b w:val="1"/>
          <w:bCs w:val="1"/>
          <w:color w:val="auto"/>
        </w:rPr>
        <w:t>24. Modification and Waiver</w:t>
      </w:r>
      <w:r>
        <w:rPr>
          <w:rFonts w:ascii="Arial" w:cs="Arial" w:eastAsia="Arial" w:hAnsi="Arial"/>
          <w:sz w:val="16"/>
          <w:szCs w:val="16"/>
          <w:color w:val="auto"/>
        </w:rPr>
        <w:t>. No supplement, modification or amendment to this Agreement shall be binding unless executed in writing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hereto. No amendment, alteration or repeal of this Agreement shall adversely affect any right of Indemnitee under this Agreement in respect of any action taken or omitted by such Indemnitee in their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151"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7"/>
          <w:szCs w:val="17"/>
          <w:b w:val="1"/>
          <w:bCs w:val="1"/>
          <w:color w:val="auto"/>
        </w:rPr>
        <w:t>25. Notices</w:t>
      </w:r>
      <w:r>
        <w:rPr>
          <w:rFonts w:ascii="Arial" w:cs="Arial" w:eastAsia="Arial" w:hAnsi="Arial"/>
          <w:sz w:val="17"/>
          <w:szCs w:val="17"/>
          <w:color w:val="auto"/>
        </w:rPr>
        <w:t>. All notices and other communications required or permitted hereunder shall be in writing and shall be mailed by registered or certified</w:t>
      </w:r>
      <w:r>
        <w:rPr>
          <w:rFonts w:ascii="Arial" w:cs="Arial" w:eastAsia="Arial" w:hAnsi="Arial"/>
          <w:sz w:val="17"/>
          <w:szCs w:val="17"/>
          <w:b w:val="1"/>
          <w:bCs w:val="1"/>
          <w:color w:val="auto"/>
        </w:rPr>
        <w:t xml:space="preserve"> </w:t>
      </w:r>
      <w:r>
        <w:rPr>
          <w:rFonts w:ascii="Arial" w:cs="Arial" w:eastAsia="Arial" w:hAnsi="Arial"/>
          <w:sz w:val="17"/>
          <w:szCs w:val="17"/>
          <w:color w:val="auto"/>
        </w:rPr>
        <w:t>mail, postage prepaid, sent by facsimile or electronic mail or otherwise delivered by hand, messenger or courier service addressed:</w:t>
      </w:r>
    </w:p>
    <w:p>
      <w:pPr>
        <w:spacing w:after="0" w:line="140" w:lineRule="exact"/>
        <w:rPr>
          <w:sz w:val="20"/>
          <w:szCs w:val="20"/>
          <w:color w:val="auto"/>
        </w:rPr>
      </w:pPr>
    </w:p>
    <w:p>
      <w:pPr>
        <w:ind w:left="360" w:firstLine="360"/>
        <w:spacing w:after="0" w:line="282"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 if to Indemnitee, to Indemnitee’s address, facsimile number or electronic mail address as shown on the signature page of this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Company’s records, as may be updated in accordance with the provisions hereof; or</w:t>
      </w:r>
    </w:p>
    <w:p>
      <w:pPr>
        <w:spacing w:after="0" w:line="162" w:lineRule="exact"/>
        <w:rPr>
          <w:sz w:val="20"/>
          <w:szCs w:val="20"/>
          <w:color w:val="auto"/>
        </w:rPr>
      </w:pPr>
    </w:p>
    <w:p>
      <w:pPr>
        <w:ind w:left="360" w:right="20" w:firstLine="360"/>
        <w:spacing w:after="0" w:line="282"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 if to the Company, to 6272 W. 91st Avenue, Westminster, CO 80031, Attention: Chief Financial Officer or at such other current address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have furnished to Indemnitee.</w:t>
      </w:r>
    </w:p>
    <w:p>
      <w:pPr>
        <w:spacing w:after="0" w:line="166"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 xml:space="preserve">Each such notice or other communication shall for all purposes of this Agreement be treated as effective or having been given (i) if delivered by hand, messenger or courier service, when delivered (or if sent </w:t>
      </w:r>
      <w:r>
        <w:rPr>
          <w:rFonts w:ascii="Arial" w:cs="Arial" w:eastAsia="Arial" w:hAnsi="Arial"/>
          <w:sz w:val="16"/>
          <w:szCs w:val="16"/>
          <w:i w:val="1"/>
          <w:iCs w:val="1"/>
          <w:color w:val="auto"/>
        </w:rPr>
        <w:t>via</w:t>
      </w:r>
      <w:r>
        <w:rPr>
          <w:rFonts w:ascii="Arial" w:cs="Arial" w:eastAsia="Arial" w:hAnsi="Arial"/>
          <w:sz w:val="16"/>
          <w:szCs w:val="16"/>
          <w:color w:val="auto"/>
        </w:rPr>
        <w:t xml:space="preserve">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 upon confirmation of facsimile transfer or, if sent via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160"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b w:val="1"/>
          <w:bCs w:val="1"/>
          <w:color w:val="auto"/>
        </w:rPr>
        <w:t>26. Applicable Law and Consent to Jurisdiction</w:t>
      </w:r>
      <w:r>
        <w:rPr>
          <w:rFonts w:ascii="Arial" w:cs="Arial" w:eastAsia="Arial" w:hAnsi="Arial"/>
          <w:sz w:val="17"/>
          <w:szCs w:val="17"/>
          <w:color w:val="auto"/>
        </w:rPr>
        <w:t>. This Agreement shall be governed by, and construed and enforced in accordance with, the laws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State of Delaware, without regard to its conflict of laws rules. Except with respect to any arbitration commenced by Indemnitee pursuant to Section 11(a),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Corporation Service Company, at 251 Little Falls Dr., Wilmington, DE 19808,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2" w:name="page303"/>
    <w:bookmarkEnd w:id="302"/>
    <w:p>
      <w:pPr>
        <w:jc w:val="both"/>
        <w:ind w:firstLine="360"/>
        <w:spacing w:after="0" w:line="303" w:lineRule="auto"/>
        <w:rPr>
          <w:sz w:val="20"/>
          <w:szCs w:val="20"/>
          <w:color w:val="auto"/>
        </w:rPr>
      </w:pPr>
      <w:r>
        <w:rPr>
          <w:rFonts w:ascii="Arial" w:cs="Arial" w:eastAsia="Arial" w:hAnsi="Arial"/>
          <w:sz w:val="16"/>
          <w:szCs w:val="16"/>
          <w:b w:val="1"/>
          <w:bCs w:val="1"/>
          <w:color w:val="auto"/>
        </w:rPr>
        <w:t>27. Counterparts</w:t>
      </w:r>
      <w:r>
        <w:rPr>
          <w:rFonts w:ascii="Arial" w:cs="Arial" w:eastAsia="Arial" w:hAnsi="Arial"/>
          <w:sz w:val="16"/>
          <w:szCs w:val="16"/>
          <w:color w:val="auto"/>
        </w:rPr>
        <w:t>. This Agreement may be executed in two or more counterparts, each of which shall for all purposes be deemed to be an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51" w:lineRule="exact"/>
        <w:rPr>
          <w:sz w:val="20"/>
          <w:szCs w:val="20"/>
          <w:color w:val="auto"/>
        </w:rPr>
      </w:pPr>
    </w:p>
    <w:p>
      <w:pPr>
        <w:jc w:val="both"/>
        <w:ind w:right="20" w:firstLine="360"/>
        <w:spacing w:after="0" w:line="282" w:lineRule="auto"/>
        <w:rPr>
          <w:sz w:val="20"/>
          <w:szCs w:val="20"/>
          <w:color w:val="auto"/>
        </w:rPr>
      </w:pPr>
      <w:r>
        <w:rPr>
          <w:rFonts w:ascii="Arial" w:cs="Arial" w:eastAsia="Arial" w:hAnsi="Arial"/>
          <w:sz w:val="18"/>
          <w:szCs w:val="18"/>
          <w:b w:val="1"/>
          <w:bCs w:val="1"/>
          <w:color w:val="auto"/>
        </w:rPr>
        <w:t>28. Captions</w:t>
      </w:r>
      <w:r>
        <w:rPr>
          <w:rFonts w:ascii="Arial" w:cs="Arial" w:eastAsia="Arial" w:hAnsi="Arial"/>
          <w:sz w:val="18"/>
          <w:szCs w:val="18"/>
          <w:color w:val="auto"/>
        </w:rPr>
        <w:t>. The headings of the paragraphs of this Agreement are inserted for convenience only and shall not be deemed to constitute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to affect the construction thereof.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color w:val="auto"/>
        </w:rPr>
        <w:t>The parties are signing this Indemnification Agreement as of the date stated in the introductory sentence.</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TRISALUS LIFE SCIENCES, INC.</w:t>
      </w: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32061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320611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320611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INDEMNITEE</w:t>
      </w: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320611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320611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320611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3">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10.26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w:t>
      </w:r>
      <w:r>
        <w:rPr>
          <w:rFonts w:ascii="Arial" w:cs="Arial" w:eastAsia="Arial" w:hAnsi="Arial"/>
          <w:sz w:val="18"/>
          <w:szCs w:val="18"/>
          <w:b w:val="1"/>
          <w:bCs w:val="1"/>
          <w:color w:val="auto"/>
        </w:rPr>
        <w:t>S</w:t>
      </w:r>
      <w:r>
        <w:rPr>
          <w:rFonts w:ascii="Arial" w:cs="Arial" w:eastAsia="Arial" w:hAnsi="Arial"/>
          <w:sz w:val="12"/>
          <w:szCs w:val="12"/>
          <w:b w:val="1"/>
          <w:bCs w:val="1"/>
          <w:color w:val="auto"/>
        </w:rPr>
        <w:t>alus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w:t>
      </w:r>
      <w:r>
        <w:rPr>
          <w:rFonts w:ascii="Arial" w:cs="Arial" w:eastAsia="Arial" w:hAnsi="Arial"/>
          <w:sz w:val="18"/>
          <w:szCs w:val="18"/>
          <w:b w:val="1"/>
          <w:bCs w:val="1"/>
          <w:color w:val="auto"/>
        </w:rPr>
        <w:t>-E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olicy</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Each member of the Board of Directors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i w:val="1"/>
          <w:iCs w:val="1"/>
          <w:color w:val="auto"/>
        </w:rPr>
        <w:t>”</w:t>
      </w:r>
      <w:r>
        <w:rPr>
          <w:rFonts w:ascii="Arial" w:cs="Arial" w:eastAsia="Arial" w:hAnsi="Arial"/>
          <w:sz w:val="17"/>
          <w:szCs w:val="17"/>
          <w:color w:val="auto"/>
        </w:rPr>
        <w:t xml:space="preserve">) who is not also serving as an employee of or consultant to TriSalus Life Sciences, Inc.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i w:val="1"/>
          <w:iCs w:val="1"/>
          <w:color w:val="auto"/>
        </w:rPr>
        <w:t>”</w:t>
      </w:r>
      <w:r>
        <w:rPr>
          <w:rFonts w:ascii="Arial" w:cs="Arial" w:eastAsia="Arial" w:hAnsi="Arial"/>
          <w:sz w:val="17"/>
          <w:szCs w:val="17"/>
          <w:color w:val="auto"/>
        </w:rPr>
        <w:t>) or any of its subsidiaries (each such member, an</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Eligible Director</w:t>
      </w:r>
      <w:r>
        <w:rPr>
          <w:rFonts w:ascii="Arial" w:cs="Arial" w:eastAsia="Arial" w:hAnsi="Arial"/>
          <w:sz w:val="17"/>
          <w:szCs w:val="17"/>
          <w:i w:val="1"/>
          <w:iCs w:val="1"/>
          <w:color w:val="auto"/>
        </w:rPr>
        <w:t>”</w:t>
      </w:r>
      <w:r>
        <w:rPr>
          <w:rFonts w:ascii="Arial" w:cs="Arial" w:eastAsia="Arial" w:hAnsi="Arial"/>
          <w:sz w:val="17"/>
          <w:szCs w:val="17"/>
          <w:color w:val="auto"/>
        </w:rPr>
        <w:t>) will receive the compensation described in this Non-Employee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Policy (this “</w:t>
      </w:r>
      <w:r>
        <w:rPr>
          <w:rFonts w:ascii="Arial" w:cs="Arial" w:eastAsia="Arial" w:hAnsi="Arial"/>
          <w:sz w:val="17"/>
          <w:szCs w:val="17"/>
          <w:b w:val="1"/>
          <w:bCs w:val="1"/>
          <w:i w:val="1"/>
          <w:iCs w:val="1"/>
          <w:color w:val="auto"/>
        </w:rPr>
        <w:t>Policy</w:t>
      </w:r>
      <w:r>
        <w:rPr>
          <w:rFonts w:ascii="Arial" w:cs="Arial" w:eastAsia="Arial" w:hAnsi="Arial"/>
          <w:sz w:val="17"/>
          <w:szCs w:val="17"/>
          <w:color w:val="auto"/>
        </w:rPr>
        <w:t>”) for his or her Board service on and following the Effective Date (as defined below). An Eligible Director may decline all or any portion of his or her compensation by giving notice to the Company prior to the date cash may be paid or equity awards are to be granted, as the case may be. This Policy is effective as of the Effective Date and may be amended at any time in the sole discretion of the Board or the Compensation Committee of the Board (the “</w:t>
      </w: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For purposes of this Policy,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shall mean the date on which the closing of the transactions contemplated by the Agreement and Plan of Merger, dated as of November 11, 2022 and as amended, among the Company (formerly known as MedTech Acquisition Corporation), MTAC Merger Sub, Inc. and TriSalus Operating Life Sciences, Inc. (formerly known as TriSalus Life Sciences, Inc.) (the “</w:t>
      </w:r>
      <w:r>
        <w:rPr>
          <w:rFonts w:ascii="Arial" w:cs="Arial" w:eastAsia="Arial" w:hAnsi="Arial"/>
          <w:sz w:val="17"/>
          <w:szCs w:val="17"/>
          <w:b w:val="1"/>
          <w:bCs w:val="1"/>
          <w:i w:val="1"/>
          <w:iCs w:val="1"/>
          <w:color w:val="auto"/>
        </w:rPr>
        <w:t>SPAC Merger</w:t>
      </w:r>
      <w:r>
        <w:rPr>
          <w:rFonts w:ascii="Arial" w:cs="Arial" w:eastAsia="Arial" w:hAnsi="Arial"/>
          <w:sz w:val="17"/>
          <w:szCs w:val="17"/>
          <w:color w:val="auto"/>
        </w:rPr>
        <w:t>”) occurs.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fees are vested upon payment.</w:t>
      </w:r>
    </w:p>
    <w:p>
      <w:pPr>
        <w:spacing w:after="0" w:line="188" w:lineRule="exact"/>
        <w:rPr>
          <w:sz w:val="20"/>
          <w:szCs w:val="20"/>
          <w:color w:val="auto"/>
        </w:rPr>
      </w:pPr>
    </w:p>
    <w:p>
      <w:pPr>
        <w:ind w:left="660" w:hanging="652"/>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Annual Board Service Retainer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All Eligible Directors: $50,000</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Chairman of the Board Service Retainer (in addition to Eligible Director Service Retainer): $30,000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Annual Committee Member Service Retainer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Member of the Sciences &amp; Technology Committee: $7,500</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Member of the Audit Committee: $7,500</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Member of the Compensation Committee: $7,500</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Member of the Nominating &amp; Governance Committee: $7,500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Annual Committee Chair Service Retainer (in lieu of Committee Member Service Retainer)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Chairman of the Sciences &amp; Technology Committee: $25,000</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Chairman of the Audit Committee: $20,000</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Chairman of the Compensation Committee: $15,000</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Chairman of the Nominating &amp; Governance Committee: $15,000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color w:val="auto"/>
        </w:rPr>
        <w:t>Equity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equity compensation set forth below will be granted under the TriSalus Life Sciences, Inc. 2023 Equity Incentive Plan as may be amended from time to time, or any successor plan thereto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i w:val="1"/>
          <w:iCs w:val="1"/>
          <w:color w:val="auto"/>
        </w:rPr>
        <w:t>”</w:t>
      </w:r>
      <w:r>
        <w:rPr>
          <w:rFonts w:ascii="Arial" w:cs="Arial" w:eastAsia="Arial" w:hAnsi="Arial"/>
          <w:sz w:val="18"/>
          <w:szCs w:val="18"/>
          <w:color w:val="auto"/>
        </w:rPr>
        <w:t>), subject to the stockholders’ approval of the Plan. All stock options granted under this Policy will be nonstatutory stock options, with an exercise price per share equal to 100% of the Fair Market Value (as defined in the Plan) of the underlying Common Stock (as defined in the Plan) on the date of grant, and a term of ten years from the date of grant (subject to earlier termination in connection with a termination of service as provided in the Plan).</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1.             </w:t>
      </w:r>
      <w:r>
        <w:rPr>
          <w:rFonts w:ascii="Arial" w:cs="Arial" w:eastAsia="Arial" w:hAnsi="Arial"/>
          <w:sz w:val="16"/>
          <w:szCs w:val="16"/>
          <w:u w:val="single" w:color="auto"/>
          <w:color w:val="auto"/>
        </w:rPr>
        <w:t>SPAC Merger Grant</w:t>
      </w:r>
      <w:r>
        <w:rPr>
          <w:rFonts w:ascii="Arial" w:cs="Arial" w:eastAsia="Arial" w:hAnsi="Arial"/>
          <w:sz w:val="16"/>
          <w:szCs w:val="16"/>
          <w:color w:val="auto"/>
        </w:rPr>
        <w:t>: On the Effective Date (or if such date is not a market trading day, the first market trading day thereafter), each Eligible Director serving on the Board as of immediately following the closing of the SPAC Merger, will be automatically, and without further action by the Board or Compensation Committee, granted a stock option for 35,000 shares (“</w:t>
      </w:r>
      <w:r>
        <w:rPr>
          <w:rFonts w:ascii="Arial" w:cs="Arial" w:eastAsia="Arial" w:hAnsi="Arial"/>
          <w:sz w:val="16"/>
          <w:szCs w:val="16"/>
          <w:b w:val="1"/>
          <w:bCs w:val="1"/>
          <w:i w:val="1"/>
          <w:iCs w:val="1"/>
          <w:color w:val="auto"/>
        </w:rPr>
        <w:t>SPAC Merger Grant</w:t>
      </w:r>
      <w:r>
        <w:rPr>
          <w:rFonts w:ascii="Arial" w:cs="Arial" w:eastAsia="Arial" w:hAnsi="Arial"/>
          <w:sz w:val="16"/>
          <w:szCs w:val="16"/>
          <w:color w:val="auto"/>
        </w:rPr>
        <w:t>”). The shares subject to each SPAC Merger Grant will vest in equal annual installments over a three-year period such that the option is fully vested on the third anniversary of the date of grant, subject to the Eligible Director’s Continuous Service (as defined in the Plan) through each such vesting date and will vest in full upon a Change in Control (as defined in the Plan)</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             </w:t>
      </w:r>
      <w:r>
        <w:rPr>
          <w:rFonts w:ascii="Arial" w:cs="Arial" w:eastAsia="Arial" w:hAnsi="Arial"/>
          <w:sz w:val="18"/>
          <w:szCs w:val="18"/>
          <w:u w:val="single" w:color="auto"/>
          <w:color w:val="auto"/>
        </w:rPr>
        <w:t>Initial Grant</w:t>
      </w:r>
      <w:r>
        <w:rPr>
          <w:rFonts w:ascii="Arial" w:cs="Arial" w:eastAsia="Arial" w:hAnsi="Arial"/>
          <w:sz w:val="18"/>
          <w:szCs w:val="18"/>
          <w:color w:val="auto"/>
        </w:rPr>
        <w:t>: On the date of the Eligible Director’s initial election or appointment to the Board (or, if such date is not a market trading day, the first market trading day thereafter), for each Eligible Director who is first elected or appointed to the Board after the Effective Date, the Eligible Director will be automatically, and without further action by the Board or Compensation Committee, granted a stock option for 35,000 shares (“</w:t>
      </w:r>
      <w:r>
        <w:rPr>
          <w:rFonts w:ascii="Arial" w:cs="Arial" w:eastAsia="Arial" w:hAnsi="Arial"/>
          <w:sz w:val="18"/>
          <w:szCs w:val="18"/>
          <w:b w:val="1"/>
          <w:bCs w:val="1"/>
          <w:i w:val="1"/>
          <w:iCs w:val="1"/>
          <w:color w:val="auto"/>
        </w:rPr>
        <w:t>Initial Grant</w:t>
      </w:r>
      <w:r>
        <w:rPr>
          <w:rFonts w:ascii="Arial" w:cs="Arial" w:eastAsia="Arial" w:hAnsi="Arial"/>
          <w:sz w:val="18"/>
          <w:szCs w:val="18"/>
          <w:color w:val="auto"/>
        </w:rPr>
        <w:t>”). The shares subject to each Initial Grant will vest in equal annual installments over a three-year period such that the option is fully vested on the third anniversary of the date of grant, subject to the Eligible Director’s Continuous Service (as defined in the Plan) through each such vesting date and will vest in full upon a Change in Control (as defined in the Plan).</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3.             </w:t>
      </w:r>
      <w:r>
        <w:rPr>
          <w:rFonts w:ascii="Arial" w:cs="Arial" w:eastAsia="Arial" w:hAnsi="Arial"/>
          <w:sz w:val="17"/>
          <w:szCs w:val="17"/>
          <w:u w:val="single" w:color="auto"/>
          <w:color w:val="auto"/>
        </w:rPr>
        <w:t>Annual Grant</w:t>
      </w:r>
      <w:r>
        <w:rPr>
          <w:rFonts w:ascii="Arial" w:cs="Arial" w:eastAsia="Arial" w:hAnsi="Arial"/>
          <w:sz w:val="17"/>
          <w:szCs w:val="17"/>
          <w:color w:val="auto"/>
        </w:rPr>
        <w:t>: On the date of each annual stockholder meeting held after the Effective Date, for each Eligible Director who continues to serve as a non-employee member of the Board (or who is first elected or appointed to the Board at such annual stockholder meeting), the Eligible Director will be automatically, and without further action by the Board or Compensation Committee, granted a stock option for 15,000 shares (the “</w:t>
      </w:r>
      <w:r>
        <w:rPr>
          <w:rFonts w:ascii="Arial" w:cs="Arial" w:eastAsia="Arial" w:hAnsi="Arial"/>
          <w:sz w:val="17"/>
          <w:szCs w:val="17"/>
          <w:b w:val="1"/>
          <w:bCs w:val="1"/>
          <w:i w:val="1"/>
          <w:iCs w:val="1"/>
          <w:color w:val="auto"/>
        </w:rPr>
        <w:t>Annual Grant</w:t>
      </w:r>
      <w:r>
        <w:rPr>
          <w:rFonts w:ascii="Arial" w:cs="Arial" w:eastAsia="Arial" w:hAnsi="Arial"/>
          <w:sz w:val="17"/>
          <w:szCs w:val="17"/>
          <w:color w:val="auto"/>
        </w:rPr>
        <w:t>”). In addition, each Eligible Director who is first elected or appointed to the Board following the first annual stockholder meeting held after the Effective Date and other than at an annual stockholder meeting will be automatically, and without further action by the Board or Compensation Committee, granted an Annual Grant, pro-rated for the number of months remaining until the next annual stockholder meeting. The shares subject to the Annual Grant will vest on the one-year anniversary of the date of grant, provided that the Annual Grant will in any case be fully vested on the date of the Company’s next annual stockholder meeting, subject to the Eligible Director’s Continuous Service (as defined in the Plan) through such vesting date and will vest in full upon a Change in Control (as defined in the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color w:val="auto"/>
        </w:rPr>
        <w:t>Non-Employee Director Compensation Limit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 foregoing, the aggregate value of all compensation granted or paid, as applicable, to an Eligible Director shall in no event exceed the limits set forth in Section 3(d) of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Ability to Decline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Eligible Director may decline all or any portion of his or her compensation by giving notice to the Company prior to the date cash may be paid or equity awards are to be granted, as the case may be.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will reimburse Eligible Directors for ordinary, necessary and reasonable out-of-pocket travel expenses to cover in-person attendance at and participation in Board and committee meetings; provided, that the Eligible Director timely submit to the Company appropriate documentation substantiating such expenses in accordance with the Company’s travel and expense policy, as in effect from time to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Approved by the Board of Directors: August 10,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August 10, 2023</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7" w:name="page308"/>
    <w:bookmarkEnd w:id="307"/>
    <w:p>
      <w:pPr>
        <w:jc w:val="right"/>
        <w:spacing w:after="0"/>
        <w:rPr>
          <w:sz w:val="20"/>
          <w:szCs w:val="20"/>
          <w:color w:val="auto"/>
        </w:rPr>
      </w:pPr>
      <w:r>
        <w:rPr>
          <w:rFonts w:ascii="Arial" w:cs="Arial" w:eastAsia="Arial" w:hAnsi="Arial"/>
          <w:sz w:val="22"/>
          <w:szCs w:val="22"/>
          <w:b w:val="1"/>
          <w:bCs w:val="1"/>
          <w:color w:val="auto"/>
        </w:rPr>
        <w:t>Exhibit 16.1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August 16,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read the statements made by TriSalus Life Sciences, Inc. (“TriSalus”) included under Item 4.01 of its Form 8-K dated August 16, 2023. We agree with the statements concerning our Firm under Item 4.01, in which we were informed of our dismissal on August 10, 2023. We are not in a position to agree or disagree with other statements contained therein.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8" w:name="page309"/>
    <w:bookmarkEnd w:id="308"/>
    <w:p>
      <w:pPr>
        <w:jc w:val="right"/>
        <w:spacing w:after="0"/>
        <w:rPr>
          <w:sz w:val="20"/>
          <w:szCs w:val="20"/>
          <w:color w:val="auto"/>
        </w:rPr>
      </w:pPr>
      <w:r>
        <w:rPr>
          <w:rFonts w:ascii="Arial" w:cs="Arial" w:eastAsia="Arial" w:hAnsi="Arial"/>
          <w:sz w:val="22"/>
          <w:szCs w:val="22"/>
          <w:b w:val="1"/>
          <w:bCs w:val="1"/>
          <w:color w:val="auto"/>
        </w:rPr>
        <w:t>Exhibit 21.1</w:t>
      </w:r>
    </w:p>
    <w:p>
      <w:pPr>
        <w:spacing w:after="0" w:line="246" w:lineRule="exact"/>
        <w:rPr>
          <w:sz w:val="20"/>
          <w:szCs w:val="20"/>
          <w:color w:val="auto"/>
        </w:rPr>
      </w:pPr>
    </w:p>
    <w:p>
      <w:pPr>
        <w:ind w:left="2868"/>
        <w:spacing w:after="0"/>
        <w:rPr>
          <w:sz w:val="20"/>
          <w:szCs w:val="20"/>
          <w:color w:val="auto"/>
        </w:rPr>
      </w:pPr>
      <w:r>
        <w:rPr>
          <w:rFonts w:ascii="Arial" w:cs="Arial" w:eastAsia="Arial" w:hAnsi="Arial"/>
          <w:sz w:val="18"/>
          <w:szCs w:val="18"/>
          <w:color w:val="auto"/>
        </w:rPr>
        <w:t>LIST OF SUBSIDIARIES OF TRISALUS LIFE SCIENCES,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8" w:hanging="328"/>
        <w:spacing w:after="0"/>
        <w:tabs>
          <w:tab w:leader="none" w:pos="32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TriSalus Operating Life 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460375</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355" w:right="339"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280"/>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22"/>
                <w:szCs w:val="22"/>
                <w:b w:val="1"/>
                <w:bCs w:val="1"/>
                <w:color w:val="auto"/>
                <w:w w:val="99"/>
              </w:rPr>
              <w:t>Exhibit 99.1</w:t>
            </w:r>
          </w:p>
        </w:tc>
      </w:tr>
      <w:tr>
        <w:trPr>
          <w:trHeight w:val="449"/>
        </w:trPr>
        <w:tc>
          <w:tcPr>
            <w:tcW w:w="8100" w:type="dxa"/>
            <w:vAlign w:val="bottom"/>
          </w:tcPr>
          <w:p>
            <w:pPr>
              <w:jc w:val="center"/>
              <w:ind w:left="3070"/>
              <w:spacing w:after="0"/>
              <w:rPr>
                <w:sz w:val="20"/>
                <w:szCs w:val="20"/>
                <w:color w:val="auto"/>
              </w:rPr>
            </w:pPr>
            <w:r>
              <w:rPr>
                <w:rFonts w:ascii="Arial" w:cs="Arial" w:eastAsia="Arial" w:hAnsi="Arial"/>
                <w:sz w:val="18"/>
                <w:szCs w:val="18"/>
                <w:b w:val="1"/>
                <w:bCs w:val="1"/>
                <w:color w:val="auto"/>
              </w:rPr>
              <w:t>TRISALUS LIFE SCIENCES, INC.</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100" w:type="dxa"/>
            <w:vAlign w:val="bottom"/>
          </w:tcPr>
          <w:p>
            <w:pPr>
              <w:jc w:val="center"/>
              <w:ind w:left="30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88"/>
              </w:rPr>
              <w:t>(unaudited, in thousands except share and per share data)</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541"/>
              <w:spacing w:after="0"/>
              <w:rPr>
                <w:sz w:val="20"/>
                <w:szCs w:val="20"/>
                <w:color w:val="auto"/>
              </w:rPr>
            </w:pPr>
            <w:r>
              <w:rPr>
                <w:rFonts w:ascii="Arial" w:cs="Arial" w:eastAsia="Arial" w:hAnsi="Arial"/>
                <w:sz w:val="18"/>
                <w:szCs w:val="18"/>
                <w:b w:val="1"/>
                <w:bCs w:val="1"/>
                <w:color w:val="auto"/>
                <w:w w:val="99"/>
              </w:rPr>
              <w:t>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8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49"/>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100" w:type="dxa"/>
            <w:vAlign w:val="bottom"/>
            <w:shd w:val="clear" w:color="auto" w:fill="CCEEFF"/>
          </w:tcPr>
          <w:p>
            <w:pPr>
              <w:ind w:left="38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3,904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8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2,094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1,557</w:t>
            </w:r>
          </w:p>
        </w:tc>
        <w:tc>
          <w:tcPr>
            <w:tcW w:w="8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net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80" w:type="dxa"/>
            <w:vAlign w:val="bottom"/>
            <w:shd w:val="clear" w:color="auto" w:fill="CCEEFF"/>
          </w:tcPr>
          <w:p>
            <w:pPr>
              <w:spacing w:after="0"/>
              <w:rPr>
                <w:sz w:val="18"/>
                <w:szCs w:val="18"/>
                <w:color w:val="auto"/>
              </w:rPr>
            </w:pPr>
          </w:p>
        </w:tc>
      </w:tr>
      <w:tr>
        <w:trPr>
          <w:trHeight w:val="230"/>
        </w:trPr>
        <w:tc>
          <w:tcPr>
            <w:tcW w:w="810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4,859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4,772</w:t>
            </w:r>
          </w:p>
        </w:tc>
        <w:tc>
          <w:tcPr>
            <w:tcW w:w="80" w:type="dxa"/>
            <w:vAlign w:val="bottom"/>
          </w:tcPr>
          <w:p>
            <w:pPr>
              <w:spacing w:after="0"/>
              <w:rPr>
                <w:sz w:val="19"/>
                <w:szCs w:val="19"/>
                <w:color w:val="auto"/>
              </w:rPr>
            </w:pPr>
          </w:p>
        </w:tc>
      </w:tr>
      <w:tr>
        <w:trPr>
          <w:trHeight w:val="209"/>
        </w:trPr>
        <w:tc>
          <w:tcPr>
            <w:tcW w:w="81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1,885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2,231</w:t>
            </w:r>
          </w:p>
        </w:tc>
        <w:tc>
          <w:tcPr>
            <w:tcW w:w="8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8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858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18"/>
                <w:szCs w:val="18"/>
                <w:color w:val="auto"/>
              </w:rPr>
            </w:pPr>
          </w:p>
        </w:tc>
      </w:tr>
      <w:tr>
        <w:trPr>
          <w:trHeight w:val="22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19"/>
                <w:szCs w:val="19"/>
                <w:color w:val="auto"/>
              </w:rPr>
            </w:pPr>
          </w:p>
        </w:tc>
      </w:tr>
      <w:tr>
        <w:trPr>
          <w:trHeight w:val="263"/>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16,811</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8100" w:type="dxa"/>
            <w:vAlign w:val="bottom"/>
            <w:shd w:val="clear" w:color="auto" w:fill="CCEEFF"/>
          </w:tcPr>
          <w:p>
            <w:pPr>
              <w:ind w:left="1540"/>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payables</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4,297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8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9,106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6,377</w:t>
            </w:r>
          </w:p>
        </w:tc>
        <w:tc>
          <w:tcPr>
            <w:tcW w:w="8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B-2 tranche liabilities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8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Series B-3 warrant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17,190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15,819</w:t>
            </w:r>
          </w:p>
        </w:tc>
        <w:tc>
          <w:tcPr>
            <w:tcW w:w="8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lease liabilities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8"/>
                <w:szCs w:val="18"/>
                <w:color w:val="auto"/>
              </w:rPr>
            </w:pPr>
          </w:p>
        </w:tc>
      </w:tr>
      <w:tr>
        <w:trPr>
          <w:trHeight w:val="230"/>
        </w:trPr>
        <w:tc>
          <w:tcPr>
            <w:tcW w:w="810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r>
      <w:tr>
        <w:trPr>
          <w:trHeight w:val="210"/>
        </w:trPr>
        <w:tc>
          <w:tcPr>
            <w:tcW w:w="81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100" w:type="dxa"/>
            <w:vAlign w:val="bottom"/>
          </w:tcPr>
          <w:p>
            <w:pPr>
              <w:spacing w:after="0"/>
              <w:rPr>
                <w:sz w:val="20"/>
                <w:szCs w:val="20"/>
                <w:color w:val="auto"/>
              </w:rPr>
            </w:pPr>
            <w:r>
              <w:rPr>
                <w:rFonts w:ascii="Arial" w:cs="Arial" w:eastAsia="Arial" w:hAnsi="Arial"/>
                <w:sz w:val="18"/>
                <w:szCs w:val="18"/>
                <w:color w:val="auto"/>
              </w:rPr>
              <w:t>Long-term lease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9"/>
                <w:szCs w:val="19"/>
                <w:color w:val="auto"/>
              </w:rPr>
            </w:pPr>
          </w:p>
        </w:tc>
      </w:tr>
      <w:tr>
        <w:trPr>
          <w:trHeight w:val="210"/>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33,861</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181,313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164,006</w:t>
            </w:r>
          </w:p>
        </w:tc>
        <w:tc>
          <w:tcPr>
            <w:tcW w:w="8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100" w:type="dxa"/>
            <w:vAlign w:val="bottom"/>
          </w:tcPr>
          <w:p>
            <w:pPr>
              <w:ind w:left="180"/>
              <w:spacing w:after="0" w:line="201" w:lineRule="exact"/>
              <w:rPr>
                <w:sz w:val="20"/>
                <w:szCs w:val="20"/>
                <w:color w:val="auto"/>
              </w:rPr>
            </w:pPr>
            <w:r>
              <w:rPr>
                <w:rFonts w:ascii="Arial" w:cs="Arial" w:eastAsia="Arial" w:hAnsi="Arial"/>
                <w:sz w:val="18"/>
                <w:szCs w:val="18"/>
                <w:color w:val="auto"/>
                <w:w w:val="98"/>
              </w:rPr>
              <w:t>Common stock, $0.001 par value per share. Authorized 1,250,000,000 shares at June 30, 2023, and</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100" w:type="dxa"/>
            <w:vAlign w:val="bottom"/>
          </w:tcPr>
          <w:p>
            <w:pPr>
              <w:ind w:left="340"/>
              <w:spacing w:after="0"/>
              <w:rPr>
                <w:sz w:val="20"/>
                <w:szCs w:val="20"/>
                <w:color w:val="auto"/>
              </w:rPr>
            </w:pPr>
            <w:r>
              <w:rPr>
                <w:rFonts w:ascii="Arial" w:cs="Arial" w:eastAsia="Arial" w:hAnsi="Arial"/>
                <w:sz w:val="18"/>
                <w:szCs w:val="18"/>
                <w:color w:val="auto"/>
                <w:w w:val="91"/>
              </w:rPr>
              <w:t>December 31, 2022, respectively; issued and outstanding, 18,138,685 and 14,075,524 shares at June 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100" w:type="dxa"/>
            <w:vAlign w:val="bottom"/>
          </w:tcPr>
          <w:p>
            <w:pPr>
              <w:ind w:left="340"/>
              <w:spacing w:after="0"/>
              <w:rPr>
                <w:sz w:val="20"/>
                <w:szCs w:val="20"/>
                <w:color w:val="auto"/>
              </w:rPr>
            </w:pPr>
            <w:r>
              <w:rPr>
                <w:rFonts w:ascii="Arial" w:cs="Arial" w:eastAsia="Arial" w:hAnsi="Arial"/>
                <w:sz w:val="18"/>
                <w:szCs w:val="18"/>
                <w:color w:val="auto"/>
              </w:rPr>
              <w:t>2023, and December 31, 2022, respectively</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13,200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80" w:type="dxa"/>
            <w:vAlign w:val="bottom"/>
            <w:shd w:val="clear" w:color="auto" w:fill="CCEEFF"/>
          </w:tcPr>
          <w:p>
            <w:pPr>
              <w:spacing w:after="0"/>
              <w:rPr>
                <w:sz w:val="18"/>
                <w:szCs w:val="18"/>
                <w:color w:val="auto"/>
              </w:rPr>
            </w:pP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(211,581)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(186,358)</w:t>
            </w:r>
          </w:p>
        </w:tc>
      </w:tr>
      <w:tr>
        <w:trPr>
          <w:trHeight w:val="210"/>
        </w:trPr>
        <w:tc>
          <w:tcPr>
            <w:tcW w:w="81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deficit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(198,363</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(176,329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8100" w:type="dxa"/>
            <w:vAlign w:val="bottom"/>
          </w:tcPr>
          <w:p>
            <w:pPr>
              <w:ind w:left="34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0" w:name="page311"/>
    <w:bookmarkEnd w:id="310"/>
    <w:p>
      <w:pPr>
        <w:jc w:val="center"/>
        <w:spacing w:after="0"/>
        <w:rPr>
          <w:sz w:val="20"/>
          <w:szCs w:val="20"/>
          <w:color w:val="auto"/>
        </w:rPr>
      </w:pPr>
      <w:r>
        <w:rPr>
          <w:rFonts w:ascii="Arial" w:cs="Arial" w:eastAsia="Arial" w:hAnsi="Arial"/>
          <w:sz w:val="18"/>
          <w:szCs w:val="18"/>
          <w:b w:val="1"/>
          <w:bCs w:val="1"/>
          <w:color w:val="auto"/>
        </w:rPr>
        <w:t>TRISALUS LIFE 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6"/>
          </w:tcPr>
          <w:p>
            <w:pPr>
              <w:jc w:val="right"/>
              <w:ind w:right="341"/>
              <w:spacing w:after="0"/>
              <w:rPr>
                <w:sz w:val="20"/>
                <w:szCs w:val="20"/>
                <w:color w:val="auto"/>
              </w:rPr>
            </w:pPr>
            <w:r>
              <w:rPr>
                <w:rFonts w:ascii="Arial" w:cs="Arial" w:eastAsia="Arial" w:hAnsi="Arial"/>
                <w:sz w:val="18"/>
                <w:szCs w:val="18"/>
                <w:b w:val="1"/>
                <w:bCs w:val="1"/>
                <w:color w:val="auto"/>
                <w:w w:val="91"/>
              </w:rPr>
              <w:t>Three Months Ended June 30,</w:t>
            </w:r>
          </w:p>
        </w:tc>
        <w:tc>
          <w:tcPr>
            <w:tcW w:w="180" w:type="dxa"/>
            <w:vAlign w:val="bottom"/>
          </w:tcPr>
          <w:p>
            <w:pPr>
              <w:spacing w:after="0"/>
              <w:rPr>
                <w:sz w:val="20"/>
                <w:szCs w:val="20"/>
                <w:color w:val="auto"/>
              </w:rPr>
            </w:pPr>
          </w:p>
        </w:tc>
        <w:tc>
          <w:tcPr>
            <w:tcW w:w="2600" w:type="dxa"/>
            <w:vAlign w:val="bottom"/>
            <w:gridSpan w:val="6"/>
          </w:tcPr>
          <w:p>
            <w:pPr>
              <w:jc w:val="right"/>
              <w:ind w:right="321"/>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3"/>
        </w:trPr>
        <w:tc>
          <w:tcPr>
            <w:tcW w:w="51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100" w:type="dxa"/>
            <w:vAlign w:val="bottom"/>
            <w:shd w:val="clear" w:color="auto" w:fill="CCEEFF"/>
          </w:tcPr>
          <w:p>
            <w:pPr>
              <w:spacing w:after="0"/>
              <w:rPr>
                <w:sz w:val="18"/>
                <w:szCs w:val="18"/>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1,434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741</w:t>
            </w:r>
          </w:p>
        </w:tc>
      </w:tr>
      <w:tr>
        <w:trPr>
          <w:trHeight w:val="210"/>
        </w:trPr>
        <w:tc>
          <w:tcPr>
            <w:tcW w:w="5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5,516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12,504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10,283</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3,492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3,146</w:t>
            </w:r>
          </w:p>
        </w:tc>
        <w:tc>
          <w:tcPr>
            <w:tcW w:w="18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6,741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5,851</w:t>
            </w: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2,517</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8,472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4,929</w:t>
            </w:r>
          </w:p>
        </w:tc>
      </w:tr>
      <w:tr>
        <w:trPr>
          <w:trHeight w:val="209"/>
        </w:trPr>
        <w:tc>
          <w:tcPr>
            <w:tcW w:w="5180" w:type="dxa"/>
            <w:vAlign w:val="bottom"/>
          </w:tcPr>
          <w:p>
            <w:pPr>
              <w:ind w:left="34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(8,665)</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(16,556)</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Loss on equity issuance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Change in fair value of tranche and warrant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3,491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 net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5180" w:type="dxa"/>
            <w:vAlign w:val="bottom"/>
          </w:tcPr>
          <w:p>
            <w:pPr>
              <w:ind w:left="34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(8,676)</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(16,549)</w:t>
            </w:r>
          </w:p>
        </w:tc>
        <w:tc>
          <w:tcPr>
            <w:tcW w:w="100" w:type="dxa"/>
            <w:vAlign w:val="bottom"/>
          </w:tcPr>
          <w:p>
            <w:pPr>
              <w:spacing w:after="0"/>
              <w:rPr>
                <w:sz w:val="18"/>
                <w:szCs w:val="18"/>
                <w:color w:val="auto"/>
              </w:rPr>
            </w:pPr>
          </w:p>
        </w:tc>
      </w:tr>
      <w:tr>
        <w:trPr>
          <w:trHeight w:val="22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5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loss available to common stockholders</w:t>
            </w:r>
          </w:p>
        </w:tc>
        <w:tc>
          <w:tcPr>
            <w:tcW w:w="3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(13,974</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(8,679</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(22,242</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55"/>
        </w:trPr>
        <w:tc>
          <w:tcPr>
            <w:tcW w:w="518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Deemed dividend related to Series B-2 preferred stock down round</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44"/>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provision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(2,022)</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(2,981)</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63"/>
        </w:trPr>
        <w:tc>
          <w:tcPr>
            <w:tcW w:w="5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(15,996</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(8,679</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(25,223</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
              <w:spacing w:after="0" w:line="196" w:lineRule="exact"/>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1"/>
              <w:spacing w:after="0" w:line="196" w:lineRule="exact"/>
              <w:rPr>
                <w:sz w:val="20"/>
                <w:szCs w:val="20"/>
                <w:color w:val="auto"/>
              </w:rPr>
            </w:pPr>
            <w:r>
              <w:rPr>
                <w:rFonts w:ascii="Arial" w:cs="Arial" w:eastAsia="Arial" w:hAnsi="Arial"/>
                <w:sz w:val="18"/>
                <w:szCs w:val="18"/>
                <w:color w:val="auto"/>
              </w:rPr>
              <w:t>(0.75)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w w:val="98"/>
              </w:rPr>
              <w:t>Weighted average common shares outstanding, basic and diluted</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18,056,822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12,272,254</w:t>
            </w:r>
          </w:p>
        </w:tc>
        <w:tc>
          <w:tcPr>
            <w:tcW w:w="180" w:type="dxa"/>
            <w:vAlign w:val="bottom"/>
          </w:tcPr>
          <w:p>
            <w:pPr>
              <w:spacing w:after="0"/>
              <w:rPr>
                <w:sz w:val="20"/>
                <w:szCs w:val="20"/>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17,068,505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11,890,802</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8"/>
          <w:szCs w:val="18"/>
          <w:b w:val="1"/>
          <w:bCs w:val="1"/>
          <w:color w:val="auto"/>
        </w:rPr>
        <w:t>TRISALUS LIFE 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10"/>
          </w:tcPr>
          <w:p>
            <w:pPr>
              <w:jc w:val="right"/>
              <w:ind w:right="921"/>
              <w:spacing w:after="0"/>
              <w:rPr>
                <w:sz w:val="20"/>
                <w:szCs w:val="20"/>
                <w:color w:val="auto"/>
              </w:rPr>
            </w:pPr>
            <w:r>
              <w:rPr>
                <w:rFonts w:ascii="Arial" w:cs="Arial" w:eastAsia="Arial" w:hAnsi="Arial"/>
                <w:sz w:val="18"/>
                <w:szCs w:val="18"/>
                <w:b w:val="1"/>
                <w:bCs w:val="1"/>
                <w:color w:val="auto"/>
              </w:rPr>
              <w:t>Six months ended June 30, 2022</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80" w:type="dxa"/>
            <w:vAlign w:val="bottom"/>
          </w:tcPr>
          <w:p>
            <w:pPr>
              <w:spacing w:after="0"/>
              <w:rPr>
                <w:sz w:val="19"/>
                <w:szCs w:val="19"/>
                <w:color w:val="auto"/>
              </w:rPr>
            </w:pPr>
          </w:p>
        </w:tc>
        <w:tc>
          <w:tcPr>
            <w:tcW w:w="24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Additional</w:t>
            </w:r>
          </w:p>
        </w:tc>
        <w:tc>
          <w:tcPr>
            <w:tcW w:w="100" w:type="dxa"/>
            <w:vAlign w:val="bottom"/>
          </w:tcPr>
          <w:p>
            <w:pPr>
              <w:spacing w:after="0"/>
              <w:rPr>
                <w:sz w:val="19"/>
                <w:szCs w:val="19"/>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08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paid-in capital</w:t>
            </w:r>
          </w:p>
        </w:tc>
        <w:tc>
          <w:tcPr>
            <w:tcW w:w="100" w:type="dxa"/>
            <w:vAlign w:val="bottom"/>
          </w:tcPr>
          <w:p>
            <w:pPr>
              <w:spacing w:after="0"/>
              <w:rPr>
                <w:sz w:val="19"/>
                <w:szCs w:val="19"/>
                <w:color w:val="auto"/>
              </w:rPr>
            </w:pPr>
          </w:p>
        </w:tc>
        <w:tc>
          <w:tcPr>
            <w:tcW w:w="126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Total</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10,719,806</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1,401,250</w:t>
            </w:r>
          </w:p>
        </w:tc>
        <w:tc>
          <w:tcPr>
            <w:tcW w:w="10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61</w:t>
            </w: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w:t>
            </w:r>
          </w:p>
        </w:tc>
      </w:tr>
      <w:tr>
        <w:trPr>
          <w:trHeight w:val="229"/>
        </w:trPr>
        <w:tc>
          <w:tcPr>
            <w:tcW w:w="40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0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1"/>
              <w:spacing w:after="0"/>
              <w:rPr>
                <w:sz w:val="20"/>
                <w:szCs w:val="20"/>
                <w:color w:val="auto"/>
              </w:rPr>
            </w:pPr>
            <w:r>
              <w:rPr>
                <w:rFonts w:ascii="Arial" w:cs="Arial" w:eastAsia="Arial" w:hAnsi="Arial"/>
                <w:sz w:val="18"/>
                <w:szCs w:val="18"/>
                <w:color w:val="auto"/>
              </w:rPr>
              <w:t>(7,873)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(7,873)</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March 31,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12,121,056</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(144,215</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(137,354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408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240" w:type="dxa"/>
            <w:vAlign w:val="bottom"/>
          </w:tcPr>
          <w:p>
            <w:pPr>
              <w:jc w:val="right"/>
              <w:spacing w:after="0"/>
              <w:rPr>
                <w:sz w:val="20"/>
                <w:szCs w:val="20"/>
                <w:color w:val="auto"/>
              </w:rPr>
            </w:pPr>
            <w:r>
              <w:rPr>
                <w:rFonts w:ascii="Arial" w:cs="Arial" w:eastAsia="Arial" w:hAnsi="Arial"/>
                <w:sz w:val="18"/>
                <w:szCs w:val="18"/>
                <w:color w:val="auto"/>
              </w:rPr>
              <w:t>379,989</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w:t>
            </w: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1"/>
              <w:spacing w:after="0"/>
              <w:rPr>
                <w:sz w:val="20"/>
                <w:szCs w:val="20"/>
                <w:color w:val="auto"/>
              </w:rPr>
            </w:pPr>
            <w:r>
              <w:rPr>
                <w:rFonts w:ascii="Arial" w:cs="Arial" w:eastAsia="Arial" w:hAnsi="Arial"/>
                <w:sz w:val="18"/>
                <w:szCs w:val="18"/>
                <w:color w:val="auto"/>
              </w:rPr>
              <w:t>(8,679)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(8,679)</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June 30,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12,501,045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(152,894</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10"/>
          </w:tcPr>
          <w:p>
            <w:pPr>
              <w:jc w:val="right"/>
              <w:ind w:right="921"/>
              <w:spacing w:after="0"/>
              <w:rPr>
                <w:sz w:val="20"/>
                <w:szCs w:val="20"/>
                <w:color w:val="auto"/>
              </w:rPr>
            </w:pPr>
            <w:r>
              <w:rPr>
                <w:rFonts w:ascii="Arial" w:cs="Arial" w:eastAsia="Arial" w:hAnsi="Arial"/>
                <w:sz w:val="18"/>
                <w:szCs w:val="18"/>
                <w:b w:val="1"/>
                <w:bCs w:val="1"/>
                <w:color w:val="auto"/>
              </w:rPr>
              <w:t>Six months ended June 30, 2023</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80" w:type="dxa"/>
            <w:vAlign w:val="bottom"/>
          </w:tcPr>
          <w:p>
            <w:pPr>
              <w:spacing w:after="0"/>
              <w:rPr>
                <w:sz w:val="19"/>
                <w:szCs w:val="19"/>
                <w:color w:val="auto"/>
              </w:rPr>
            </w:pPr>
          </w:p>
        </w:tc>
        <w:tc>
          <w:tcPr>
            <w:tcW w:w="24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Additional</w:t>
            </w:r>
          </w:p>
        </w:tc>
        <w:tc>
          <w:tcPr>
            <w:tcW w:w="100" w:type="dxa"/>
            <w:vAlign w:val="bottom"/>
          </w:tcPr>
          <w:p>
            <w:pPr>
              <w:spacing w:after="0"/>
              <w:rPr>
                <w:sz w:val="19"/>
                <w:szCs w:val="19"/>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08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paid-in capital</w:t>
            </w:r>
          </w:p>
        </w:tc>
        <w:tc>
          <w:tcPr>
            <w:tcW w:w="100" w:type="dxa"/>
            <w:vAlign w:val="bottom"/>
          </w:tcPr>
          <w:p>
            <w:pPr>
              <w:spacing w:after="0"/>
              <w:rPr>
                <w:sz w:val="19"/>
                <w:szCs w:val="19"/>
                <w:color w:val="auto"/>
              </w:rPr>
            </w:pPr>
          </w:p>
        </w:tc>
        <w:tc>
          <w:tcPr>
            <w:tcW w:w="126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Total</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December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14,075,524</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(186,358)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3,877,352</w:t>
            </w:r>
          </w:p>
        </w:tc>
        <w:tc>
          <w:tcPr>
            <w:tcW w:w="10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50</w:t>
            </w: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w:t>
            </w: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Deemed dividend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Arial" w:cs="Arial" w:eastAsia="Arial" w:hAnsi="Arial"/>
                <w:sz w:val="18"/>
                <w:szCs w:val="18"/>
                <w:color w:val="auto"/>
              </w:rPr>
              <w:t>(959)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(8,268)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(8,268)</w:t>
            </w:r>
          </w:p>
        </w:tc>
      </w:tr>
      <w:tr>
        <w:trPr>
          <w:trHeight w:val="210"/>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At March 31, 2023</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17,952,876</w:t>
            </w:r>
          </w:p>
        </w:tc>
        <w:tc>
          <w:tcPr>
            <w:tcW w:w="2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11,093</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(195,585</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(184,474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options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185,809</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69</w:t>
            </w: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Deemed dividend</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1"/>
              <w:spacing w:after="0"/>
              <w:rPr>
                <w:sz w:val="20"/>
                <w:szCs w:val="20"/>
                <w:color w:val="auto"/>
              </w:rPr>
            </w:pPr>
            <w:r>
              <w:rPr>
                <w:rFonts w:ascii="Arial" w:cs="Arial" w:eastAsia="Arial" w:hAnsi="Arial"/>
                <w:sz w:val="18"/>
                <w:szCs w:val="18"/>
                <w:color w:val="auto"/>
              </w:rPr>
              <w:t>(13,974)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(13,974)</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June 30, 2023</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18,138,685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(211,581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(198,363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234"/>
        </w:trPr>
        <w:tc>
          <w:tcPr>
            <w:tcW w:w="8020" w:type="dxa"/>
            <w:vAlign w:val="bottom"/>
          </w:tcPr>
          <w:p>
            <w:pPr>
              <w:jc w:val="center"/>
              <w:ind w:left="3150"/>
              <w:spacing w:after="0"/>
              <w:rPr>
                <w:sz w:val="20"/>
                <w:szCs w:val="20"/>
                <w:color w:val="auto"/>
              </w:rPr>
            </w:pPr>
            <w:r>
              <w:rPr>
                <w:rFonts w:ascii="Arial" w:cs="Arial" w:eastAsia="Arial" w:hAnsi="Arial"/>
                <w:sz w:val="18"/>
                <w:szCs w:val="18"/>
                <w:b w:val="1"/>
                <w:bCs w:val="1"/>
                <w:color w:val="auto"/>
              </w:rPr>
              <w:t>TRISALUS LIFE SCIENCES, INC.</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20" w:type="dxa"/>
            <w:vAlign w:val="bottom"/>
          </w:tcPr>
          <w:p>
            <w:pPr>
              <w:jc w:val="center"/>
              <w:ind w:left="313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020" w:type="dxa"/>
            <w:vAlign w:val="bottom"/>
          </w:tcPr>
          <w:p>
            <w:pPr>
              <w:jc w:val="center"/>
              <w:ind w:left="3130"/>
              <w:spacing w:after="0"/>
              <w:rPr>
                <w:sz w:val="20"/>
                <w:szCs w:val="20"/>
                <w:color w:val="auto"/>
              </w:rPr>
            </w:pPr>
            <w:r>
              <w:rPr>
                <w:rFonts w:ascii="Arial" w:cs="Arial" w:eastAsia="Arial" w:hAnsi="Arial"/>
                <w:sz w:val="18"/>
                <w:szCs w:val="18"/>
                <w:b w:val="1"/>
                <w:bCs w:val="1"/>
                <w:color w:val="auto"/>
                <w:w w:val="89"/>
              </w:rPr>
              <w:t>(unaudited, in thousands)</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6"/>
          </w:tcPr>
          <w:p>
            <w:pPr>
              <w:jc w:val="right"/>
              <w:ind w:right="321"/>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3"/>
        </w:trPr>
        <w:tc>
          <w:tcPr>
            <w:tcW w:w="80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Net loss available to common stockholders</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(22,242)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(16,552)</w:t>
            </w: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281</w:t>
            </w:r>
          </w:p>
        </w:tc>
      </w:tr>
      <w:tr>
        <w:trPr>
          <w:trHeight w:val="216"/>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fair value adjustment of warrants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(3,491)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020" w:type="dxa"/>
            <w:vAlign w:val="bottom"/>
          </w:tcPr>
          <w:p>
            <w:pPr>
              <w:ind w:left="340"/>
              <w:spacing w:after="0"/>
              <w:rPr>
                <w:sz w:val="20"/>
                <w:szCs w:val="20"/>
                <w:color w:val="auto"/>
              </w:rPr>
            </w:pPr>
            <w:r>
              <w:rPr>
                <w:rFonts w:ascii="Arial" w:cs="Arial" w:eastAsia="Arial" w:hAnsi="Arial"/>
                <w:sz w:val="18"/>
                <w:szCs w:val="18"/>
                <w:color w:val="auto"/>
              </w:rPr>
              <w:t>Non-cash interest expense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197</w:t>
            </w:r>
          </w:p>
        </w:tc>
      </w:tr>
      <w:tr>
        <w:trPr>
          <w:trHeight w:val="216"/>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equity issuance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132</w:t>
            </w:r>
          </w:p>
        </w:tc>
      </w:tr>
      <w:tr>
        <w:trPr>
          <w:trHeight w:val="216"/>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disposal of fixed assets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w:t>
            </w:r>
          </w:p>
        </w:tc>
      </w:tr>
      <w:tr>
        <w:trPr>
          <w:trHeight w:val="216"/>
        </w:trPr>
        <w:tc>
          <w:tcPr>
            <w:tcW w:w="80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802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w:t>
            </w:r>
          </w:p>
        </w:tc>
      </w:tr>
      <w:tr>
        <w:trPr>
          <w:trHeight w:val="216"/>
        </w:trPr>
        <w:tc>
          <w:tcPr>
            <w:tcW w:w="8020" w:type="dxa"/>
            <w:vAlign w:val="bottom"/>
          </w:tcPr>
          <w:p>
            <w:pPr>
              <w:ind w:left="500"/>
              <w:spacing w:after="0"/>
              <w:rPr>
                <w:sz w:val="20"/>
                <w:szCs w:val="20"/>
                <w:color w:val="auto"/>
              </w:rPr>
            </w:pPr>
            <w:r>
              <w:rPr>
                <w:rFonts w:ascii="Arial" w:cs="Arial" w:eastAsia="Arial" w:hAnsi="Arial"/>
                <w:sz w:val="18"/>
                <w:szCs w:val="18"/>
                <w:color w:val="auto"/>
              </w:rPr>
              <w:t>ROU assets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Trade payables, accrued expenses and other liabilities</w:t>
            </w: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(1,116)</w:t>
            </w:r>
          </w:p>
        </w:tc>
      </w:tr>
      <w:tr>
        <w:trPr>
          <w:trHeight w:val="209"/>
        </w:trPr>
        <w:tc>
          <w:tcPr>
            <w:tcW w:w="80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(19,739</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(18,686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intellectual property and licenses</w:t>
            </w: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80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Proceeds from the issuance of preferred stock</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9,184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3,499</w:t>
            </w: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preferred stock warrants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5,126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Payments on finance lease liabilities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proceeds from the exercise of stock options and warrants for common stock</w:t>
            </w: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66</w:t>
            </w:r>
          </w:p>
        </w:tc>
      </w:tr>
      <w:tr>
        <w:trPr>
          <w:trHeight w:val="210"/>
        </w:trPr>
        <w:tc>
          <w:tcPr>
            <w:tcW w:w="80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3,562</w:t>
            </w:r>
          </w:p>
        </w:tc>
        <w:tc>
          <w:tcPr>
            <w:tcW w:w="100" w:type="dxa"/>
            <w:vAlign w:val="bottom"/>
            <w:tcBorders>
              <w:bottom w:val="single" w:sz="8" w:color="CCEEFF"/>
            </w:tcBorders>
          </w:tcPr>
          <w:p>
            <w:pPr>
              <w:spacing w:after="0"/>
              <w:rPr>
                <w:sz w:val="18"/>
                <w:szCs w:val="18"/>
                <w:color w:val="auto"/>
              </w:rPr>
            </w:pPr>
          </w:p>
        </w:tc>
      </w:tr>
      <w:tr>
        <w:trPr>
          <w:trHeight w:val="209"/>
        </w:trPr>
        <w:tc>
          <w:tcPr>
            <w:tcW w:w="8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Decrease in cash, cash equivalents and restricted cash</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(15,545)</w:t>
            </w:r>
          </w:p>
        </w:tc>
        <w:tc>
          <w:tcPr>
            <w:tcW w:w="100" w:type="dxa"/>
            <w:vAlign w:val="bottom"/>
            <w:shd w:val="clear" w:color="auto" w:fill="CCEEFF"/>
          </w:tcPr>
          <w:p>
            <w:pPr>
              <w:spacing w:after="0"/>
              <w:rPr>
                <w:sz w:val="18"/>
                <w:szCs w:val="18"/>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9,664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30,301</w:t>
            </w:r>
          </w:p>
        </w:tc>
      </w:tr>
      <w:tr>
        <w:trPr>
          <w:trHeight w:val="223"/>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3" w:name="page314"/>
    <w:bookmarkEnd w:id="313"/>
    <w:p>
      <w:pPr>
        <w:jc w:val="center"/>
        <w:ind w:right="-19"/>
        <w:spacing w:after="0"/>
        <w:rPr>
          <w:sz w:val="20"/>
          <w:szCs w:val="20"/>
          <w:color w:val="auto"/>
        </w:rPr>
      </w:pPr>
      <w:r>
        <w:rPr>
          <w:rFonts w:ascii="Arial" w:cs="Arial" w:eastAsia="Arial" w:hAnsi="Arial"/>
          <w:sz w:val="18"/>
          <w:szCs w:val="18"/>
          <w:b w:val="1"/>
          <w:bCs w:val="1"/>
          <w:color w:val="auto"/>
        </w:rPr>
        <w:t>TriSalus Life Sciences,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TriSalus Life Sciences, Inc. (the “Company,” “we,” “us”), a Delaware corporation, was incorporated in 2009 as Surefire Medical, Inc. We began doing business as TriSalus Life Sciences (“TriSalus”) in 2018, and changed our name to TriSalus Life Sciences, Inc. in August 2021. We are engaged in the research, development, and sales of innovative drug delivery technology and immune-oncology therapeutics to improve outcomes in difficult to treat liver and pancreatic cancer. Our technology is utilized in the delivery of our therapeutics and administered by interventional radiologists. We are developing and marketing two product lines — Pressure Enabled Drug Delivery (“PEDD™) infusion systems, in use today, and an investigational agent, SD-101, which shows potential to enhance immune system response in the treatment of hepatocellular cancer, pancreatic cancer and other liver solid tumors. Our PEDD with SmartValve™ is the only technology designed to work in synchrony with the cardiac cycle to open collapsed vessels in the tumor to enable deeper perfusion and improve therapeutic drug delivery in tumors with high intratumoral pressure. PEDD with SmartValve has been shown in prospective and retrospective clinical studies and in multiple pre-clinical models to improve therapy uptake and tumor response.</w:t>
      </w:r>
    </w:p>
    <w:p>
      <w:pPr>
        <w:spacing w:after="0" w:line="16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TriNav™ is the newest therapy delivery device with SmartValve technology for the proprietary PEDD approach. Current sales consist of the TriNav Infusion System, introduced in 2020, and a family of related guiding catheters. In 2020, we gained transitional pass-through payments (“TPT”) approval from the Centers for Medicare &amp; Medicaid Services (“CMS”), which allows hospitals to cover the cost of using TriNav. The approval is scheduled to expire at the end of 2023. On June 1, 2023, TriSalus applied for a new technology Ambulatory Payment Classifications ("APC") code with CMS and met with them on June 26, 2023, to review the application. If granted, the new technology APC code would allow for continuing reimbursement for the TriNav device at similar reimbursement rates for the period beginning January 1, 2024, but there can be no assurance that such code will be granted or that continuing reimbursement will be available at similar reimbursement rates, or at all.</w:t>
      </w:r>
    </w:p>
    <w:p>
      <w:pPr>
        <w:spacing w:after="0" w:line="17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believe the full potential of our technology can be realized through the combination of our drug delivery technology with immune-oncology drugs, so, in July 2020, we acquired our first immune-oncology drug, SD-101, and began clinical development of SD-101 for treatment of liver and pancreatic cancers.</w:t>
      </w:r>
    </w:p>
    <w:p>
      <w:pPr>
        <w:spacing w:after="0" w:line="18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funded operations to date principally with proceeds from the sale of preferred stock and from the issuance of debt and convertible debt. Since inception of the Company in 2009 through June 30, 2023, we have issued for cash $122,980 of preferred stock, which, along with $523 from common stock and $57,466 from convertible notes and warrants, has funded our accumulated deficit of $211,581. During the six months ended June 30, 2023, we raised $9,183 in cash through the issuance of Series B-2 preferred stock, $5,127 in cash through the issuance of Series B-3 preferred stock, and $66 from the exercise of stock options.</w:t>
      </w:r>
    </w:p>
    <w:p>
      <w:pPr>
        <w:spacing w:after="0" w:line="18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As of June 30, 2023, we had cash and cash equivalents of $3,904. The Company is still in its early stage, has yet to generate revenues sufficient to create positive cash flow and has an accumulated deficit of $211,581 as of June 30, 2023. We are currently undergoing a strategic transformation from a company focused solely on the sale of our infusion systems to a therapeutics company whereby our medical devices will be marketed alongside the pharmaceutical drugs and other treatments that the devices deliver to patients. This transformation requires that we restructure our operating infrastructure, resulting in an increase in operating expenses — including the development of a candidate pharmaceutical — that, in the short term, will not be fully offset by increased revenues. We expect that, absent the plans described below, cash on hand will last into the third quarter of 2023.</w:t>
      </w:r>
    </w:p>
    <w:p>
      <w:pPr>
        <w:spacing w:after="0" w:line="16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In accordance with ASC Topic 205-40, </w:t>
      </w:r>
      <w:r>
        <w:rPr>
          <w:rFonts w:ascii="Arial" w:cs="Arial" w:eastAsia="Arial" w:hAnsi="Arial"/>
          <w:sz w:val="16"/>
          <w:szCs w:val="16"/>
          <w:i w:val="1"/>
          <w:iCs w:val="1"/>
          <w:color w:val="auto"/>
        </w:rPr>
        <w:t>Presentation of Financial Statements, Going Concern: Disclosure of Uncertainties about an Entity’s Ability to</w:t>
      </w:r>
      <w:r>
        <w:rPr>
          <w:rFonts w:ascii="Arial" w:cs="Arial" w:eastAsia="Arial" w:hAnsi="Arial"/>
          <w:sz w:val="16"/>
          <w:szCs w:val="16"/>
          <w:color w:val="auto"/>
        </w:rPr>
        <w:t xml:space="preserve"> </w:t>
      </w:r>
      <w:r>
        <w:rPr>
          <w:rFonts w:ascii="Arial" w:cs="Arial" w:eastAsia="Arial" w:hAnsi="Arial"/>
          <w:sz w:val="16"/>
          <w:szCs w:val="16"/>
          <w:i w:val="1"/>
          <w:iCs w:val="1"/>
          <w:color w:val="auto"/>
        </w:rPr>
        <w:t>Continue as a Going Concern</w:t>
      </w:r>
      <w:r>
        <w:rPr>
          <w:rFonts w:ascii="Arial" w:cs="Arial" w:eastAsia="Arial" w:hAnsi="Arial"/>
          <w:sz w:val="16"/>
          <w:szCs w:val="16"/>
          <w:color w:val="auto"/>
        </w:rPr>
        <w:t>, we are required to evaluate whether there is substantial doubt about our ability to continue as a going concern each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evaluating our ability to continue as a going concern, management projected our cash flow sources and needs and evaluated the conditions and events have raised substantial doubt about our ability to continue as a going concern within one year after the date that these consolidated financial statements were issued. Management’s plans to address the conditions and events have considered our current projections of future cash flows, current financial condition, sources of liquidity and debt obligations for at least one year from the date of issuance of these consolidated financial statements in considering whether we have the ability to fund future operations and meet our obligations as they become due in the normal course of business.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14" w:name="page315"/>
    <w:bookmarkEnd w:id="314"/>
    <w:p>
      <w:pPr>
        <w:ind w:right="40" w:firstLine="324"/>
        <w:spacing w:after="0" w:line="255" w:lineRule="auto"/>
        <w:rPr>
          <w:sz w:val="20"/>
          <w:szCs w:val="20"/>
          <w:color w:val="auto"/>
        </w:rPr>
      </w:pPr>
      <w:r>
        <w:rPr>
          <w:rFonts w:ascii="Arial" w:cs="Arial" w:eastAsia="Arial" w:hAnsi="Arial"/>
          <w:sz w:val="18"/>
          <w:szCs w:val="18"/>
          <w:color w:val="auto"/>
        </w:rPr>
        <w:t>Our ability to fund future operations and to continue the execution of our long-term business plan and strategy, including our transformation into a therapeutics company, will require that we raise additional capital through the issuance of additional equity and/or long-term debt. There can be no assurance that we will be able to raise such additional financing or, if available, that such financing can be obtained on satisfactory terms. If adequate capital resources are not available on a timely basis, we intend to consider limiting our operations substantially. This limitation of operations could include a hiring freeze, reductions in our workforce, reduction in cash compensation, deferring clinical trials and capital expenditures, and reducing other operating costs.</w:t>
      </w:r>
    </w:p>
    <w:p>
      <w:pPr>
        <w:spacing w:after="0" w:line="1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current operating plan, which is in part determined based on our most recent results and trends, along with the items noted above, causes substantial doubt to exist about our ability to continue as a going concern and management’s plans do not alleviate the existence of substantial doubt. Our financial statements have been prepared assuming we will continue as a going concern, which contemplates the continuity of normal business activities and realization of assets and settlement of liabilities in the normal course of business, and do not include any adjustments that might be necessary should we be unable to continue as a going concern.</w:t>
      </w:r>
    </w:p>
    <w:p>
      <w:pPr>
        <w:spacing w:after="0" w:line="18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are subject to various risks and uncertainties frequently encountered by companies in the early stages of growth, particularly companies in the rapidly evolving market for medical technology-based and pharmaceutical products and services. Such risks and uncertainties include, but are not limited to, a limited operating history, need for additional capital, a volatile business and technological environment, the process to test and obtain approval to market the candidate pharmaceutical, an evolving business model, and demand for our products. To address these risks, we must, among other things, gain access to capital in amounts and on acceptable terms, maintain and increase our customer base, implement and successfully execute our business strategy, develop the candidate pharmaceutical, continue to enhance our technology, provide superior customer service, and attract, retain, and motivate qualified personnel. There can be no guarantee that we will be successful in addressing such risks.</w:t>
      </w:r>
    </w:p>
    <w:p>
      <w:pPr>
        <w:spacing w:after="0" w:line="17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August 10, 2023, we completed the Business Combination with MedTech Acquisition Corporation, in which we received $42,854, less expenses of the Business Combination of $6,050.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accompanying interim unaudited condensed consolidated financial statements have been prepared in accordance with the rules and regulations of the United States Securities and Exchange Commission (“SEC”). The interim unaudited condensed consolidated financial statements are comprised of the financial statements of the Company. In management’s opinion, the interim financial data presented includes all adjustments necessary for a fair presentation. All intercompany accounts and transactions have been eliminated. Certain information required by U.S. generally accepted accounting principles (“GAAP”) has been condensed or omitted in accordance with rules and regulations of the SEC. Operating results for the six months ended June 30, 2023, are not necessarily indicative of the results that may be expected for any future period or for the year ending December 31, 2023. The accompanying Unaudited Condensed Financial Statements should be read in conjunction with the audited Consolidated Financial Statements included elsewhere in this registration statement/prospectus.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Cash, Cash Equivalents and Restricted Cash</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consider all highly liquid investments with original maturities of three months or less at time of purchase to be cash equivalents. We invest excess cash primarily in money market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preparation of the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significantly from those estimates. The most significant estimates relate to the valuation of warrant and tranche liabilities, and the valuation allowance on deferred tax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w:t>
      </w:r>
    </w:p>
    <w:p>
      <w:pPr>
        <w:spacing w:after="0" w:line="229"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Our financial instruments consist of cash, accounts receivable, accounts payable, and warrants to purchase preferred stock. The carrying values of these financial instruments (other than warrants and tranche liabilities, which are held at fair value) approximate fair value at June 30, 2023, and December 31, 2022. In general, asset and liability fair values are determined using the following categories: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Inputs utilize quoted prices in active markets for identical assets or liabilities.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15" w:name="page316"/>
    <w:bookmarkEnd w:id="315"/>
    <w:p>
      <w:pPr>
        <w:ind w:right="100" w:firstLine="324"/>
        <w:spacing w:after="0" w:line="277" w:lineRule="auto"/>
        <w:rPr>
          <w:sz w:val="20"/>
          <w:szCs w:val="20"/>
          <w:color w:val="auto"/>
        </w:rPr>
      </w:pPr>
      <w:r>
        <w:rPr>
          <w:rFonts w:ascii="Arial" w:cs="Arial" w:eastAsia="Arial" w:hAnsi="Arial"/>
          <w:sz w:val="18"/>
          <w:szCs w:val="18"/>
          <w:color w:val="auto"/>
        </w:rPr>
        <w:t>Level 2 — Inputs include quoted prices for similar assets or liabilities in active markets, and inputs other than quoted prices that are observable for the asset or liability, either directly or indirectly.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Level 3 — Inputs are unobservable inputs and include situations where there is little, if any, market activity for the balance sheet items at period end.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Pricing inputs are unobservable for the terms and are based on the Company’s own assumptions about the assumptions that a market participant would use.</w:t>
      </w:r>
    </w:p>
    <w:p>
      <w:pPr>
        <w:spacing w:after="0" w:line="23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warrants and tranche liabilities are measured at fair value on a recurring basis. The carrying amount of outstanding warrant liabilities was $17,452 and $16,188 at June 30, 2023, and December 31, 2022, respectively. The carrying amount of outstanding tranche liabilities was $959 and $4,702 at June 30, 2023, and December 31, 2022, respectively. These carrying values represent the remeasurement to fair value each reporting period based on unobservable inputs, or Level 3 inputs, using assumptions made by us, including the probabilities assigned to the status quo scenario and the potential closing of the Business Combination (see Note 11) scenario, the value of the Series B-3 warrants upon closing of the Business Combination, the fair value of the Company, the fair value of the underlying preferred stock, the Company’s volatility, discount rate, and expected term of the related instrument. See Note 8 for further discussion. These assumptions require significant judgment on the part of management and actual outcomes may materially differ from those estimated by management.</w:t>
      </w:r>
    </w:p>
    <w:p>
      <w:pPr>
        <w:spacing w:after="0" w:line="19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March 2023, we sold shares of Series B-2 preferred stock with accompanying warrants to purchase Series B-3 preferred stock as part of the Second Tranche Closings (see Note 8). At issuance, the warrants issued to purchase Series B-3 preferred stock had a fair value of $4,654 and have been classified as a liability. The issuance of the Series B-2 preferred stock and accompanying warrants to purchase Series B-3 preferred stock as part of the Second Tranche Closings resulted in a $584 loss on equity issuance.</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June 2023, we sold shares of Series B-2 preferred stock with accompanying warrants to purchase Series B-3 preferred stock as part of the Second Tranche Closings (see Note 8). At issuance, the warrants issued to purchase Series B-3 preferred stock had a fair value of $10,047 and have been classified as a liability. The issuance of the Series B-2 preferred stock and accompanying warrants to purchase Series B-3 preferred stock as part of the Second Tranche Closings resulted in a $3,605 loss on equity issuance.</w:t>
      </w:r>
    </w:p>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tables summarize the changes in fair value of our outstanding warrant and tranche liabilities in the six months ended June 30,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Fair Value at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Change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Net Transfer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 at</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4"/>
              </w:rPr>
              <w:t>Issuances</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In (Out)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(Gains) 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(Settlements)</w:t>
            </w: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tcBorders>
            <w:shd w:val="clear" w:color="auto" w:fill="CCEEFF"/>
          </w:tcPr>
          <w:p>
            <w:pPr>
              <w:spacing w:after="0"/>
              <w:rPr>
                <w:sz w:val="18"/>
                <w:szCs w:val="18"/>
                <w:color w:val="auto"/>
              </w:rPr>
            </w:pPr>
          </w:p>
        </w:tc>
      </w:tr>
      <w:tr>
        <w:trPr>
          <w:trHeight w:val="414"/>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Fair Value at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Change in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Net Transfer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 at</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4"/>
              </w:rPr>
              <w:t>Issuances</w:t>
            </w:r>
          </w:p>
        </w:tc>
        <w:tc>
          <w:tcPr>
            <w:tcW w:w="10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In (Out)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(Gains) Losses</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(Settlements)</w:t>
            </w:r>
          </w:p>
        </w:tc>
        <w:tc>
          <w:tcPr>
            <w:tcW w:w="4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 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Borders>
              <w:bottom w:val="single" w:sz="8" w:color="CCEEFF"/>
            </w:tcBorders>
          </w:tcPr>
          <w:p>
            <w:pPr>
              <w:spacing w:after="0"/>
              <w:rPr>
                <w:sz w:val="20"/>
                <w:szCs w:val="20"/>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r>
      <w:tr>
        <w:trPr>
          <w:trHeight w:val="257"/>
        </w:trPr>
        <w:tc>
          <w:tcPr>
            <w:tcW w:w="3840" w:type="dxa"/>
            <w:vAlign w:val="bottom"/>
            <w:gridSpan w:val="2"/>
          </w:tcPr>
          <w:p>
            <w:pPr>
              <w:spacing w:after="0"/>
              <w:rPr>
                <w:sz w:val="20"/>
                <w:szCs w:val="20"/>
                <w:color w:val="auto"/>
              </w:rPr>
            </w:pPr>
            <w:r>
              <w:rPr>
                <w:rFonts w:ascii="Arial" w:cs="Arial" w:eastAsia="Arial" w:hAnsi="Arial"/>
                <w:sz w:val="18"/>
                <w:szCs w:val="18"/>
                <w:color w:val="auto"/>
              </w:rPr>
              <w:t>Series B-2 tranche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4,702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(2,241)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(1,502)</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r>
      <w:tr>
        <w:trPr>
          <w:trHeight w:val="25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B-3 warrant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line="256" w:lineRule="exact"/>
              <w:rPr>
                <w:sz w:val="20"/>
                <w:szCs w:val="20"/>
                <w:color w:val="auto"/>
              </w:rPr>
            </w:pPr>
            <w:r>
              <w:rPr>
                <w:rFonts w:ascii="Arial" w:cs="Arial" w:eastAsia="Arial" w:hAnsi="Arial"/>
                <w:sz w:val="18"/>
                <w:szCs w:val="18"/>
                <w:color w:val="auto"/>
              </w:rPr>
              <w:t xml:space="preserve">2,619 </w:t>
            </w:r>
            <w:r>
              <w:rPr>
                <w:rFonts w:ascii="Arial" w:cs="Arial" w:eastAsia="Arial" w:hAnsi="Arial"/>
                <w:sz w:val="29"/>
                <w:szCs w:val="29"/>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17,190</w:t>
            </w:r>
          </w:p>
        </w:tc>
      </w:tr>
    </w:tbl>
    <w:p>
      <w:pPr>
        <w:spacing w:after="0" w:line="202" w:lineRule="exact"/>
        <w:rPr>
          <w:sz w:val="20"/>
          <w:szCs w:val="20"/>
          <w:color w:val="auto"/>
        </w:rPr>
      </w:pPr>
    </w:p>
    <w:p>
      <w:pPr>
        <w:ind w:left="340" w:hanging="332"/>
        <w:spacing w:after="0"/>
        <w:tabs>
          <w:tab w:leader="none" w:pos="3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This amount includes the gain on extinguishment of the tranche liabilities.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This amount includes settlements of $12,082, transferred to convertible preferred stock, offset by issuances of $14,701</w:t>
      </w:r>
    </w:p>
    <w:p>
      <w:pPr>
        <w:spacing w:after="0" w:line="207" w:lineRule="exact"/>
        <w:rPr>
          <w:sz w:val="20"/>
          <w:szCs w:val="20"/>
          <w:color w:val="auto"/>
        </w:rPr>
      </w:pPr>
    </w:p>
    <w:p>
      <w:pPr>
        <w:ind w:left="340" w:hanging="332"/>
        <w:spacing w:after="0"/>
        <w:tabs>
          <w:tab w:leader="none" w:pos="34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restricted cash</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Cash, cash equivalents and restricted cash, as presented in the Condensed Consolidated Statements of Cash Flows,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June 30,</w:t>
            </w: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4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100" w:type="dxa"/>
            <w:vAlign w:val="bottom"/>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Restricted cash (included in Other assets)</w:t>
            </w:r>
          </w:p>
        </w:tc>
        <w:tc>
          <w:tcPr>
            <w:tcW w:w="1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 shown in the Consolidated Statements of Cash Flows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cash is $250 held by our bank to support our corporate credit card program.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6" w:name="page317"/>
    <w:bookmarkEnd w:id="316"/>
    <w:p>
      <w:pPr>
        <w:ind w:left="340" w:hanging="332"/>
        <w:spacing w:after="0"/>
        <w:tabs>
          <w:tab w:leader="none" w:pos="34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inventory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June 30,</w:t>
            </w: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4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r>
      <w:tr>
        <w:trPr>
          <w:trHeight w:val="223"/>
        </w:trPr>
        <w:tc>
          <w:tcPr>
            <w:tcW w:w="8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Finished goods amounts include a reserve for excess or obsolete inventory of $43 as of June 30, 2023 and December 31, 2022.</w:t>
      </w:r>
    </w:p>
    <w:p>
      <w:pPr>
        <w:spacing w:after="0" w:line="221" w:lineRule="exact"/>
        <w:rPr>
          <w:sz w:val="20"/>
          <w:szCs w:val="20"/>
          <w:color w:val="auto"/>
        </w:rPr>
      </w:pPr>
    </w:p>
    <w:p>
      <w:pPr>
        <w:ind w:left="340" w:hanging="332"/>
        <w:spacing w:after="0"/>
        <w:tabs>
          <w:tab w:leader="none" w:pos="34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June 30,</w:t>
            </w: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880" w:type="dxa"/>
            <w:vAlign w:val="bottom"/>
            <w:tcBorders>
              <w:bottom w:val="single" w:sz="8" w:color="CCEEFF"/>
            </w:tcBorders>
          </w:tcPr>
          <w:p>
            <w:pPr>
              <w:spacing w:after="0"/>
              <w:rPr>
                <w:sz w:val="20"/>
                <w:szCs w:val="20"/>
                <w:color w:val="auto"/>
              </w:rPr>
            </w:pPr>
          </w:p>
        </w:tc>
        <w:tc>
          <w:tcPr>
            <w:tcW w:w="35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Accrued bonus</w:t>
            </w:r>
          </w:p>
        </w:tc>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2,896</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Accrued payroll</w:t>
            </w:r>
          </w:p>
        </w:tc>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r>
      <w:tr>
        <w:trPr>
          <w:trHeight w:val="223"/>
        </w:trPr>
        <w:tc>
          <w:tcPr>
            <w:tcW w:w="4880" w:type="dxa"/>
            <w:vAlign w:val="bottom"/>
            <w:tcBorders>
              <w:top w:val="single" w:sz="8" w:color="CCEEFF"/>
              <w:bottom w:val="single" w:sz="8" w:color="CCEEFF"/>
            </w:tcBorders>
            <w:shd w:val="clear" w:color="auto" w:fill="CCEEFF"/>
          </w:tcPr>
          <w:p>
            <w:pPr>
              <w:spacing w:after="0"/>
              <w:rPr>
                <w:sz w:val="19"/>
                <w:szCs w:val="19"/>
                <w:color w:val="auto"/>
              </w:rPr>
            </w:pPr>
          </w:p>
        </w:tc>
        <w:tc>
          <w:tcPr>
            <w:tcW w:w="35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At the end of each interim period, we make our best estimate of the effective tax rate expected to be applicable for the full calendar year and use that rate to provide for income taxes on a current year-to-date basis before discrete items. If a reliable estimate cannot be made, we may make a reasonable estimate of the annual effective tax rate, including use of the actual effective rate for the year-to-date. The impact of the discrete items is recorded in the quarter in which they occur.</w:t>
      </w:r>
    </w:p>
    <w:p>
      <w:pPr>
        <w:spacing w:after="0" w:line="187" w:lineRule="exact"/>
        <w:rPr>
          <w:sz w:val="20"/>
          <w:szCs w:val="20"/>
          <w:color w:val="auto"/>
        </w:rPr>
      </w:pPr>
    </w:p>
    <w:p>
      <w:pPr>
        <w:jc w:val="both"/>
        <w:ind w:right="380" w:firstLine="324"/>
        <w:spacing w:after="0" w:line="296" w:lineRule="auto"/>
        <w:rPr>
          <w:sz w:val="20"/>
          <w:szCs w:val="20"/>
          <w:color w:val="auto"/>
        </w:rPr>
      </w:pPr>
      <w:r>
        <w:rPr>
          <w:rFonts w:ascii="Arial" w:cs="Arial" w:eastAsia="Arial" w:hAnsi="Arial"/>
          <w:sz w:val="16"/>
          <w:szCs w:val="16"/>
          <w:color w:val="auto"/>
        </w:rPr>
        <w:t>We utilize the balance sheet method of accounting for income taxes and deferred taxes which are determined based on the differences between the financial statements and tax basis of assets and liabilities given the provisions of the enacted tax laws. In assessing the realizability of the deferred tax assets, we considered whether it is more likely than not that some portion or all of the deferred tax assets will not be realized through the generation of future taxable income. In making this determination, we assessed all of the evidence available at the time including recent earnings, forecasted income projections, and historical financial performance. We have fully reserved deferred tax assets as a result of this assessment.</w:t>
      </w:r>
    </w:p>
    <w:p>
      <w:pPr>
        <w:spacing w:after="0" w:line="16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Based on our full valuation allowance against the net deferred tax assets, our effective federal tax rate for the calendar year is zero, and we recorded an immaterial income tax expense in the six months ended June 30, 2023 and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Since inception, we have issued various series of preferred stock as more fully described below. Prior to June 2021, the preferred stock was redeemable at any time after February 21, 2022, upon the affirmative vote of two thirds of the then outstanding shares of preferred stock. In June 2021, the redemption feature was eliminated, however, the in-substance redemption feature described below is still in place. Upon an acquisition of the Company, the proceeds will be used to first pay the liquidation preferences on the preferred stock, as defined below, prior to payment to common stockholders. We have determined this is an in-substance redemption feature since holders of preferred stock represent a majority of our board of directors and control a majority of the stockholder vote on an as-if-converted basis. Thus, a decision to pursue an acquisition or accept the terms of an acquisition — and thereby redeem the convertible preferred stock — is deemed to be outside of our control. As a result, our convertible preferred stock has been classified as temporary equity in the accompanying condensed consolidated balance sheets. We have not adjusted the carrying values of the convertible preferred stock to the respective liquidation preferences of such shares as the instruments are currently not redeemable and we believe it is not probable that the instruments will become redeemable at this point in time. Adjustments to increase the carrying values of the respective liquidation preferences will be made if and when it becomes probable that an event will occur obligating us to pay such amounts.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Convertible preferred stock at June 30, 2023, and December 31, 2022, is as follows: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Series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195"/>
        </w:trPr>
        <w:tc>
          <w:tcPr>
            <w:tcW w:w="8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Series A-1 preferred stock, $0.001 par value per share. Authorized, issued, and outstanding 5,331,943 shares at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2023, and December 31, 2022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6,065</w:t>
            </w: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w w:val="91"/>
              </w:rPr>
              <w:t>Series A-2 preferred stock, $0.001 par value per share. Authorized, issued, and outstanding 23,307,464 shares at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June 30, 2023, and December 31, 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8,976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8,976</w:t>
            </w:r>
          </w:p>
        </w:tc>
      </w:tr>
      <w:tr>
        <w:trPr>
          <w:trHeight w:val="202"/>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A-3 preferred stock, $0.001 par value per share. Authorized, issued, and outstanding 24,792,020 shares at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2023, and December 31, 2022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10,611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10,611</w:t>
            </w: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w w:val="92"/>
              </w:rPr>
              <w:t>Series A-4 preferred stock, $0.001 par value per share. Authorized, issued, and outstanding 5,169,690 shares at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June 30, 2023, and December 31, 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1,993</w:t>
            </w:r>
          </w:p>
        </w:tc>
      </w:tr>
      <w:tr>
        <w:trPr>
          <w:trHeight w:val="202"/>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A-5 preferred stock, $0.001 par value per share. Authorized 29,715,910 shares; issued and outstanding</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29,545,455 shares at June 30, 2023, and December 31, 2022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12,858</w:t>
            </w: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w w:val="94"/>
              </w:rPr>
              <w:t>Series A-6 preferred stock, $0.001 par value per share. Authorized 32,601,000 shares; issued and outstanding</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32,391,000 shares at June 30, 2023, and December 31, 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15,476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15,476</w:t>
            </w:r>
          </w:p>
        </w:tc>
      </w:tr>
      <w:tr>
        <w:trPr>
          <w:trHeight w:val="202"/>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Series B preferred stock, $0.001 par value per share. Authorized 284,065,377 shares; issued and outstanding</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283,030,377 and 282,580,377 shares at June 30, 2023, and December 31, 2022, respectively</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84,637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84,528</w:t>
            </w: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w w:val="91"/>
              </w:rPr>
              <w:t>Series B-1 preferred stock, $0.001 par value per share. Authorized, issued, and outstanding 67,142,854 shares at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June 30, 2023, and December 31, 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23,499</w:t>
            </w:r>
          </w:p>
        </w:tc>
      </w:tr>
      <w:tr>
        <w:trPr>
          <w:trHeight w:val="202"/>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B-2 preferred stock, $0.001 par value per share. Authorized 71,428,570 shares; issued and outstanding</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54,824,787 and 28,571,428 shares at June 30, 2023 and December 31, 2022, respectively</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w w:val="93"/>
              </w:rPr>
              <w:t>Series B-3 preferred stock, $0.001 par value per share. Authorized 342,857,136 shares; issued and outstanding</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8320" w:type="dxa"/>
            <w:vAlign w:val="bottom"/>
          </w:tcPr>
          <w:p>
            <w:pPr>
              <w:ind w:left="180"/>
              <w:spacing w:after="0"/>
              <w:rPr>
                <w:sz w:val="20"/>
                <w:szCs w:val="20"/>
                <w:color w:val="auto"/>
              </w:rPr>
            </w:pPr>
            <w:r>
              <w:rPr>
                <w:rFonts w:ascii="Arial" w:cs="Arial" w:eastAsia="Arial" w:hAnsi="Arial"/>
                <w:sz w:val="18"/>
                <w:szCs w:val="18"/>
                <w:color w:val="auto"/>
              </w:rPr>
              <w:t>102,446,428 and 0 shares at June 30, 2023, and December 31, 2022, respectively</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17,197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convertible preferred stock</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activity in convertible preferred stock in the six months ended June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Balance at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Series</w:t>
            </w:r>
          </w:p>
        </w:tc>
        <w:tc>
          <w:tcPr>
            <w:tcW w:w="2640" w:type="dxa"/>
            <w:vAlign w:val="bottom"/>
          </w:tcPr>
          <w:p>
            <w:pPr>
              <w:spacing w:after="0"/>
              <w:rPr>
                <w:sz w:val="20"/>
                <w:szCs w:val="20"/>
                <w:color w:val="auto"/>
              </w:rPr>
            </w:pPr>
          </w:p>
        </w:tc>
        <w:tc>
          <w:tcPr>
            <w:tcW w:w="1760" w:type="dxa"/>
            <w:vAlign w:val="bottom"/>
            <w:gridSpan w:val="4"/>
          </w:tcPr>
          <w:p>
            <w:pPr>
              <w:ind w:left="10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Issuances</w:t>
            </w: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June 30, 2023</w:t>
            </w:r>
          </w:p>
        </w:tc>
        <w:tc>
          <w:tcPr>
            <w:tcW w:w="0" w:type="dxa"/>
            <w:vAlign w:val="bottom"/>
          </w:tcPr>
          <w:p>
            <w:pPr>
              <w:spacing w:after="0"/>
              <w:rPr>
                <w:sz w:val="1"/>
                <w:szCs w:val="1"/>
                <w:color w:val="auto"/>
              </w:rPr>
            </w:pP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A-1</w:t>
            </w:r>
          </w:p>
        </w:tc>
        <w:tc>
          <w:tcPr>
            <w:tcW w:w="2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Series A-2</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8,976</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Series A-3</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10,611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Series A-4</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1,993</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Series A-5</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12,858</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Series A-6</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15,476</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15,476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84,528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84,637</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Series B-1</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23,499</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23,500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Series B-2</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Series B-3</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17,197</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17,197</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convertible preferred stock</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640" w:type="dxa"/>
            <w:vAlign w:val="bottom"/>
            <w:vMerge w:val="restart"/>
          </w:tcPr>
          <w:p>
            <w:pPr>
              <w:jc w:val="right"/>
              <w:ind w:right="9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318" w:name="page319"/>
    <w:bookmarkEnd w:id="3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ind w:left="120"/>
              <w:spacing w:after="0"/>
              <w:rPr>
                <w:sz w:val="20"/>
                <w:szCs w:val="20"/>
                <w:color w:val="auto"/>
              </w:rPr>
            </w:pPr>
            <w:r>
              <w:rPr>
                <w:rFonts w:ascii="Arial" w:cs="Arial" w:eastAsia="Arial" w:hAnsi="Arial"/>
                <w:sz w:val="18"/>
                <w:szCs w:val="18"/>
                <w:b w:val="1"/>
                <w:bCs w:val="1"/>
                <w:color w:val="auto"/>
              </w:rPr>
              <w:t>Balance at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 at</w:t>
            </w:r>
          </w:p>
        </w:tc>
      </w:t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Series</w:t>
            </w:r>
          </w:p>
        </w:tc>
        <w:tc>
          <w:tcPr>
            <w:tcW w:w="1760" w:type="dxa"/>
            <w:vAlign w:val="bottom"/>
            <w:gridSpan w:val="6"/>
          </w:tcPr>
          <w:p>
            <w:pPr>
              <w:ind w:left="10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Issuances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 2022</w:t>
            </w:r>
          </w:p>
        </w:tc>
      </w:tr>
      <w:tr>
        <w:trPr>
          <w:trHeight w:val="209"/>
        </w:trPr>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A-1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Series A-2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8,976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8,976</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Series A-3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10,611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Series A-4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1,993</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Series A-5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12,858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12,858</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Series A-6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15,476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15,476</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84,528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84,528</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Series B-1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23,499</w:t>
            </w:r>
          </w:p>
        </w:tc>
      </w:tr>
      <w:tr>
        <w:trPr>
          <w:trHeight w:val="223"/>
        </w:trPr>
        <w:tc>
          <w:tcPr>
            <w:tcW w:w="6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convertible preferred stock</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00" w:type="dxa"/>
            <w:vAlign w:val="bottom"/>
            <w:gridSpan w:val="2"/>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460" w:type="dxa"/>
            <w:vAlign w:val="bottom"/>
            <w:gridSpan w:val="7"/>
          </w:tcPr>
          <w:p>
            <w:pPr>
              <w:ind w:left="340"/>
              <w:spacing w:after="0"/>
              <w:rPr>
                <w:sz w:val="20"/>
                <w:szCs w:val="20"/>
                <w:color w:val="auto"/>
              </w:rPr>
            </w:pPr>
            <w:r>
              <w:rPr>
                <w:rFonts w:ascii="Arial" w:cs="Arial" w:eastAsia="Arial" w:hAnsi="Arial"/>
                <w:sz w:val="18"/>
                <w:szCs w:val="18"/>
                <w:color w:val="auto"/>
                <w:w w:val="94"/>
              </w:rPr>
              <w:t>Warrants to purchase convertible preferred stock at June 30, 2023, and December 31, 2022, are as follows: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Series</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Series A-5 preferred stock, $0.44 exercise price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170,455</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Series A-6 preferred stock, $0.50 exercise price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stock, $0.01 exercise price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1,485,000</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Series B-3 preferred stock, $0.05 exercise price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116,852,720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114,285,712</w:t>
            </w:r>
          </w:p>
        </w:tc>
      </w:tr>
      <w:tr>
        <w:trPr>
          <w:trHeight w:val="223"/>
        </w:trPr>
        <w:tc>
          <w:tcPr>
            <w:tcW w:w="6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warrants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118,268,175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116,151,167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summarizes activity in warrants to purchase preferred stock in the six months ended June 30, 2023. There was no activity in the six months ended June 30,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ind w:left="300"/>
              <w:spacing w:after="0"/>
              <w:rPr>
                <w:sz w:val="20"/>
                <w:szCs w:val="20"/>
                <w:color w:val="auto"/>
              </w:rPr>
            </w:pPr>
            <w:r>
              <w:rPr>
                <w:rFonts w:ascii="Arial" w:cs="Arial" w:eastAsia="Arial" w:hAnsi="Arial"/>
                <w:sz w:val="18"/>
                <w:szCs w:val="18"/>
                <w:b w:val="1"/>
                <w:bCs w:val="1"/>
                <w:color w:val="auto"/>
              </w:rPr>
              <w:t>Balance at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Balance at</w:t>
            </w:r>
          </w:p>
        </w:tc>
      </w:t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Series</w:t>
            </w: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December 31, 2022</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Exercises</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Issuances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 2023</w:t>
            </w:r>
          </w:p>
        </w:tc>
      </w:tr>
      <w:tr>
        <w:trPr>
          <w:trHeight w:val="210"/>
        </w:trPr>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A-5</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170,455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Series A-6</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210,000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1,485,000</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1,035,000</w:t>
            </w: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Series B-3</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114,285,712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(102,446,428)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105,013,436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116,852,720</w:t>
            </w:r>
          </w:p>
        </w:tc>
      </w:tr>
    </w:tbl>
    <w:p>
      <w:pPr>
        <w:spacing w:after="0" w:line="187"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As of June 30, 2023, the Company is authorized to issue up to 886,411,964 shares of preferred stock, with 170,455 shares of Series A-5, 210,000 shares of Series A-6, 1,035,000 shares of Series B, 16,603,783 shares of Series B-2 and 240,410,708 shares of Series B-3 available for issuance. All other authorized shares have been issued. The original issue prices for the Series A-1, A-2, A-3, A-4, A-5, A-6, B, B-1, B-2, and B-3 Preferred Stock are $1.224, $0.387, $0.43, $0.396, $0.44, $0.50, $0.30, $0.35 $0.35, and $0.05, respectively. All shares of preferred stock had the following rights as of June 30, 2023:</w:t>
      </w:r>
    </w:p>
    <w:p>
      <w:pPr>
        <w:spacing w:after="0" w:line="15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6"/>
          <w:szCs w:val="16"/>
          <w:i w:val="1"/>
          <w:iCs w:val="1"/>
          <w:color w:val="auto"/>
        </w:rPr>
        <w:t>Conversion</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Each share of preferred stock is convertible into common stock at any time at the option of the holder. The conversion rate is equal to the original issue price for each share of preferred stock plus any declared but unpaid dividends divided by the conversion price. The conversion ratio may be adjusted from time to time based upon the occurrence of certain events or circumstances, such as stock splits, dividends, recapitalizations, certain corporate transactions, and certain dilutive issuances. Each share of preferred stock will be automatically convertible into shares of the common stock at the then-prevailing conversion ratio if (i) approved by (a) the holders of a two-thirds of the outstanding shares of preferred stock (voting together as a single class on an as-converted basis), and (b) the majority of either the Series A-5 or Series A-6 preferred stock voting each individually as a separate class, or (ii) upon the closing of an underwritten initial public offering of the Company’s common stock pursuant to an effective registration statement under the Securities Act of 1933, as amended, in which (a) the per share price of the Common Stock is not less than $1.00 (adjusted for any stock dividends, combinations, splits, or recapitalizations) and (b) the aggregate net cash proceeds are at least $50,000.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Voting Rights</w:t>
      </w:r>
    </w:p>
    <w:p>
      <w:pPr>
        <w:spacing w:after="0" w:line="22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Each holder of shares of preferred stock is entitled to the number of votes on an as-if converted basis to shares of common stock. Certain corporate actions require the approval of a majority of the holders of preferred stock, including but not limited to changes in the authorized shares of preferred stock, authorization of any new class or series of preferred stock, effecting a recapitalization, increasing or decreasing the authorized size of the Board of Directors, the payment of certain dividends and capital distributions, a sale, liquidation or dissolution of the Company, and certain incurrences of debt.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i w:val="1"/>
          <w:iCs w:val="1"/>
          <w:color w:val="auto"/>
        </w:rPr>
        <w:t>(iii) Dividends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Dividends are payable on preferred stock in preference to common stock when and if declared by the board on a noncumulative, annual basis and 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paid to the holders of preferred stock in proportion of their individual dividend amounts to the total dividend amount of all preferred holders. The per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annum preferred dividend rates for each share of Series A-1, A-2, A-3, A-4, A-5, A-6, B, B-1, B-2, and B-3 preferred stock are $0.09792, $0.03096,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$0.0344, $0.03168, $0.0352, $0.04, $0.024, $0.028, $0.028, and $0.0004, respectively. To date, the board has not declared any dividends on the preferred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(iv) Liquidation Preferences</w:t>
      </w:r>
    </w:p>
    <w:p>
      <w:pPr>
        <w:spacing w:after="0" w:line="225" w:lineRule="exact"/>
        <w:rPr>
          <w:sz w:val="20"/>
          <w:szCs w:val="20"/>
          <w:color w:val="auto"/>
        </w:rPr>
      </w:pPr>
    </w:p>
    <w:p>
      <w:pPr>
        <w:ind w:right="340" w:firstLine="324"/>
        <w:spacing w:after="0" w:line="311" w:lineRule="auto"/>
        <w:rPr>
          <w:sz w:val="20"/>
          <w:szCs w:val="20"/>
          <w:color w:val="auto"/>
        </w:rPr>
      </w:pPr>
      <w:r>
        <w:rPr>
          <w:rFonts w:ascii="Arial" w:cs="Arial" w:eastAsia="Arial" w:hAnsi="Arial"/>
          <w:sz w:val="16"/>
          <w:szCs w:val="16"/>
          <w:color w:val="auto"/>
        </w:rPr>
        <w:t>The terms of the preferred stock provide for liquidation preferences in the event of a change in control, liquidation, dissolution, or certain other fundamental transactions of the Company (a “Liquidation Event”), none of which were deemed probable of occurring at June 30, 2023. Preferences are payable in the following order of priority and in the following amounts as of June 30, 2023 (plus all declared but unpaid dividends);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Liquidation</w:t>
            </w:r>
          </w:p>
        </w:tc>
      </w:tr>
      <w:tr>
        <w:trPr>
          <w:trHeight w:val="234"/>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w w:val="95"/>
              </w:rPr>
              <w:t>Liquidation Preference</w:t>
            </w:r>
          </w:p>
        </w:tc>
        <w:tc>
          <w:tcPr>
            <w:tcW w:w="5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Series</w:t>
            </w:r>
          </w:p>
        </w:tc>
        <w:tc>
          <w:tcPr>
            <w:tcW w:w="144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Price</w:t>
            </w:r>
          </w:p>
        </w:tc>
        <w:tc>
          <w:tcPr>
            <w:tcW w:w="12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Preference</w:t>
            </w:r>
          </w:p>
        </w:tc>
      </w:t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5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Series B-3 preferred stock</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102,446,428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Series B-2 preferred stock</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54,824,787</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0.350</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19,189</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Series B-1 preferred stock</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67,142,854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23,500</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Series B preferred stock</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283,030,377</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0.300</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84,909</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Series A-6 preferred stock</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32,391,000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16,196</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Series A-5 preferred stock</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29,545,455</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0.440</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13,000</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Series A-4 preferred stock</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5,169,690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Series A-3 preferred stock</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24,792,020</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0.430</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10,661</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Series A-2 preferred stock</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23,307,464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0.387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9,020</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5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Series A-1 preferred stock</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5,331,943</w:t>
            </w: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6,526</w:t>
            </w:r>
          </w:p>
        </w:tc>
      </w:tr>
      <w:tr>
        <w:trPr>
          <w:trHeight w:val="223"/>
        </w:trPr>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0" w:type="dxa"/>
            <w:vAlign w:val="bottom"/>
            <w:tcBorders>
              <w:top w:val="single" w:sz="8" w:color="CCEEFF"/>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Total liquidation preference</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If the assets of the Company or the consideration received in such Liquidation Event are insufficient to make payment in full to all holders of a particular series of preferred stock, then such assets will be distributed ratably to the holders of such series of preferred stock in proportion to the full amounts to which they would otherwise have been entitled. After payment of the aforementioned liquidation preferences, any remaining proceeds from a Liquidation Event will be distributed to all preferred and common stockholders — except for stockholders holding Series A-1 or Series A-2 Preferred Stock — pro rata on an as-if converted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October 2022 Financing</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early October 2022, we sold 28,571,428 shares of Series B-2 preferred stock in a private financing, primarily to existing stockholders, at a price of $0.35 per share, raising approximately $9,755 in net proceeds (the “B-2 Preferred Stock Financing”). For each share sold, we also issued a warrant to purchase four shares of Series B-3 preferred stock (with total warrants issued being for 114,285,712 shares of Series B-3 preferred stock) with a strike price of $0.05 per share. The B-2 Preferred Stock Financing included, at our audit committee’s option, a second tranche for the sale of up to 20,990,498 shares of Series B-2 preferred stock for $7,347 (which could be increased up to $10,000 through the sale of additional shares), with each such share of Series B-2 preferred stock accompanied by a warrant to purchase four shares of Series B-3 preferred stock at a strike price of $0.05 per share, for a total of 83,961,992 shares of Series B-3 preferred stock, and a third tranche, at the election of investors who participated in the second tranche, for the sale of up to 12,381,544 shares of Series B-2 preferred stock for $4,334 (which could be increased up to an aggregate of 14,285,714 shares of Series B-2 preferred stock for approximately $5,000 through the sale of additional shares of Series B-2 preferred stock), with each such share of Series B-2 preferred stock accompanied by a warrant to purchase eight shares of Series B-3 preferred stock at a strike price of $0.05 per share, for a total of 99,052,352 shares of Series B-3 preferred stock. Investors can elect to not participate in the second tranche, and thereby give up their rights to participate in the third tranche, but such election would cause all of their shares of Series B-2 preferred stock and Series B-3 preferred stock to immediately convert to common stock and any warrants to purchase Series B-3 preferred stock to convert to warrants to purchase common stock.</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0" w:name="page321"/>
    <w:bookmarkEnd w:id="320"/>
    <w:p>
      <w:pPr>
        <w:ind w:firstLine="324"/>
        <w:spacing w:after="0" w:line="253" w:lineRule="auto"/>
        <w:rPr>
          <w:sz w:val="20"/>
          <w:szCs w:val="20"/>
          <w:color w:val="auto"/>
        </w:rPr>
      </w:pPr>
      <w:r>
        <w:rPr>
          <w:rFonts w:ascii="Arial" w:cs="Arial" w:eastAsia="Arial" w:hAnsi="Arial"/>
          <w:sz w:val="18"/>
          <w:szCs w:val="18"/>
          <w:color w:val="auto"/>
        </w:rPr>
        <w:t>As a result of the issuance of the Series B-2 preferred stock, accompanying warrants to purchase Series B-3 preferred stock, and the second and third tranche rights and obligations, the anti-dilution feature of all prior issued preferred stock series was triggered. In accordance with the anti-dilution rights in the Company’s certificate of incorporation, and in connection with the initial closing of the B-2 Preferred Stock Financing, the conversion prices of the Company’s preferred stock (i) were adjusted to $1.06 for Series A-1 preferred stock, $0.33 for Series A-2 preferred stock, $0.37 for Series A-3 preferred stock, $0.34 for Series A-4 preferred stock, $0.37 for Series A-5 preferred stock, $0.42 for Series A-6 preferred stock, $0.26 for Series B preferred stock, and $0.30 for Series B-1 preferred stock and (ii) set to $0.35 for Series B-2 preferred stock and $0.05 for Series B-3 preferred stock, which correlate to approximate (in each case rounded to three decimals) exchange ratios of 1.155 to 1 for Series A-1 preferred stock, 1.173 to 1 for Series A-2 preferred stock, 1.162 to 1 for Series A-3 preferred stock, 1.165 to 1 for Series A-4 preferred stock, 1.189 to 1 for Series A-5 preferred stock, 1.190 to 1 for Series A-6 preferred stock, 1.154 to 1 for Series B preferred stock, 1.167 to 1 for Series B-1 preferred stock, 1 to 1 for Series B-2 preferred stock and 1 to 1 for Series B-3 preferred stock.</w:t>
      </w:r>
    </w:p>
    <w:p>
      <w:pPr>
        <w:spacing w:after="0" w:line="19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offered the Series B-2 preferred stock to all of our existing preferred stockholders (representing approximately 99.2% of our then-outstanding shares on an as-converted to common stock basis) to continue to fund our operations through the expected period for completing the Business Combination (see Note 11), including expenses expected to be incurred in connection with the Business Combination and readying ourselves to be a public company. Board members, executives and other employees who participated in the B-2 Preferred Stock Financing did so under the same terms as other holders who do not provide services. As such, the Company concluded the B-2 Preferred Stock Financing was not compensatory and is not within the scope of ASC Topic 718, Compensation — Stock Compensation.</w:t>
      </w:r>
    </w:p>
    <w:p>
      <w:pPr>
        <w:spacing w:after="0" w:line="192"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The warrants to purchase Series B-3 preferred stock (“Series B-3 Warrants”) represent freestanding financial instruments that should be recognized as a liability as we are required to deliver puttable shares upon exercise of the warrants, which may be ultimately settled for cash due to the in-substance redemption feature, as described above. Similarly, the combined rights and obligations for the second and third tranches for Series B-2 preferred stock (“Series B-2 Tranche Liability”) represents a freestanding financial instrument that should be classified as a liability under ASC 480 as, (i) the decision to exercise the tranche is outside of our control, as holders of Series B-2 preferred stock represent a majority of our Audit Committee (which, pursuant to the financing agreements for the B-2 Preferred Stock Financing determines whether to call the second tranche), and (ii) the Company is required to deliver puttable shares upon execution of the tranches rights and obligations, which may be ultimately settled in cash. Both the Series B-3 Warrants and the Series B-2 Tranche Liability are classified as liabilities and are presented on the balance sheet at their estimated fair values at each reporting date and immediately prior to settlement with the resulting change in fair value recognized in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Financing</w:t>
      </w:r>
    </w:p>
    <w:p>
      <w:pPr>
        <w:spacing w:after="0" w:line="225"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color w:val="auto"/>
        </w:rPr>
        <w:t>In January through June 2023, holders of warrants to purchase 102,446,428 shares of Series B-3 preferred stock exercised their purchase rights, for proceeds of approximately $5,122. In addition, $12,082 of warrant liabilities was transferred to Series B-3 preferred stock. Also, holders of warrants to purchase 450,000 shares of Series B preferred stock exercised their purchase rights, for proceeds of $4, plus the transfer of warrant liabilities of $106 to Series B preferred stock.</w:t>
      </w:r>
    </w:p>
    <w:p>
      <w:pPr>
        <w:spacing w:after="0" w:line="18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February 2023, we amended the Series B-2 preferred stock agreement and warrant agreement to purchase Series B-3 preferred stock to extend the expiration date for the second tranche from February 28, 2023, to May 31, 2023.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March 2023, we effectuated closings (“Second Tranche Closings”) of a portion of the second tranche of the B-2 Preferred Stock Financing whereby</w:t>
      </w:r>
    </w:p>
    <w:p>
      <w:pPr>
        <w:spacing w:after="0" w:line="46" w:lineRule="exact"/>
        <w:rPr>
          <w:sz w:val="20"/>
          <w:szCs w:val="20"/>
          <w:color w:val="auto"/>
        </w:rPr>
      </w:pPr>
    </w:p>
    <w:p>
      <w:pPr>
        <w:ind w:right="280" w:firstLine="8"/>
        <w:spacing w:after="0" w:line="281" w:lineRule="auto"/>
        <w:tabs>
          <w:tab w:leader="none" w:pos="21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8,396,207 shares of Series B-2 preferred stock and accompanying warrants to purchase 33,584,828 shares of Series B-3 preferred stock, representing 40% of the shares committed in the second tranche, were sold for an aggregate purchase price of approximately $2,932, net of execution costs, and</w:t>
      </w:r>
    </w:p>
    <w:p>
      <w:pPr>
        <w:spacing w:after="0" w:line="1" w:lineRule="exact"/>
        <w:rPr>
          <w:rFonts w:ascii="Arial" w:cs="Arial" w:eastAsia="Arial" w:hAnsi="Arial"/>
          <w:sz w:val="16"/>
          <w:szCs w:val="16"/>
          <w:color w:val="auto"/>
        </w:rPr>
      </w:pPr>
    </w:p>
    <w:p>
      <w:pPr>
        <w:ind w:right="20" w:firstLine="8"/>
        <w:spacing w:after="0" w:line="268" w:lineRule="auto"/>
        <w:tabs>
          <w:tab w:leader="none" w:pos="26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714,285 shares of Series B-2 preferred stock and accompanying warrants to purchase 2,857,140 shares of Series B-3 preferred stock, none of which were shares committed in the second tranche, were sold for an aggregate purchase price of $250. As a result of the closings of a portion of the second tranche of the B-2 Preferred Stock Financing described above, in accordance with the anti-dilution rights in the Company’s certificate of incorporation, the conversion prices of the Company’s preferred stock (i) were adjusted to $1.02 for Series A-1 preferred stock, $0.32 for Series A-2 preferred stock, $0.35 for Series A-3 preferred stock, $0.33 for Series A-4 preferred stock, $0.35 for Series A-5 preferred stock, $0.40 for Series A-6 preferred stock, $0.25 for Series B preferred stock, and $0.29 for Series B-1 preferred stock and (ii) remained the same for Series B-2 preferred stock ($0.35) and Series B-3 preferred stock ($0.05), which correlate to approximate (in each case rounded to three decimals) exchange ratios of 1.200 to 1 for Series A-1 preferred stock, 1.209 to 1 for Series A-2 preferred stock, 1.229 to 1 for Series A-3 preferred stock, 1.200 to 1 for Series A-4 preferred stock, 1.257 to 1 for Series A-5 preferred stock, 1.250 to 1 for Series A-6 preferred stock, 1.200 to 1 for Series B preferred stock, 1.207 to 1 for Series B-1 preferred stock, 1 to 1 for Series B-2 preferred stock and 1 to 1 for Series B-3 preferred stock.</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21" w:name="page322"/>
    <w:bookmarkEnd w:id="321"/>
    <w:p>
      <w:pPr>
        <w:ind w:right="200" w:firstLine="324"/>
        <w:spacing w:after="0" w:line="277" w:lineRule="auto"/>
        <w:rPr>
          <w:sz w:val="20"/>
          <w:szCs w:val="20"/>
          <w:color w:val="auto"/>
        </w:rPr>
      </w:pPr>
      <w:r>
        <w:rPr>
          <w:rFonts w:ascii="Arial" w:cs="Arial" w:eastAsia="Arial" w:hAnsi="Arial"/>
          <w:sz w:val="18"/>
          <w:szCs w:val="18"/>
          <w:color w:val="auto"/>
        </w:rPr>
        <w:t>On May 12, 2023, we amended the Series B-2 preferred stock agreement and warrant agreement to purchase Series B-3 preferred stock to extend the expiration date for the second tranche from May 31, 2023 to July 31, 2023.</w:t>
      </w:r>
    </w:p>
    <w:p>
      <w:pPr>
        <w:spacing w:after="0" w:line="170"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In June 2023, we effectuated closings of a portion of the second tranche of the B-2 Preferred Stock Financing whereby (i) 10,428,583 shares of Series B-2 preferred stock and accompanying warrants to purchase 41,714,332 shares of Series B-3 preferred stock, representing approximately 49.7% of the shares committed in the second tranche, were sold for an aggregate purchase price of approximately $3,650, and (ii) 6,714,284 shares of Series B-2 preferred stock and accompanying warrants to purchase 26,857,136 shares of Series B-3 preferred stock, none of which were shares committed in the second tranche, were sold for an aggregate purchase price of $2,350. As a result of the closings of a portion of the second tranche of the B-2 Preferred Stock Financing described above, in accordance with the anti-dilution rights in the Company’s certificate of incorporation, the conversion prices of the Company’s preferred stock (i) were adjusted to $0.96 for Series A-1 preferred stock, $0.30 for Series A-2 preferred stock, $0.33 for Series A-3 preferred stock, $0.31 for Series A-4 preferred stock, $0.33 for Series A-5 preferred stock, $0.37 for Series A-6 preferred stock, $0.24 for Series B preferred stock, and $0.27 for Series B-1 preferred stock and (ii) remained the same for Series B-2 preferred stock ($0.35) and Series B-3 preferred stock ($0.05), which correlate to approximate (in each case rounded to three decimals) exchange ratios of 1.275 to 1 for Series A-1 preferred stock, 1.290 to 1 for Series A-2 preferred stock, 1.303 to 1 for Series A-3 preferred stock, 1.277 to 1 for Series A-4 preferred stock, 1.333 to 1 for Series A-5 preferred stock, 1.351 to 1 for Series A-6 preferred stock, 1.250 to 1 for Series B preferred stock, 1.296 to 1 for Series B-1 preferred stock, 1 to 1 for Series B-2 preferred stock and 1 to 1 for Series B-3 preferred stock. Any portion of the Series B-3 warrants that remain unexercised at the time the Business Combination is consummated will automatically be net settled for shares of the Company’s common stock (“TriSalus Common Stock”) immediately prior to the closing of the Business Combination (see Note 11) and exchanged into shares of common stock, par value $0.0001 of the combined company (“Combined Company Common Stock”) at the Effective Time.</w:t>
      </w:r>
    </w:p>
    <w:p>
      <w:pPr>
        <w:spacing w:after="0" w:line="180"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In July 2023, holders of warrants to purchase 90,619,356 shares of Series B-3 preferred stock exercised their purchase rights for proceeds of approximately $4.5 million.</w:t>
      </w:r>
    </w:p>
    <w:p>
      <w:pPr>
        <w:spacing w:after="0" w:line="1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fair value of the Series B-3 Warrants as of June 30, 2023 and December 31, 2022 was determined using a probability-weighted expected outcome model whereby the following two scenarios were probability-weighted based on the Company’s expectation of each occurring: (1) a status quo scenario whereby the Company would continue as a private company and (2) a scenario where the Business Combination would close. Under the status quo scenario, the Series B-3 Warrants, including warrants to be issued under the second and third tranches, were valued using the Black-Scholes model. The fair value of the Series B-2 Tranche Liability was determined using a Binomial Tranche Model. Both models incorporated the following significant assumptions for the respective valuation dates: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80" w:type="dxa"/>
            <w:vAlign w:val="bottom"/>
            <w:tcBorders>
              <w:bottom w:val="single" w:sz="8" w:color="CCEEFF"/>
            </w:tcBorders>
          </w:tcPr>
          <w:p>
            <w:pPr>
              <w:spacing w:after="0"/>
              <w:rPr>
                <w:sz w:val="20"/>
                <w:szCs w:val="20"/>
                <w:color w:val="auto"/>
              </w:rPr>
            </w:pPr>
          </w:p>
        </w:tc>
        <w:tc>
          <w:tcPr>
            <w:tcW w:w="5260" w:type="dxa"/>
            <w:vAlign w:val="bottom"/>
            <w:tcBorders>
              <w:bottom w:val="single" w:sz="8" w:color="CCEEFF"/>
            </w:tcBorders>
          </w:tcPr>
          <w:p>
            <w:pPr>
              <w:spacing w:after="0"/>
              <w:rPr>
                <w:sz w:val="20"/>
                <w:szCs w:val="20"/>
                <w:color w:val="auto"/>
              </w:rPr>
            </w:pPr>
          </w:p>
        </w:tc>
        <w:tc>
          <w:tcPr>
            <w:tcW w:w="24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0"/>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B-2 preferred stock fair value per share</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Series B-2 preferred stock exercise price per share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B-3 preferred stock fair value per share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0"/>
              </w:rPr>
              <w:t>Series B-3</w:t>
            </w:r>
          </w:p>
        </w:tc>
        <w:tc>
          <w:tcPr>
            <w:tcW w:w="5260" w:type="dxa"/>
            <w:vAlign w:val="bottom"/>
          </w:tcPr>
          <w:p>
            <w:pPr>
              <w:ind w:left="20"/>
              <w:spacing w:after="0"/>
              <w:rPr>
                <w:sz w:val="20"/>
                <w:szCs w:val="20"/>
                <w:color w:val="auto"/>
              </w:rPr>
            </w:pPr>
            <w:r>
              <w:rPr>
                <w:rFonts w:ascii="Arial" w:cs="Arial" w:eastAsia="Arial" w:hAnsi="Arial"/>
                <w:sz w:val="18"/>
                <w:szCs w:val="18"/>
                <w:color w:val="auto"/>
              </w:rPr>
              <w:t>Warrants exercise price per share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2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35.0% – 55.0%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50.0% – 65.0%</w:t>
            </w: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Risk free rate</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5.2% – 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 – 4.7%</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0"/>
              </w:rPr>
              <w:t>Series B-2</w:t>
            </w:r>
          </w:p>
        </w:tc>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Tranche Liability expected term</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 – 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0.2 – 0.4 years</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0"/>
              </w:rPr>
              <w:t>Series B-3</w:t>
            </w:r>
          </w:p>
        </w:tc>
        <w:tc>
          <w:tcPr>
            <w:tcW w:w="5260" w:type="dxa"/>
            <w:vAlign w:val="bottom"/>
          </w:tcPr>
          <w:p>
            <w:pPr>
              <w:ind w:left="20"/>
              <w:spacing w:after="0"/>
              <w:rPr>
                <w:sz w:val="20"/>
                <w:szCs w:val="20"/>
                <w:color w:val="auto"/>
              </w:rPr>
            </w:pPr>
            <w:r>
              <w:rPr>
                <w:rFonts w:ascii="Arial" w:cs="Arial" w:eastAsia="Arial" w:hAnsi="Arial"/>
                <w:sz w:val="18"/>
                <w:szCs w:val="18"/>
                <w:color w:val="auto"/>
              </w:rPr>
              <w:t>Warrants expected term</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5.3 – 6.0 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w w:val="96"/>
              </w:rPr>
              <w:t>5.8 – 6.0 years</w:t>
            </w: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fair value of the underlying shares of Series B-2 preferred stock and warrants to purchase Series B-3 preferred stock used in these models were derived from estimates of the Company’s equity fair value using the Guideline Public Company Method, specifically revenue multiples of comparable public companies were multiplied by the Company’s forecasted 2023 and 2024 revenue. The valuation of Series B-3 Warrants under the Business Combination scenario incorporates an estimate of the fair value of the underlying Series B-3 preferred stock upon the close of the Business Combination of $0.23 and $0.27 per share, at June 30, 2023 and December 31, 2022, respectively, which is based upon the enterprise value stated in the merger agreement of $220,000 allocated to all outstanding shares of preferred stock, warrants to purchase preferred stock, and common stock on an as-if converted basis, discounted at 30% from the expected Business Combination closing date. The Business Combination scenario as of June 30, 2023, and December 31, 2022, assumed there would be no additional exercises of the second and third tranches, and thus no value was assigned to the outstanding tranche rights and obligations, as the Company would not exercise its right to call the remaining second tranche.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2" w:name="page323"/>
    <w:bookmarkEnd w:id="322"/>
    <w:p>
      <w:pPr>
        <w:ind w:left="340"/>
        <w:spacing w:after="0"/>
        <w:rPr>
          <w:sz w:val="20"/>
          <w:szCs w:val="20"/>
          <w:color w:val="auto"/>
        </w:rPr>
      </w:pPr>
      <w:r>
        <w:rPr>
          <w:rFonts w:ascii="Arial" w:cs="Arial" w:eastAsia="Arial" w:hAnsi="Arial"/>
          <w:sz w:val="17"/>
          <w:szCs w:val="17"/>
          <w:color w:val="auto"/>
        </w:rPr>
        <w:t>The fair value of the Series B-3 Warrant Liabilities at issuance resulting from the completion of the Second Tranche Closings was estimated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$14,701. The excess of the warrant liability’s fair value compared to the proceeds received in the Second Tranche Closings resulted in a charge to loss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equity issuance in the condensed consolidated statements of operations of $5,511 for the six months ended 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w:t>
      </w:r>
    </w:p>
    <w:p>
      <w:pPr>
        <w:spacing w:after="0" w:line="22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Basic net loss attributable to common stockholders per share is computed by dividing the net loss attributable to common stockholders by the weighted-average number of common shares outstanding for the period. During periods where we might earn net income, we would allocate to participating securities a proportional share of net income determined by dividing total weighted-average participating securities by the sum of the total weighted-average common shares and participating securities (the “two-class method”). Our preferred stock participates in any dividends declared by us and are therefore considered to be participating securities. Participating securities have the effect of diluting both basic and diluted earnings per share during periods of income. During periods where we incurred net losses, we allocate no loss to participating securities because they have no contractual obligation to share in our losses. We computed diluted loss per common share after giving consideration to the dilutive effect of stock options and warrants that are outstanding during the period, except where such nonparticipating securities would be antidilutive. Because we have reported net losses for the six-month periods ended June 30, 2023 and 2022, diluted net loss per common share is the same as basic net loss per common share for those periods.</w:t>
      </w:r>
    </w:p>
    <w:p>
      <w:pPr>
        <w:spacing w:after="0" w:line="166"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following potentially dilutive securities (in common stock equivalent shares) have been excluded from the computation of diluted weighted-average shares outstanding because such securities have an antidilutive impact due to losses reported: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74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b w:val="1"/>
                <w:bCs w:val="1"/>
                <w:color w:val="auto"/>
                <w:w w:val="97"/>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627,982,018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470,260,803</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Preferred stock warrants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118,268,175</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1,865,455</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69,389,688</w:t>
            </w: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60,859,556</w:t>
            </w:r>
          </w:p>
        </w:tc>
      </w:tr>
      <w:tr>
        <w:trPr>
          <w:trHeight w:val="223"/>
        </w:trPr>
        <w:tc>
          <w:tcPr>
            <w:tcW w:w="84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815,639,881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532,985,814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described in Note 8, the triggering of the anti-dilution feature resulting from the closing of the second tranche of the Initial Preferred Stock Financing decreased the conversion prices applicable to all outstanding shares for previously issued preferred stock. As a result, a deemed dividend to the preferred stockholders of $2,981 was recorded as an increase in the net loss attributable to common stockholders reflected in our unaudited consolidated statement of operations for the six months ended June 30, 2023. The deemed dividend increased the net loss per common share by $0.17 for the six months ended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From time to time, we may have certain contingent liabilities, including litigation, which arise in the ordinary course of its business activities. We accrue contingent liabilities when it is probable that future expenditures will be made and such expenditures can be reasonably estimated. In the opinion of management, there are no pending claims for which the outcome is expected to result in a material adverse effect on our consolidated financial position, results of operations, or cash flows.</w:t>
      </w:r>
    </w:p>
    <w:p>
      <w:pPr>
        <w:spacing w:after="0" w:line="187"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Other than as described above, we are not a party to any legal proceedings and we are not aware of any claims or actions pending or threatened against us. In the future, we might from time to time become involved in litigation relating to claims arising from our ordinary course of business.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b w:val="1"/>
          <w:bCs w:val="1"/>
          <w:color w:val="auto"/>
        </w:rPr>
        <w:t>(11) Merger Agreement with MedTech Acquisition Corporation</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November 11, 2022, we entered into an Agreement and Plan of Merger (as amended on April 4, 2023, May 13, 2023 and July 5, 2023, the “Merger Agreement”) with MedTech Acquisition Corporation, a Delaware corporation (“MTAC”), and MTAC Merger Sub, Inc., a Delaware corporation and wholly owned subsidiary of MTAC (“Merger Sub”). On May 13, 2023, MTAC, Merger Sub, and TriSalus entered into an amendment to the Merger Agreement to:</w:t>
      </w:r>
    </w:p>
    <w:p>
      <w:pPr>
        <w:spacing w:after="0" w:line="2" w:lineRule="exact"/>
        <w:rPr>
          <w:sz w:val="20"/>
          <w:szCs w:val="20"/>
          <w:color w:val="auto"/>
        </w:rPr>
      </w:pPr>
    </w:p>
    <w:p>
      <w:pPr>
        <w:ind w:right="140" w:firstLine="8"/>
        <w:spacing w:after="0" w:line="253" w:lineRule="auto"/>
        <w:tabs>
          <w:tab w:leader="none" w:pos="21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extend the Final Outside Date to September 22, 2023 (based on a potential Extension of MTAC’s last date to consummate an initial business combination under its Existing Charter), (ii) clarify that no greenshoe or other investor-held options to purchase MTAC’s securities that are exercisable at the investor’s sole discretion will count towards the Available Closing MTAC Cash, and (iii) reduce the minimum available cash condition from $60 million to $35 million. The aggregate consideration payable to our stockholders was approximately $220,000, payable solely in shares of MTAC common stock.</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August 8, 2023, the stockholders of MTAC approved the Business Combination..</w:t>
      </w:r>
    </w:p>
    <w:p>
      <w:pPr>
        <w:spacing w:after="0" w:line="22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Pursuant to the Merger Agreement, on August 10, 2023, Merger Sub merged with and into TriSalus, with TriSalus surviving as a wholly owned subsidiary of MTAC (the “Business Combination”) and 890,020,482 shares of TriSalus Common Stock (after conversion of all outstanding shares of preferred stock and all in-the-money warrants) were exchanged for approximately 22,000,000 shares of MTAC common stock, reflecting an exchange ratio of approximately 0.02471853. In connection with the consummation of the Business Combination, MTAC was renamed “TriSalus Life Sciences, Inc.”</w:t>
      </w:r>
    </w:p>
    <w:p>
      <w:pPr>
        <w:spacing w:after="0" w:line="15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Immediately prior to the effective time of the Business Combination, each issued and outstanding share of TriSalus’ Series A-1, Series A-2, Series A-3, Series A-4, Series A-5, Series A-6, Series B, Series B-1, Series B-2, and Series B-3 preferred stock, par value $0.001 (collectively, the “TriSalus Preferred Stock”) was converted into shares of TriSalus Common Stock at the then-applicable conversion rates. In addition, each outstanding warrant to purchase shares of TriSalus Common Stock or TriSalus Preferred Stock (each, a “TriSalus Warrant”) that is in-the-money and would be exercised or otherwise exchanged in full in accordance with its terms by virtue of the occurrence of the Business Combination, was automatically exercised for shares of TriSalus Common Stock. TriSalus Warrants that were out-of-the-money were canceled for no consideration.</w:t>
      </w:r>
    </w:p>
    <w:p>
      <w:pPr>
        <w:spacing w:after="0" w:line="178"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At the effective time, each outstanding option to purchase shares of TriSalus Common Stock under TriSalus’ equity incentive plans, whether or not then vested and exercisable, and each restricted stock unit award with respect to TriSalus Common Stock under TriSalus’ equity incentive plans, was assumed and converted into an option to purchase shares of MTAC common stock and restricted stock unit with respect to MTAC common stock,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4" w:name="page325"/>
    <w:bookmarkEnd w:id="324"/>
    <w:p>
      <w:pPr>
        <w:jc w:val="right"/>
        <w:spacing w:after="0"/>
        <w:rPr>
          <w:sz w:val="20"/>
          <w:szCs w:val="20"/>
          <w:color w:val="auto"/>
        </w:rPr>
      </w:pPr>
      <w:r>
        <w:rPr>
          <w:rFonts w:ascii="Arial" w:cs="Arial" w:eastAsia="Arial" w:hAnsi="Arial"/>
          <w:sz w:val="22"/>
          <w:szCs w:val="22"/>
          <w:b w:val="1"/>
          <w:bCs w:val="1"/>
          <w:color w:val="auto"/>
        </w:rPr>
        <w:t>Exhibit 99.2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of TriSalus</w:t>
      </w:r>
    </w:p>
    <w:p>
      <w:pPr>
        <w:spacing w:after="0" w:line="22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interim consolidated financial statements and the related notes thereto as of June 30, 2023 and for the three and six months ended June 30, 2023 and 2022 included in Exhibit 99.1 to this Current Report on Form 8-K (the “Form 8-K”) and our audited consolidated financial statements as of and for the fiscal year ended December 31, 2022 included in our definitive proxy statement and final prospectus, dated July 18, 2023 (the “Proxy Statement/Prospectus”).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and the like, and/or future tense or conditional constructions (“will,” “may,” “could,” “should,” etc.), or similar expressions, identify certain of these forward-looking statements. These forward-looking statements are subject to risks and uncertainties, including those we describe under “Cautionary Note Regarding Forward-Looking Statements” and “Risk Factors” and elsewhere in this Form 8-K and in the Proxy Statement/Prospectus, that could cause actual results or events to differ materially from those expressed or implied by the forward-looking statements. The Company’s actual results and the timing of events could differ materially from those anticipated in these forward-looking statements as a result of a variety of factors.</w:t>
      </w:r>
    </w:p>
    <w:p>
      <w:pPr>
        <w:spacing w:after="0" w:line="1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For purposes of this discussion, “TriSalus,” “the Company,” “we,” “us” or “our” refer to TriSalus Life Sciences, Inc. (which changed its name to TriSalus Operating Life Sciences, Inc. in connection with the Business Combination) and its subsidiaries prior to the consummation of the Business Combination and TriSalus Life Sciences, Inc. (formerly known as MedTech Acquisition Corporation) after the consummation of the Business Combination, unless the context otherwise requires.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Capitalized terms used but not defined in this Exhibit 99.2 shall have the meanings ascribed to them in the Proxy Statement/Prospectus.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TriSalus is engaged in the research, development, and sales of innovative drug delivery technology and immune-oncology therapeutics to improve outcomes in difficult to treat liver and pancreatic cancer. Our technology is utilized in the delivery of our therapeutics and administered by interventional radiologists. We are developing and marketing two product lines — Pressure Enabled Drug Delivery infusion systems, in use today, and an investigational agent, SD-101, which shows potential to enhance response to checkpoint inhibitor therapy used to treat hepatocellular cancer, pancreatic cancer and other liver solid tumors.</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2020, we also launched TriNav™, which is our newest liver therapy delivery device with SmartValve technology for our proprietary PEDD approach. In November 2019, we gained TPT payments approval from CMS, which allows hospitals to cover the cost of using TriNav. The approval began in January 2020 and is scheduled to expire at the end of 2023;. On June 1, 2023, TriSalus applied for a new technology Ambulatory Payment Classifications ("APC") code with CMS and met with them on June 26, 2023 to review the application. If granted, the new technology APC code would allow for continuing reimbursement for the TriNav device at similar reimbursement rates for the period beginning January 1, 2024, but there can be no assurance that such code will be granted or that continuing reimbursement will be available at similar reimbursement rates or at all.</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currently in our early stage of development and have yet to generate revenues sufficient to drive positive cash flows from operations. Beginning in 2020, we began a strategic transformation from a company focused solely on the sale of our infusion systems to a therapeutic company whereby our medical devices are marketed alongside the pharmaceutical drugs and other treatments that the devices deliver to patients. This transformation led us to acquire our first immune-oncology drug, SD-101, in July 2020, and to begin clinical development of SD-101 for the treatment of liver and pancreatic cancers.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On November 11, 2022, we entered into an Agreement and Plan of Merger (the "Merger Agreement") with MedTech Acquisition Corporation ("MTAC") and MTAC Merger Sub, Inc., a wholly owned subsidiary of MTAC ("Merger Sub"), pursuant to which, TriSalus will merge with and into Merger Sub, with TriSalus surviving the merger and becoming a wholly owned subsidiary of MTAC (the "Business Combination"). The aggregate consideration payable to the stockholders of TriSalus is $220.0 million, payable solely in shares of Combined Company Common Stock. The closing of the Business Combination is subject to certain conditions including, among others, (i) the stockholders of TriSalus and the stockholders of MTAC approving of the Business Combination, (ii) the Nasdaq Stock Market approving for listing the Combined Company Common Stock to be issued in connection with the Business Combination, (iii) MTAC having at least $60.0 million in Available Closing MTAC Cash at closing, and (iv) MTAC has $5.0 million or more in net tangible assets at closing. In May 2023, the Merger Agreement was amended to change the Available Closing MTAC Cash at closing to $35.0 million.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5" w:name="page326"/>
    <w:bookmarkEnd w:id="325"/>
    <w:p>
      <w:pPr>
        <w:ind w:right="140" w:firstLine="324"/>
        <w:spacing w:after="0" w:line="259" w:lineRule="auto"/>
        <w:rPr>
          <w:sz w:val="20"/>
          <w:szCs w:val="20"/>
          <w:color w:val="auto"/>
        </w:rPr>
      </w:pPr>
      <w:r>
        <w:rPr>
          <w:rFonts w:ascii="Arial" w:cs="Arial" w:eastAsia="Arial" w:hAnsi="Arial"/>
          <w:sz w:val="18"/>
          <w:szCs w:val="18"/>
          <w:color w:val="auto"/>
        </w:rPr>
        <w:t>On August 8, 2023, the stockholders of MTAC approved the Business Combination, and the Business Combination closed on August 10, 2023. Pursuant to the Merger Agreement, 890,020,482 shares of TriSalus common stock (after conversion of all outstanding shares of preferred stock and all in-the-money warrants) were exchanged for approximately 22,000,000 shares of MTAC common stock, reflecting an exchange ratio of approximately 0.02471853.</w:t>
      </w:r>
    </w:p>
    <w:p>
      <w:pPr>
        <w:spacing w:after="0" w:line="18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Following the consummation of the Business Combination, TriSalus was deemed the accounting acquirer and is accounting for the Business Combination as a reverse recapitalization. See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included in Exhibit 99.3 to this Report for additional information on the Business Combination and related financial impact.</w:t>
      </w:r>
    </w:p>
    <w:p>
      <w:pPr>
        <w:spacing w:after="0" w:line="184"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As a result of the Business Combination, we will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legal and administrative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We believe that our performance and future success depend on several factors that present significant opportunities for us but also pose risks and challenges, including those discussed below and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in the Proxy Statement/Prospectus In particular, our performance is affected by:</w:t>
      </w:r>
    </w:p>
    <w:p>
      <w:pPr>
        <w:spacing w:after="0" w:line="184" w:lineRule="exact"/>
        <w:rPr>
          <w:sz w:val="20"/>
          <w:szCs w:val="20"/>
          <w:color w:val="auto"/>
        </w:rPr>
      </w:pPr>
    </w:p>
    <w:p>
      <w:pPr>
        <w:ind w:left="660" w:right="380" w:hanging="328"/>
        <w:spacing w:after="0" w:line="263" w:lineRule="auto"/>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The continued acceptance and growth of TriNav in the marketplace</w:t>
      </w:r>
      <w:r>
        <w:rPr>
          <w:rFonts w:ascii="Arial" w:cs="Arial" w:eastAsia="Arial" w:hAnsi="Arial"/>
          <w:sz w:val="18"/>
          <w:szCs w:val="18"/>
          <w:color w:val="auto"/>
        </w:rPr>
        <w:t>. While we believe TriNav to be a superior technology for the delivery of</w:t>
      </w:r>
      <w:r>
        <w:rPr>
          <w:rFonts w:ascii="Arial" w:cs="Arial" w:eastAsia="Arial" w:hAnsi="Arial"/>
          <w:sz w:val="18"/>
          <w:szCs w:val="18"/>
          <w:i w:val="1"/>
          <w:iCs w:val="1"/>
          <w:color w:val="auto"/>
        </w:rPr>
        <w:t xml:space="preserve"> </w:t>
      </w:r>
      <w:r>
        <w:rPr>
          <w:rFonts w:ascii="Arial" w:cs="Arial" w:eastAsia="Arial" w:hAnsi="Arial"/>
          <w:sz w:val="18"/>
          <w:szCs w:val="18"/>
          <w:color w:val="auto"/>
        </w:rPr>
        <w:t>therapies to tumors, particularly high-density tumors, there are other technologies with which we compete. Our ability to grow TriNav sales depends on the skills of our sales force and the willingness of the marketplace to use TriNav.</w:t>
      </w:r>
    </w:p>
    <w:p>
      <w:pPr>
        <w:spacing w:after="0" w:line="183" w:lineRule="exact"/>
        <w:rPr>
          <w:rFonts w:ascii="Arial" w:cs="Arial" w:eastAsia="Arial" w:hAnsi="Arial"/>
          <w:sz w:val="18"/>
          <w:szCs w:val="18"/>
          <w:color w:val="auto"/>
        </w:rPr>
      </w:pPr>
    </w:p>
    <w:p>
      <w:pPr>
        <w:ind w:left="660" w:right="60" w:hanging="328"/>
        <w:spacing w:after="0" w:line="270" w:lineRule="auto"/>
        <w:tabs>
          <w:tab w:leader="none" w:pos="660" w:val="left"/>
        </w:tabs>
        <w:numPr>
          <w:ilvl w:val="0"/>
          <w:numId w:val="214"/>
        </w:numPr>
        <w:rPr>
          <w:rFonts w:ascii="Arial" w:cs="Arial" w:eastAsia="Arial" w:hAnsi="Arial"/>
          <w:sz w:val="17"/>
          <w:szCs w:val="17"/>
          <w:color w:val="auto"/>
        </w:rPr>
      </w:pPr>
      <w:r>
        <w:rPr>
          <w:rFonts w:ascii="Arial" w:cs="Arial" w:eastAsia="Arial" w:hAnsi="Arial"/>
          <w:sz w:val="17"/>
          <w:szCs w:val="17"/>
          <w:i w:val="1"/>
          <w:iCs w:val="1"/>
          <w:color w:val="auto"/>
        </w:rPr>
        <w:t xml:space="preserve">Our ability to maintain our current TriNav pricing and gross margins to help fund the rest of our activities. </w:t>
      </w:r>
      <w:r>
        <w:rPr>
          <w:rFonts w:ascii="Arial" w:cs="Arial" w:eastAsia="Arial" w:hAnsi="Arial"/>
          <w:sz w:val="17"/>
          <w:szCs w:val="17"/>
          <w:color w:val="auto"/>
        </w:rPr>
        <w:t>Our current pricing allows us to</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 a substantial gross margin, which provides funds to support our growth and our research and development (“R&amp;D”) for both TriNav and SD-101. TriNav sells at a significant premium to competitive products. Our higher price is currently supported by the TPT payment program from CMS; however, the current TPT authorization expires on December 31, 2023. On June 1, 2023, TriSalus applied for a new technology APC with CMS and met with them on June 26, 2023 to review the application. If granted, the new technology APC code would allow for continuing reimbursement for the TriNav device at similar reimbursement rates for the period beginning January 1, 2024, but there can be no assurance that such code will be granted or that continuing reimbursement will be available at similar reimbursement rates or at all. If we are unable to obtain such permanent reimbursement or continuing reimbursement is not available at similar reimbursement rates, we may be forced to reduce our price to compete, which would impact our margins.</w:t>
      </w:r>
    </w:p>
    <w:p>
      <w:pPr>
        <w:spacing w:after="0" w:line="180" w:lineRule="exact"/>
        <w:rPr>
          <w:rFonts w:ascii="Arial" w:cs="Arial" w:eastAsia="Arial" w:hAnsi="Arial"/>
          <w:sz w:val="17"/>
          <w:szCs w:val="17"/>
          <w:color w:val="auto"/>
        </w:rPr>
      </w:pPr>
    </w:p>
    <w:p>
      <w:pPr>
        <w:ind w:left="660" w:right="80" w:hanging="328"/>
        <w:spacing w:after="0" w:line="263" w:lineRule="auto"/>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The success and cost of our clinical trials of SD-101</w:t>
      </w:r>
      <w:r>
        <w:rPr>
          <w:rFonts w:ascii="Arial" w:cs="Arial" w:eastAsia="Arial" w:hAnsi="Arial"/>
          <w:sz w:val="18"/>
          <w:szCs w:val="18"/>
          <w:color w:val="auto"/>
        </w:rPr>
        <w:t>. SD-101 is in Phase 1 human trials to determine if, when delivered via TriNav, it is safe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in treating certain cancers. As with all drug candidates, the cost of operating clinical trials can be substantial, with no guarantee that the trials will result in favorable data.</w:t>
      </w:r>
    </w:p>
    <w:p>
      <w:pPr>
        <w:spacing w:after="0" w:line="183"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Obtaining FDA approval of SD-101 for sale</w:t>
      </w:r>
      <w:r>
        <w:rPr>
          <w:rFonts w:ascii="Arial" w:cs="Arial" w:eastAsia="Arial" w:hAnsi="Arial"/>
          <w:sz w:val="18"/>
          <w:szCs w:val="18"/>
          <w:color w:val="auto"/>
        </w:rPr>
        <w:t>. Our clinical trials are still in early stages, and there is no certainty that we will generate 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data or that, upon review, the FDA will approve SD-101 for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In October 2022, we sold 28,571,428 shares of Series B-2 preferred stock in a private financing, primarily to existing stockholders, at a price of $0.35 per share (raising approximately $9.8 million, net of issuance costs) (the “Initial Preferred Stock Financing”). For each share sold, we also issued a warrant to purchase four shares of Series B-3 preferred stock for no additional consideration (warrants to purchase an aggregate of 114,285,712 shares of Series B-3 preferred stock were issued in the Initial Preferred Stock Financing). The strike price of the warrants issued was $0.05 per share. The Initial Preferred Stock Financing included, at the unilateral option of the Company, a second tranche for to the sale of up to 20,990,498 shares of Series B-2 preferred stock for approximately $7.3 million (which could be increased up to an aggregate of 28,571,428 shares of Series B-2 preferred stock for approximately</w:t>
      </w:r>
    </w:p>
    <w:p>
      <w:pPr>
        <w:spacing w:after="0" w:line="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$10.0 million), with each such share of Series B-2 preferred stock accompanied by a warrant to purchase four shares of Series B-3 preferred stock at a strike price of $0.05 per share (warrants to purchase up to an aggregate of 114,285,712 shares of Series B-3 preferred stock may be issued in closings of the second tranche of the Initial Preferred Stock Financing assuming the full $10.0 million is sold); and a third tranche, at the unilateral election of investors who participated in the second tranche, for the sale of up to 12,381,544 shares of Series B-2 preferred stock, for approximately $4.3 million (which could be increased up to an aggregate of 14,285,714 shares of Series B-2 preferred stock for approximately $5.0 million), with each such share of Series B-2 preferred stock accompanied by a warrant to purchase eight shares of Series B-3 preferred stock at a strike price of $0.05 per share (warrants to purchase up to an aggregate of 114,285,712 shares of Series B-3 preferred stock may be issued in the third tranche closing assuming the full $5.0 million is sold). We made offers to participate in the Series B-2 preferred stock financing to all of our existing preferred stockholders (representing approximately 99.2% of our then outstanding shares on an as converted to common stock basis) to continue to fund our operations through the expected period for completing the Business Combination, including our expenses in connection with the Business Combination and readying ourselves to be a public company.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26" w:name="page327"/>
    <w:bookmarkEnd w:id="326"/>
    <w:p>
      <w:pPr>
        <w:ind w:firstLine="324"/>
        <w:spacing w:after="0" w:line="268" w:lineRule="auto"/>
        <w:rPr>
          <w:sz w:val="20"/>
          <w:szCs w:val="20"/>
          <w:color w:val="auto"/>
        </w:rPr>
      </w:pPr>
      <w:r>
        <w:rPr>
          <w:rFonts w:ascii="Arial" w:cs="Arial" w:eastAsia="Arial" w:hAnsi="Arial"/>
          <w:sz w:val="17"/>
          <w:szCs w:val="17"/>
          <w:color w:val="auto"/>
        </w:rPr>
        <w:t>In March 2023, we effectuated closings of a portion of the second tranche of the Initial Preferred Stock Financing whereby (i) 8,396,207 shares of Series B-2 preferred stock and accompanying warrants to purchase 33,584,828 shares of Series B-3 preferred stock, representing 40% of the shares committed in the second tranche, were sold for an aggregate purchase price of approximately $2.9 million, and (ii) 714,285 shares of Series B-2 preferred stock and accompanying warrants to purchase 2,857,140 shares of Series B-3 preferred stock, none of which were shares committed in the second tranche, were sold for an aggregate purchase price of $0.25 million. As a result of the closings of a portion of the second tranche of the Initial Preferred Stock Financing described above, in accordance with the anti-dilution rights in the Company’s certificate of incorporation, the conversion prices of the Company’s preferred stock (i) were adjusted to $1.02 for Series A-1 preferred stock, $0.32 for Series A-2 preferred stock, $0.35 for Series A-3 preferred stock, $0.33 for Series A-4 preferred stock, $0.35 for Series A-5 preferred stock, $0.40 for Series A-6 preferred stock, $0.25 for Series B preferred stock, and $0.29 for Series B-1 preferred stock and (ii) remained the same for Series B-2 preferred stock ($0.35) and Series B-3 preferred stock ($0.05), which correlate to approximate (in each case rounded to three decimals) exchange ratios of 1.200 to 1 for Series A-1 preferred stock, 1.209 to 1 for Series A-2 preferred stock, 1.229 to 1 for Series A-3 preferred stock, 1.200 to 1 for Series A-4 preferred stock, 1.257 to 1 for Series A-5 preferred stock, 1.250 to 1 for Series A-6 preferred stock, 1.200 to 1 for Series B preferred stock, 1.207 to 1 for Series B-1 preferred stock, 1 to 1 for Series B-2 preferred stock and 1 to 1 for Series B-3 preferred stock.</w:t>
      </w:r>
    </w:p>
    <w:p>
      <w:pPr>
        <w:spacing w:after="0" w:line="18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June 2023, we effectuated closings of a portion of the second tranche of the Initial Preferred Stock Financing whereby (i) 10,428,583 shares of Series B-2 preferred stock and accompanying warrants to purchase 41,714,332 shares of Series B-3 preferred stock, representing approximately 49.7% of the shares committed in the second tranche, were sold for an aggregate purchase price of approximately $3.7 million, and (ii) 6,714,284 shares of Series B-2 preferred stock and accompanying warrants to purchase 26,857,136 shares of Series B-3 preferred stock, none of which were shares committed in the second tranche, were sold for an aggregate purchase price of approximately $2.3 million. As a result of the closings of a portion of the second tranche of the Initial Preferred Stock Financing described above, in accordance with the anti-dilution rights in the Company’s certificate of incorporation, the conversion prices of the Company’s preferred stock (i) were adjusted to $0.96 for Series A-1 preferred stock, $0.30 for Series A-2 preferred stock, $0.33 for Series A-3 preferred stock, $0.31 for Series A-4 preferred stock, $0.33 for Series A-5 preferred stock, $0.37 for Series A-6 preferred stock, $0.24 for Series B preferred stock, and $0.27 for Series B-1 preferred stock and (ii) remained the same for Series B-2 preferred stock ($0.35) and Series B-3 preferred stock ($0.05), which correlate to approximate (in each case rounded to three decimals) exchange ratios of 1.275 to 1 for Series A-1 preferred stock, 1.290 to 1 for Series A-2 preferred stock, 1.303 to 1 for Series A-3 preferred stock, 1.277 to 1 for Series A-4 preferred stock, 1.333 to 1 for Series A-5 preferred stock, 1.351 to 1 for Series A-6 preferred stock, 1.250 to 1 for Series B preferred stock, 1.296 to 1 for Series B-1 preferred stock, 1 to 1 for Series B-2 preferred stock and 1 to 1 for Series B-3 preferred stock.</w:t>
      </w:r>
    </w:p>
    <w:p>
      <w:pPr>
        <w:spacing w:after="0" w:line="1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July 2023, holders of warrants to purchase 90,619,356 shares of Series B-3 preferred stock exercised their purchase rights for proceeds of approximately $4.5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discussion sets forth certain components of our consolidated statements of operations as well as factors that impact those items.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currently operate in one reportable segment and revenue is generated primarily from sales of PEDD infusion systems to our customers, principally related to TriNav. Revenue is recognized when control of the promised goods or services is transferred to the customer in an amount that reflects the consideration to which we expect to be entitled in exchange for those products or services.</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primary end-user customers for our products are hospitals, clinics and physicians. We had certain arrangements with our distributors under which they purchase our products and then resell them in geographic markets where we do not have a sales presence. These arrangements provided for a discount on the invoice when the distributor resold our units at our normal sales price. Such sales are recorded net of the discounts. All such arrangements were terminated on or before December 31, 2022.</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goods sold primarily consists of raw materials, direct labor and manufacturing overhead costs related to sales of TriNav.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right="540" w:firstLine="324"/>
        <w:spacing w:after="0" w:line="286" w:lineRule="auto"/>
        <w:rPr>
          <w:sz w:val="20"/>
          <w:szCs w:val="20"/>
          <w:color w:val="auto"/>
        </w:rPr>
      </w:pPr>
      <w:r>
        <w:rPr>
          <w:rFonts w:ascii="Arial" w:cs="Arial" w:eastAsia="Arial" w:hAnsi="Arial"/>
          <w:sz w:val="17"/>
          <w:szCs w:val="17"/>
          <w:color w:val="auto"/>
        </w:rPr>
        <w:t>Gross profit represents revenue less cost of goods sold. Gross margin is gross profit expressed as a percentage of revenue. Our gross margin and overall profitability may in the future fluctuate from period to period based on a number of factors, such as the innovation initiatives we undertake, manufacturing costs and efficiencies, and obtaining a permanent reimbursement code for our product.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expenses consist of R&amp;D, sales and marketing and general and administrative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R&amp;D expenses include engineering, regulatory, pre-clinical and clinical activities. We expense R&amp;D costs as incurred. We recognize expenses for certain development activities, such as preclinical studies and manufacturing, based on an evaluation of the progress to completion of specific tasks using data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R&amp;D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7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R&amp;D activities account for a significant portion of our operating expenses. We expect our R&amp;D expenses to increase significantly in future periods as we continue to implement our business strategy, which includes advancing our manufacturing technologies into and through clinical development of SD-101, expanding our R&amp;D efforts, including hiring additional personnel to support our R&amp;D efforts, and seeking regulatory approvals for our drug candidates that successfully complete clinical trials. In addition, drug candidates in later stages of clinical development generally incur higher development costs than those in earlier stages of clinical development, primarily due to the increased size and duration of later-stage clinical trials. Accordingly, although we expect our R&amp;D expenses to increase as SD-101 advances into later stages of clinical development, we do not believe that it is possible at this time to accurately project total program-specific expenses through to commercialization.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Sales and marketing expense consists primarily of salaries, commissions, travel and related business expenses, attendance at medical society meetings, product promotions and marketing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General and administrative expense includes executive management, finance, information technology, human resources, business development, legal, and the administrative and professional costs associated with those activities. General and administrative costs also include corporate facility costs, including rent, utilities, depreciation and maintenance, not otherwise included in production or R&amp;D expenses, as well as regulatory and professional fees for legal, patent, accounting and other consulting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primarily consists of interest incurred under the term loan, convertible notes and amortization of debt issuance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Conversion of Convertible Notes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Loss on conversion of convertible notes primarily consists of the remaining balance of unamortized debt discounts associated with the conversion of the convertible notes upon a qualified financing.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b w:val="1"/>
          <w:bCs w:val="1"/>
          <w:i w:val="1"/>
          <w:iCs w:val="1"/>
          <w:color w:val="auto"/>
        </w:rPr>
        <w:t>Loss on Equity Issuance</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Loss on equity issuance represents the excess of the fair value of the warrants to purchase Series B-3 preferred stock and the Series B-2 tranche liabilities over the proceeds received from the Initial Preferred Stock Financing and subsequent tranche closings.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Tranche and Warrant Liabilities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Change in fair value of warrant and tranche liabilities represents the change in fair value of the warrants to purchase Series B-3 preferred stock and the Series B-2 tranche liabilities at each reporting period that were issued as part of the Initial Preferred Stock Financing.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and expense primarily consists of gain on forgiveness of our Paycheck Protection Program (“PPP”)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Deemed dividend related to Series B-2 preferred stock down round provision</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deemed dividend represents the value attributed to the increase in shares of common stock that preferred stockholders received as a result of the Series B-2 preferred stock financing rounds in October 2022 and March 2023, which was deemed to be a down round and triggered the anti-dilution provisions associated with our preferred stock. The resulting increase in value of the preferred stock was deemed to be a dividend to the preferred stockholders and was recognized as a non-cash adjustment to additional paid-in-capital.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Our income tax provision consists primarily of U.S. federal and state income taxes. We maintain a full valuation allowance for our federal and state deferred tax assets, including net operating loss carryforwards, as we have concluded that it is not more likely than not that the deferred tax assets will be realized.</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29" w:name="page330"/>
    <w:bookmarkEnd w:id="329"/>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20" w:type="dxa"/>
            <w:vAlign w:val="bottom"/>
            <w:gridSpan w:val="12"/>
          </w:tcPr>
          <w:p>
            <w:pPr>
              <w:ind w:left="340"/>
              <w:spacing w:after="0"/>
              <w:rPr>
                <w:sz w:val="20"/>
                <w:szCs w:val="20"/>
                <w:color w:val="auto"/>
              </w:rPr>
            </w:pPr>
            <w:r>
              <w:rPr>
                <w:rFonts w:ascii="Arial" w:cs="Arial" w:eastAsia="Arial" w:hAnsi="Arial"/>
                <w:sz w:val="18"/>
                <w:szCs w:val="18"/>
                <w:color w:val="auto"/>
                <w:w w:val="95"/>
              </w:rPr>
              <w:t>The following table sets forth our consolidated statements of operations data for each of the periods indicated (in thousands):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6"/>
          </w:tcPr>
          <w:p>
            <w:pPr>
              <w:jc w:val="right"/>
              <w:ind w:right="341"/>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Pr>
          <w:p>
            <w:pPr>
              <w:spacing w:after="0"/>
              <w:rPr>
                <w:sz w:val="24"/>
                <w:szCs w:val="24"/>
                <w:color w:val="auto"/>
              </w:rPr>
            </w:pPr>
          </w:p>
        </w:tc>
        <w:tc>
          <w:tcPr>
            <w:tcW w:w="2600" w:type="dxa"/>
            <w:vAlign w:val="bottom"/>
            <w:gridSpan w:val="6"/>
          </w:tcPr>
          <w:p>
            <w:pPr>
              <w:jc w:val="right"/>
              <w:ind w:right="321"/>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3"/>
        </w:trPr>
        <w:tc>
          <w:tcPr>
            <w:tcW w:w="51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100" w:type="dxa"/>
            <w:vAlign w:val="bottom"/>
            <w:shd w:val="clear" w:color="auto" w:fill="CCEEFF"/>
          </w:tcPr>
          <w:p>
            <w:pPr>
              <w:spacing w:after="0"/>
              <w:rPr>
                <w:sz w:val="18"/>
                <w:szCs w:val="18"/>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1,434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741</w:t>
            </w:r>
          </w:p>
        </w:tc>
      </w:tr>
      <w:tr>
        <w:trPr>
          <w:trHeight w:val="209"/>
        </w:trPr>
        <w:tc>
          <w:tcPr>
            <w:tcW w:w="5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5,516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12,504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10,283</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3,492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3,146</w:t>
            </w:r>
          </w:p>
        </w:tc>
        <w:tc>
          <w:tcPr>
            <w:tcW w:w="18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6,741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5,851</w:t>
            </w: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2,517</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8,472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4,929</w:t>
            </w:r>
          </w:p>
        </w:tc>
      </w:tr>
      <w:tr>
        <w:trPr>
          <w:trHeight w:val="210"/>
        </w:trPr>
        <w:tc>
          <w:tcPr>
            <w:tcW w:w="5180" w:type="dxa"/>
            <w:vAlign w:val="bottom"/>
          </w:tcPr>
          <w:p>
            <w:pPr>
              <w:ind w:left="34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(8,665)</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(16,556)</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Loss on equity issuance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Change in fair value of tranche and warrant liabilities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3,491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 net</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9"/>
        </w:trPr>
        <w:tc>
          <w:tcPr>
            <w:tcW w:w="5180" w:type="dxa"/>
            <w:vAlign w:val="bottom"/>
          </w:tcPr>
          <w:p>
            <w:pPr>
              <w:ind w:left="34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(8,676)</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(16,549)</w:t>
            </w:r>
          </w:p>
        </w:tc>
        <w:tc>
          <w:tcPr>
            <w:tcW w:w="100" w:type="dxa"/>
            <w:vAlign w:val="bottom"/>
          </w:tcPr>
          <w:p>
            <w:pPr>
              <w:spacing w:after="0"/>
              <w:rPr>
                <w:sz w:val="18"/>
                <w:szCs w:val="18"/>
                <w:color w:val="auto"/>
              </w:rPr>
            </w:pPr>
          </w:p>
        </w:tc>
      </w:tr>
      <w:tr>
        <w:trPr>
          <w:trHeight w:val="22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5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loss available to common stockholders</w:t>
            </w:r>
          </w:p>
        </w:tc>
        <w:tc>
          <w:tcPr>
            <w:tcW w:w="3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(13,974</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(8,679</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(22,242</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82"/>
        </w:trPr>
        <w:tc>
          <w:tcPr>
            <w:tcW w:w="5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Deemed dividend related to Series B-2 preferred stock down round</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44"/>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(2,022)</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(2,981)</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5180" w:type="dxa"/>
            <w:vAlign w:val="bottom"/>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(25,223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30" w:name="page331"/>
    <w:bookmarkEnd w:id="330"/>
    <w:p>
      <w:pPr>
        <w:ind w:left="340"/>
        <w:spacing w:after="0"/>
        <w:rPr>
          <w:sz w:val="20"/>
          <w:szCs w:val="20"/>
          <w:color w:val="auto"/>
        </w:rPr>
      </w:pPr>
      <w:r>
        <w:rPr>
          <w:rFonts w:ascii="Arial" w:cs="Arial" w:eastAsia="Arial" w:hAnsi="Arial"/>
          <w:sz w:val="18"/>
          <w:szCs w:val="18"/>
          <w:color w:val="auto"/>
        </w:rPr>
        <w:t>The following table sets forth our consolidated statements of operations data expressed as a percentage of revenue: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3060" w:type="dxa"/>
            <w:vAlign w:val="bottom"/>
            <w:gridSpan w:val="10"/>
          </w:tcPr>
          <w:p>
            <w:pPr>
              <w:jc w:val="right"/>
              <w:ind w:right="520"/>
              <w:spacing w:after="0"/>
              <w:rPr>
                <w:sz w:val="20"/>
                <w:szCs w:val="20"/>
                <w:color w:val="auto"/>
              </w:rPr>
            </w:pPr>
            <w:r>
              <w:rPr>
                <w:rFonts w:ascii="Arial" w:cs="Arial" w:eastAsia="Arial" w:hAnsi="Arial"/>
                <w:sz w:val="18"/>
                <w:szCs w:val="18"/>
                <w:b w:val="1"/>
                <w:bCs w:val="1"/>
                <w:color w:val="auto"/>
                <w:w w:val="98"/>
              </w:rPr>
              <w:t>Three Months Ended June 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2023</w:t>
            </w:r>
          </w:p>
        </w:tc>
        <w:tc>
          <w:tcPr>
            <w:tcW w:w="30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10"/>
              <w:spacing w:after="0"/>
              <w:rPr>
                <w:sz w:val="20"/>
                <w:szCs w:val="20"/>
                <w:color w:val="auto"/>
              </w:rPr>
            </w:pPr>
            <w:r>
              <w:rPr>
                <w:rFonts w:ascii="Arial" w:cs="Arial" w:eastAsia="Arial" w:hAnsi="Arial"/>
                <w:sz w:val="18"/>
                <w:szCs w:val="18"/>
                <w:color w:val="auto"/>
              </w:rPr>
              <w:t>16.7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148.8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164.6</w:t>
            </w:r>
          </w:p>
        </w:tc>
        <w:tc>
          <w:tcPr>
            <w:tcW w:w="2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0"/>
              <w:spacing w:after="0"/>
              <w:rPr>
                <w:sz w:val="20"/>
                <w:szCs w:val="20"/>
                <w:color w:val="auto"/>
              </w:rPr>
            </w:pPr>
            <w:r>
              <w:rPr>
                <w:rFonts w:ascii="Arial" w:cs="Arial" w:eastAsia="Arial" w:hAnsi="Arial"/>
                <w:sz w:val="18"/>
                <w:szCs w:val="18"/>
                <w:color w:val="auto"/>
              </w:rPr>
              <w:t>75.7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88.7</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106.7</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111.5</w:t>
            </w:r>
          </w:p>
        </w:tc>
        <w:tc>
          <w:tcPr>
            <w:tcW w:w="200" w:type="dxa"/>
            <w:vAlign w:val="bottom"/>
            <w:tcBorders>
              <w:right w:val="single" w:sz="8" w:color="CCEEFF"/>
            </w:tcBorders>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34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50"/>
              <w:spacing w:after="0"/>
              <w:rPr>
                <w:sz w:val="20"/>
                <w:szCs w:val="20"/>
                <w:color w:val="auto"/>
              </w:rPr>
            </w:pPr>
            <w:r>
              <w:rPr>
                <w:rFonts w:ascii="Arial" w:cs="Arial" w:eastAsia="Arial" w:hAnsi="Arial"/>
                <w:sz w:val="18"/>
                <w:szCs w:val="18"/>
                <w:color w:val="auto"/>
              </w:rPr>
              <w:t>(247.9)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(301.1)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(283.8)</w:t>
            </w:r>
          </w:p>
        </w:tc>
        <w:tc>
          <w:tcPr>
            <w:tcW w:w="200" w:type="dxa"/>
            <w:vAlign w:val="bottom"/>
          </w:tcPr>
          <w:p>
            <w:pPr>
              <w:spacing w:after="0"/>
              <w:rPr>
                <w:sz w:val="18"/>
                <w:szCs w:val="18"/>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2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5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on equity issuance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(78.1)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Borders>
              <w:right w:val="single" w:sz="8" w:color="CCEEFF"/>
            </w:tcBorders>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Change in fair value of tranche and warrant 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0"/>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 net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right w:val="single" w:sz="8" w:color="CCEEFF"/>
            </w:tcBorders>
            <w:shd w:val="clear" w:color="auto" w:fill="CCEEFF"/>
          </w:tcPr>
          <w:p>
            <w:pPr>
              <w:spacing w:after="0"/>
              <w:rPr>
                <w:sz w:val="19"/>
                <w:szCs w:val="19"/>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5240" w:type="dxa"/>
            <w:vAlign w:val="bottom"/>
          </w:tcPr>
          <w:p>
            <w:pPr>
              <w:ind w:left="3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right w:val="single" w:sz="8" w:color="CCEEFF"/>
            </w:tcBorders>
            <w:shd w:val="clear" w:color="auto" w:fill="CCEEFF"/>
          </w:tcPr>
          <w:p>
            <w:pPr>
              <w:spacing w:after="0"/>
              <w:rPr>
                <w:sz w:val="19"/>
                <w:szCs w:val="19"/>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5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loss available to common stockholders</w:t>
            </w: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0"/>
              </w:rPr>
              <w:t>)%</w:t>
            </w:r>
          </w:p>
        </w:tc>
        <w:tc>
          <w:tcPr>
            <w:tcW w:w="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1"/>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(292.8</w:t>
            </w:r>
          </w:p>
        </w:tc>
        <w:tc>
          <w:tcPr>
            <w:tcW w:w="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w w:val="8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(315.4</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182"/>
        </w:trPr>
        <w:tc>
          <w:tcPr>
            <w:tcW w:w="5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Deemed dividend related to Series B-2 preferred stock down round</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(39.2)%</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5240" w:type="dxa"/>
            <w:vAlign w:val="bottom"/>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30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8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w w:val="94"/>
              </w:rPr>
              <w:t>Comparison of the Three Months Ended June 30, 2023, and 2022</w:t>
            </w: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8"/>
          </w:tcPr>
          <w:p>
            <w:pPr>
              <w:jc w:val="right"/>
              <w:ind w:right="280"/>
              <w:spacing w:after="0"/>
              <w:rPr>
                <w:sz w:val="20"/>
                <w:szCs w:val="20"/>
                <w:color w:val="auto"/>
              </w:rPr>
            </w:pPr>
            <w:r>
              <w:rPr>
                <w:rFonts w:ascii="Arial" w:cs="Arial" w:eastAsia="Arial" w:hAnsi="Arial"/>
                <w:sz w:val="18"/>
                <w:szCs w:val="18"/>
                <w:b w:val="1"/>
                <w:bCs w:val="1"/>
                <w:color w:val="auto"/>
                <w:w w:val="92"/>
              </w:rPr>
              <w:t>Three Months Ended 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tcPr>
          <w:p>
            <w:pPr>
              <w:ind w:left="380"/>
              <w:spacing w:after="0"/>
              <w:rPr>
                <w:sz w:val="20"/>
                <w:szCs w:val="20"/>
                <w:color w:val="auto"/>
              </w:rPr>
            </w:pPr>
            <w:r>
              <w:rPr>
                <w:rFonts w:ascii="Arial" w:cs="Arial" w:eastAsia="Arial" w:hAnsi="Arial"/>
                <w:sz w:val="18"/>
                <w:szCs w:val="18"/>
                <w:b w:val="1"/>
                <w:bCs w:val="1"/>
                <w:color w:val="auto"/>
              </w:rPr>
              <w:t>(dollars in</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4,612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2,878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1,734</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Revenue increased by $1.7 million or 60.3% for the three months ended June 30, 2023, as compared to the three months ended June 30, 2022. The increase in revenue was primarily due to an increase of $1.5 million in sales of TriNav as our launch of the product, begun in 2020, recovered from the impact of the Covid-19 pandemic. In addition, we recorded a reduction in sales discounts of $0.2 million as we terminated the distributor agreements that required the discounts.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Cost of Goods Sold and Gross Profit</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0"/>
              </w:rPr>
              <w:t>Three Months Ended June 30,</w:t>
            </w:r>
          </w:p>
        </w:tc>
        <w:tc>
          <w:tcPr>
            <w:tcW w:w="200" w:type="dxa"/>
            <w:vAlign w:val="bottom"/>
          </w:tcPr>
          <w:p>
            <w:pPr>
              <w:spacing w:after="0"/>
              <w:rPr>
                <w:sz w:val="24"/>
                <w:szCs w:val="24"/>
                <w:color w:val="auto"/>
              </w:rPr>
            </w:pP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r>
      <w:tr>
        <w:trPr>
          <w:trHeight w:val="210"/>
        </w:trPr>
        <w:tc>
          <w:tcPr>
            <w:tcW w:w="55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340"/>
              <w:spacing w:after="0"/>
              <w:rPr>
                <w:sz w:val="20"/>
                <w:szCs w:val="20"/>
                <w:color w:val="auto"/>
              </w:rPr>
            </w:pPr>
            <w:r>
              <w:rPr>
                <w:rFonts w:ascii="Arial" w:cs="Arial" w:eastAsia="Arial" w:hAnsi="Arial"/>
                <w:sz w:val="18"/>
                <w:szCs w:val="18"/>
                <w:b w:val="1"/>
                <w:bCs w:val="1"/>
                <w:color w:val="auto"/>
              </w:rPr>
              <w:t>(dollars in</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112.1%</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3,840</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1,326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52.7%</w:t>
            </w:r>
          </w:p>
        </w:tc>
      </w:tr>
      <w:tr>
        <w:trPr>
          <w:trHeight w:val="634"/>
        </w:trPr>
        <w:tc>
          <w:tcPr>
            <w:tcW w:w="5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31" w:name="page332"/>
    <w:bookmarkEnd w:id="331"/>
    <w:p>
      <w:pPr>
        <w:ind w:right="240" w:firstLine="324"/>
        <w:spacing w:after="0" w:line="277" w:lineRule="auto"/>
        <w:rPr>
          <w:sz w:val="20"/>
          <w:szCs w:val="20"/>
          <w:color w:val="auto"/>
        </w:rPr>
      </w:pPr>
      <w:r>
        <w:rPr>
          <w:rFonts w:ascii="Arial" w:cs="Arial" w:eastAsia="Arial" w:hAnsi="Arial"/>
          <w:sz w:val="18"/>
          <w:szCs w:val="18"/>
          <w:color w:val="auto"/>
        </w:rPr>
        <w:t>Cost of goods sold increased by $0.4 million, or 112.1%, for the three months ended June 30, 2023, as compared to the three months ended June 30, 2022. The increase in cost of goods sold was primarily due to additional production of TriNav to support our sales growth.</w:t>
      </w:r>
    </w:p>
    <w:p>
      <w:pPr>
        <w:spacing w:after="0" w:line="1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Gross profit increased by $1.3 million or 52.7%, and gross margin decreased to 83.3% from 87.4% for the three months ended June 30, 2023, as compared to the three months ended June 30, 2022, respectively. The increase in gross profit was due primarily to the increase in revenue. The reduction in gross margin was driven principally by higher labor costs, partially offset by lower material costs.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2"/>
              </w:rPr>
              <w:t>Three Months Ended June 30,</w:t>
            </w:r>
          </w:p>
        </w:tc>
        <w:tc>
          <w:tcPr>
            <w:tcW w:w="200" w:type="dxa"/>
            <w:vAlign w:val="bottom"/>
          </w:tcPr>
          <w:p>
            <w:pPr>
              <w:spacing w:after="0"/>
              <w:rPr>
                <w:sz w:val="24"/>
                <w:szCs w:val="24"/>
                <w:color w:val="auto"/>
              </w:rPr>
            </w:pP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r>
      <w:tr>
        <w:trPr>
          <w:trHeight w:val="209"/>
        </w:trPr>
        <w:tc>
          <w:tcPr>
            <w:tcW w:w="55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ind w:left="380"/>
              <w:spacing w:after="0"/>
              <w:rPr>
                <w:sz w:val="20"/>
                <w:szCs w:val="20"/>
                <w:color w:val="auto"/>
              </w:rPr>
            </w:pPr>
            <w:r>
              <w:rPr>
                <w:rFonts w:ascii="Arial" w:cs="Arial" w:eastAsia="Arial" w:hAnsi="Arial"/>
                <w:sz w:val="18"/>
                <w:szCs w:val="18"/>
                <w:b w:val="1"/>
                <w:bCs w:val="1"/>
                <w:color w:val="auto"/>
              </w:rPr>
              <w:t>(dollars in</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6,862</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r>
    </w:tbl>
    <w:p>
      <w:pPr>
        <w:spacing w:after="0" w:line="202"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R&amp;D expenses increased by $1.3 million, or 24.4%, for the three months ended June 30, 2023, as compared to the three months ended June 30, 2022. The increase was primarily driven by increased activity in our three clinical trials of our drug candidate, SD-101, along with small increases in headcount related expenses and travel.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2"/>
              </w:rPr>
              <w:t>Three Months Ended June 30,</w:t>
            </w:r>
          </w:p>
        </w:tc>
        <w:tc>
          <w:tcPr>
            <w:tcW w:w="200" w:type="dxa"/>
            <w:vAlign w:val="bottom"/>
          </w:tcPr>
          <w:p>
            <w:pPr>
              <w:spacing w:after="0"/>
              <w:rPr>
                <w:sz w:val="24"/>
                <w:szCs w:val="24"/>
                <w:color w:val="auto"/>
              </w:rPr>
            </w:pP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r>
      <w:tr>
        <w:trPr>
          <w:trHeight w:val="210"/>
        </w:trPr>
        <w:tc>
          <w:tcPr>
            <w:tcW w:w="55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ind w:left="380"/>
              <w:spacing w:after="0"/>
              <w:rPr>
                <w:sz w:val="20"/>
                <w:szCs w:val="20"/>
                <w:color w:val="auto"/>
              </w:rPr>
            </w:pPr>
            <w:r>
              <w:rPr>
                <w:rFonts w:ascii="Arial" w:cs="Arial" w:eastAsia="Arial" w:hAnsi="Arial"/>
                <w:sz w:val="18"/>
                <w:szCs w:val="18"/>
                <w:b w:val="1"/>
                <w:bCs w:val="1"/>
                <w:color w:val="auto"/>
              </w:rPr>
              <w:t>(dollars in</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3,492</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r>
    </w:tbl>
    <w:p>
      <w:pPr>
        <w:spacing w:after="0" w:line="202"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Sales and marketing expenses increased by $0.3 million or 11.0%, for the three months ended June 30, 2023, as compared to the three months ended June 30, 2022. The increase was primarily driven by a $0.8 million increase for payroll and travel expenses due to increased headcount of sales and marketing personnel to support our sales of TriNav. The increase was partially offset by a reduction in professional services of $0.5 million, reflecting lower expenditures after completing development of our web site and social media platforms.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2"/>
              </w:rPr>
              <w:t>Three Months Ended June 30,</w:t>
            </w:r>
          </w:p>
        </w:tc>
        <w:tc>
          <w:tcPr>
            <w:tcW w:w="200" w:type="dxa"/>
            <w:vAlign w:val="bottom"/>
          </w:tcPr>
          <w:p>
            <w:pPr>
              <w:spacing w:after="0"/>
              <w:rPr>
                <w:sz w:val="24"/>
                <w:szCs w:val="24"/>
                <w:color w:val="auto"/>
              </w:rPr>
            </w:pP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r>
      <w:tr>
        <w:trPr>
          <w:trHeight w:val="210"/>
        </w:trPr>
        <w:tc>
          <w:tcPr>
            <w:tcW w:w="55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ind w:left="380"/>
              <w:spacing w:after="0"/>
              <w:rPr>
                <w:sz w:val="20"/>
                <w:szCs w:val="20"/>
                <w:color w:val="auto"/>
              </w:rPr>
            </w:pPr>
            <w:r>
              <w:rPr>
                <w:rFonts w:ascii="Arial" w:cs="Arial" w:eastAsia="Arial" w:hAnsi="Arial"/>
                <w:sz w:val="18"/>
                <w:szCs w:val="18"/>
                <w:b w:val="1"/>
                <w:bCs w:val="1"/>
                <w:color w:val="auto"/>
              </w:rPr>
              <w:t>(dollars in</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4,920</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w:t>
            </w:r>
          </w:p>
        </w:tc>
      </w:tr>
    </w:tbl>
    <w:p>
      <w:pPr>
        <w:spacing w:after="0" w:line="20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General and administrative expenses increased by $2.4 million, or 95.5%, for the three months ended June 30, 2023, as compared to the three months ended June 30, 2022. The increase was primarily due to a $1.8 million increase for professional services, principally for consulting and auditing work in connection with our issuance of Series B-2 preferred stock and the Business Combination, and a $0.6 increase in payroll and travel expenses related to additional personnel.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0"/>
              </w:rPr>
              <w:t>Three Months Ended June 30,</w:t>
            </w:r>
          </w:p>
        </w:tc>
        <w:tc>
          <w:tcPr>
            <w:tcW w:w="20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3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8"/>
                <w:szCs w:val="18"/>
                <w:color w:val="auto"/>
              </w:rPr>
            </w:pPr>
          </w:p>
        </w:tc>
      </w:tr>
      <w:tr>
        <w:trPr>
          <w:trHeight w:val="210"/>
        </w:trPr>
        <w:tc>
          <w:tcPr>
            <w:tcW w:w="3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ind w:left="360"/>
              <w:spacing w:after="0"/>
              <w:rPr>
                <w:sz w:val="20"/>
                <w:szCs w:val="20"/>
                <w:color w:val="auto"/>
              </w:rPr>
            </w:pPr>
            <w:r>
              <w:rPr>
                <w:rFonts w:ascii="Arial" w:cs="Arial" w:eastAsia="Arial" w:hAnsi="Arial"/>
                <w:sz w:val="18"/>
                <w:szCs w:val="18"/>
                <w:b w:val="1"/>
                <w:bCs w:val="1"/>
                <w:color w:val="auto"/>
              </w:rPr>
              <w:t>(dollars in</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r>
      <w:tr>
        <w:trPr>
          <w:trHeight w:val="648"/>
        </w:trPr>
        <w:tc>
          <w:tcPr>
            <w:tcW w:w="33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32" w:name="page333"/>
    <w:bookmarkEnd w:id="332"/>
    <w:p>
      <w:pPr>
        <w:ind w:firstLine="324"/>
        <w:spacing w:after="0" w:line="342" w:lineRule="auto"/>
        <w:rPr>
          <w:sz w:val="20"/>
          <w:szCs w:val="20"/>
          <w:color w:val="auto"/>
        </w:rPr>
      </w:pPr>
      <w:r>
        <w:rPr>
          <w:rFonts w:ascii="Arial" w:cs="Arial" w:eastAsia="Arial" w:hAnsi="Arial"/>
          <w:sz w:val="16"/>
          <w:szCs w:val="16"/>
          <w:color w:val="auto"/>
        </w:rPr>
        <w:t>Interest income increased by $11 thousand for the three months ended June 30, 2023, as compared to the three months ended June 30, 2022. The increase was due to higher interest received from the investment of our excess cash in short-term money market funds in three months ended June 30,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b w:val="1"/>
                <w:bCs w:val="1"/>
                <w:i w:val="1"/>
                <w:iCs w:val="1"/>
                <w:color w:val="auto"/>
              </w:rPr>
              <w:t>Loss on Equity Issuance</w:t>
            </w: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7"/>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209"/>
        </w:trPr>
        <w:tc>
          <w:tcPr>
            <w:tcW w:w="3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8"/>
                <w:szCs w:val="18"/>
                <w:color w:val="auto"/>
              </w:rPr>
            </w:pPr>
          </w:p>
        </w:tc>
      </w:tr>
      <w:tr>
        <w:trPr>
          <w:trHeight w:val="209"/>
        </w:trPr>
        <w:tc>
          <w:tcPr>
            <w:tcW w:w="3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ind w:left="380"/>
              <w:spacing w:after="0"/>
              <w:rPr>
                <w:sz w:val="20"/>
                <w:szCs w:val="20"/>
                <w:color w:val="auto"/>
              </w:rPr>
            </w:pPr>
            <w:r>
              <w:rPr>
                <w:rFonts w:ascii="Arial" w:cs="Arial" w:eastAsia="Arial" w:hAnsi="Arial"/>
                <w:sz w:val="18"/>
                <w:szCs w:val="18"/>
                <w:b w:val="1"/>
                <w:bCs w:val="1"/>
                <w:color w:val="auto"/>
              </w:rPr>
              <w:t>(dollars in</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Loss on equity issuance</w:t>
            </w:r>
          </w:p>
        </w:tc>
        <w:tc>
          <w:tcPr>
            <w:tcW w:w="2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(3,604)</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(3,604)</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 loss on equity issuance of $3.6 million was recorded in the three months ended June 30, 2023, attributable to the issuance of Series B-2 preferred stock and the accompanying warrants to purchase Series B-3 preferred stock, which were valued at $4.0 million in excess of the proceeds received as part of the partial closing of the second tranche. The fair value exceeded proceeds primarily due to the issuance of warrants to purchase four shares of Series B-3 preferred stock for every one share of Series B-2 preferred stock purchased. This was partially offset by a gain on the extinguishment of the tranche liabilities of $0.6 million due to the issuance of 17,142,867 shares of Series B-2 preferred stock, with accompanying warrants to purchase four shares of Series B-3 preferred stock, in June 2023 for proceeds of $6,000.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auto"/>
              </w:rPr>
              <w:t>Change in Fair Value of Tranche and Warrant Liabilities</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7"/>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209"/>
        </w:trPr>
        <w:tc>
          <w:tcPr>
            <w:tcW w:w="4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8"/>
                <w:szCs w:val="18"/>
                <w:color w:val="auto"/>
              </w:rPr>
            </w:pPr>
          </w:p>
        </w:tc>
      </w:tr>
      <w:tr>
        <w:trPr>
          <w:trHeight w:val="209"/>
        </w:trPr>
        <w:tc>
          <w:tcPr>
            <w:tcW w:w="4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ind w:left="380"/>
              <w:spacing w:after="0"/>
              <w:rPr>
                <w:sz w:val="20"/>
                <w:szCs w:val="20"/>
                <w:color w:val="auto"/>
              </w:rPr>
            </w:pPr>
            <w:r>
              <w:rPr>
                <w:rFonts w:ascii="Arial" w:cs="Arial" w:eastAsia="Arial" w:hAnsi="Arial"/>
                <w:sz w:val="18"/>
                <w:szCs w:val="18"/>
                <w:b w:val="1"/>
                <w:bCs w:val="1"/>
                <w:color w:val="auto"/>
              </w:rPr>
              <w:t>(dollars in</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tranche and warrant liabilities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fair value of tranche and warrant liabilities resulted in a gain of $1.1 million in the three months ended June 30,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Deemed dividend related to Series B-2 preferred stock down round provision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7"/>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8"/>
                <w:szCs w:val="18"/>
                <w:color w:val="auto"/>
              </w:rPr>
            </w:pPr>
          </w:p>
        </w:tc>
      </w:tr>
      <w:tr>
        <w:trPr>
          <w:trHeight w:val="210"/>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ind w:left="380"/>
              <w:spacing w:after="0"/>
              <w:rPr>
                <w:sz w:val="20"/>
                <w:szCs w:val="20"/>
                <w:color w:val="auto"/>
              </w:rPr>
            </w:pPr>
            <w:r>
              <w:rPr>
                <w:rFonts w:ascii="Arial" w:cs="Arial" w:eastAsia="Arial" w:hAnsi="Arial"/>
                <w:sz w:val="18"/>
                <w:szCs w:val="18"/>
                <w:b w:val="1"/>
                <w:bCs w:val="1"/>
                <w:color w:val="auto"/>
              </w:rPr>
              <w:t>(dollars in</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Deemed dividend related to Series B-2 preferred stock down round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(2,022)</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(2,022)</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The deemed dividend is related to the closings of a portion of the second tranche of the Initial Preferred Stock Financing in June 2023, which was deemed to be a down round and triggered the anti-dilution provisions associated with our preferred stock. As a result, the conversion prices of all prior series of preferred stock were adjusted such that the holders would receive more shares of common stock upon conversion than previously. The resulting increase in value of the preferred stock was deemed to be a dividend to the preferred stockholders and we recognized a $2.0 million, non-cash adjustment to additional paid-in-capital for the three months ended June 30, 2023. There was no such adjustment recorded in the three months ended June 30,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2023, and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1"/>
              </w:rPr>
              <w:t>Six Months Ended June 30,</w:t>
            </w:r>
          </w:p>
        </w:tc>
        <w:tc>
          <w:tcPr>
            <w:tcW w:w="200" w:type="dxa"/>
            <w:vAlign w:val="bottom"/>
          </w:tcPr>
          <w:p>
            <w:pPr>
              <w:spacing w:after="0"/>
              <w:rPr>
                <w:sz w:val="20"/>
                <w:szCs w:val="20"/>
                <w:color w:val="auto"/>
              </w:rPr>
            </w:pP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80"/>
              <w:spacing w:after="0"/>
              <w:rPr>
                <w:sz w:val="20"/>
                <w:szCs w:val="20"/>
                <w:color w:val="auto"/>
              </w:rPr>
            </w:pPr>
            <w:r>
              <w:rPr>
                <w:rFonts w:ascii="Arial" w:cs="Arial" w:eastAsia="Arial" w:hAnsi="Arial"/>
                <w:sz w:val="18"/>
                <w:szCs w:val="18"/>
                <w:b w:val="1"/>
                <w:bCs w:val="1"/>
                <w:color w:val="auto"/>
              </w:rPr>
              <w:t>(dollars in</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7,596</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w:t>
            </w:r>
          </w:p>
        </w:tc>
      </w:tr>
      <w:tr>
        <w:trPr>
          <w:trHeight w:val="648"/>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33" w:name="page334"/>
    <w:bookmarkEnd w:id="333"/>
    <w:p>
      <w:pPr>
        <w:ind w:right="160" w:firstLine="324"/>
        <w:spacing w:after="0" w:line="263" w:lineRule="auto"/>
        <w:rPr>
          <w:sz w:val="20"/>
          <w:szCs w:val="20"/>
          <w:color w:val="auto"/>
        </w:rPr>
      </w:pPr>
      <w:r>
        <w:rPr>
          <w:rFonts w:ascii="Arial" w:cs="Arial" w:eastAsia="Arial" w:hAnsi="Arial"/>
          <w:sz w:val="18"/>
          <w:szCs w:val="18"/>
          <w:color w:val="auto"/>
        </w:rPr>
        <w:t>Revenue increased $2.3 million, or 44.7%, for the six months ended June 30, 2023, as compared to the six months ended June 30, 2022. The increase was primarily due to higher sales volume of TriNav, amounting to $2.0 million, and a reduction in discounts of $0.3 million as a result of the shift away from sales to distributors.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Cost of Goods Sold and Gross Profit</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3"/>
              </w:rPr>
              <w:t>Six Months Ended June 30,</w:t>
            </w:r>
          </w:p>
        </w:tc>
        <w:tc>
          <w:tcPr>
            <w:tcW w:w="200" w:type="dxa"/>
            <w:vAlign w:val="bottom"/>
          </w:tcPr>
          <w:p>
            <w:pPr>
              <w:spacing w:after="0"/>
              <w:rPr>
                <w:sz w:val="24"/>
                <w:szCs w:val="24"/>
                <w:color w:val="auto"/>
              </w:rPr>
            </w:pP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r>
      <w:tr>
        <w:trPr>
          <w:trHeight w:val="209"/>
        </w:trPr>
        <w:tc>
          <w:tcPr>
            <w:tcW w:w="55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ind w:left="320"/>
              <w:spacing w:after="0"/>
              <w:rPr>
                <w:sz w:val="20"/>
                <w:szCs w:val="20"/>
                <w:color w:val="auto"/>
              </w:rPr>
            </w:pPr>
            <w:r>
              <w:rPr>
                <w:rFonts w:ascii="Arial" w:cs="Arial" w:eastAsia="Arial" w:hAnsi="Arial"/>
                <w:sz w:val="18"/>
                <w:szCs w:val="18"/>
                <w:b w:val="1"/>
                <w:bCs w:val="1"/>
                <w:color w:val="auto"/>
              </w:rPr>
              <w:t>(dollars in</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1,434</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6,162</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4,507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1,655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36.7%</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Cost of goods sold increased by $0.7 million, or 93.5%, for the six months ended June 30, 2023, as compared to the six months ended June 30, 2022.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cost of goods sold was primarily due to the higher volume of TriNav produced in the period to support the higher sales volume.</w:t>
      </w:r>
    </w:p>
    <w:p>
      <w:pPr>
        <w:spacing w:after="0" w:line="22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Gross profit increased by $1.7 million, or 36.7%, for the six months ended June 30, 2023, as compared to the six months ended June 30, 2022, and gross margin decreased from 85.9% to 81.1%. The increase in gross profit was driven primarily by higher sales volume. The decrease in gross margin was driven primarily by higher material costs.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5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3"/>
              </w:rPr>
              <w:t>Six Months Ended June 30,</w:t>
            </w:r>
          </w:p>
        </w:tc>
        <w:tc>
          <w:tcPr>
            <w:tcW w:w="200" w:type="dxa"/>
            <w:vAlign w:val="bottom"/>
          </w:tcPr>
          <w:p>
            <w:pPr>
              <w:spacing w:after="0"/>
              <w:rPr>
                <w:sz w:val="24"/>
                <w:szCs w:val="24"/>
                <w:color w:val="auto"/>
              </w:rPr>
            </w:pP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r>
      <w:tr>
        <w:trPr>
          <w:trHeight w:val="210"/>
        </w:trPr>
        <w:tc>
          <w:tcPr>
            <w:tcW w:w="55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ind w:left="320"/>
              <w:spacing w:after="0"/>
              <w:rPr>
                <w:sz w:val="20"/>
                <w:szCs w:val="20"/>
                <w:color w:val="auto"/>
              </w:rPr>
            </w:pPr>
            <w:r>
              <w:rPr>
                <w:rFonts w:ascii="Arial" w:cs="Arial" w:eastAsia="Arial" w:hAnsi="Arial"/>
                <w:sz w:val="18"/>
                <w:szCs w:val="18"/>
                <w:b w:val="1"/>
                <w:bCs w:val="1"/>
                <w:color w:val="auto"/>
              </w:rPr>
              <w:t>(dollars in</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12,504</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r>
    </w:tbl>
    <w:p>
      <w:pPr>
        <w:spacing w:after="0" w:line="20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R&amp;D expenses increased by $2.2 million, or 21.6%, for the six months ended June 30, 2023, as compared to the six months ended June 30, 2022. The increase was primarily due to a $1.8 million increase in spend on our clinical trials, an increase of $0.5 million for development of manufacturing of SD-101, and a decrease of $0.1 million in spend on professional services as we increased our headcount.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3"/>
              </w:rPr>
              <w:t>Six Months Ended June 30,</w:t>
            </w:r>
          </w:p>
        </w:tc>
        <w:tc>
          <w:tcPr>
            <w:tcW w:w="200" w:type="dxa"/>
            <w:vAlign w:val="bottom"/>
          </w:tcPr>
          <w:p>
            <w:pPr>
              <w:spacing w:after="0"/>
              <w:rPr>
                <w:sz w:val="24"/>
                <w:szCs w:val="24"/>
                <w:color w:val="auto"/>
              </w:rPr>
            </w:pP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r>
      <w:tr>
        <w:trPr>
          <w:trHeight w:val="209"/>
        </w:trPr>
        <w:tc>
          <w:tcPr>
            <w:tcW w:w="55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ind w:left="320"/>
              <w:spacing w:after="0"/>
              <w:rPr>
                <w:sz w:val="20"/>
                <w:szCs w:val="20"/>
                <w:color w:val="auto"/>
              </w:rPr>
            </w:pPr>
            <w:r>
              <w:rPr>
                <w:rFonts w:ascii="Arial" w:cs="Arial" w:eastAsia="Arial" w:hAnsi="Arial"/>
                <w:sz w:val="18"/>
                <w:szCs w:val="18"/>
                <w:b w:val="1"/>
                <w:bCs w:val="1"/>
                <w:color w:val="auto"/>
              </w:rPr>
              <w:t>(dollars in</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6,741</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r>
    </w:tbl>
    <w:p>
      <w:pPr>
        <w:spacing w:after="0" w:line="202"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Sales and marketing expenses increased by $0.9 million, or 15.2%, for the six months ended June 30, 2023, as compared to the six months ended June 30, 2022. The increase was primarily driven by a $1.2 million increase for additional payroll expenses due to an increase in headcount of sales and marketing personnel, and $0.1 million of additional travel expense, partially offset by a $0.5 million decrease in marketing expense, reflecting lower expenditures after completing development of our web site and social media platforms.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3"/>
              </w:rPr>
              <w:t>Six Months Ended June 30,</w:t>
            </w:r>
          </w:p>
        </w:tc>
        <w:tc>
          <w:tcPr>
            <w:tcW w:w="200" w:type="dxa"/>
            <w:vAlign w:val="bottom"/>
          </w:tcPr>
          <w:p>
            <w:pPr>
              <w:spacing w:after="0"/>
              <w:rPr>
                <w:sz w:val="24"/>
                <w:szCs w:val="24"/>
                <w:color w:val="auto"/>
              </w:rPr>
            </w:pP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r>
      <w:tr>
        <w:trPr>
          <w:trHeight w:val="209"/>
        </w:trPr>
        <w:tc>
          <w:tcPr>
            <w:tcW w:w="55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ind w:left="320"/>
              <w:spacing w:after="0"/>
              <w:rPr>
                <w:sz w:val="20"/>
                <w:szCs w:val="20"/>
                <w:color w:val="auto"/>
              </w:rPr>
            </w:pPr>
            <w:r>
              <w:rPr>
                <w:rFonts w:ascii="Arial" w:cs="Arial" w:eastAsia="Arial" w:hAnsi="Arial"/>
                <w:sz w:val="18"/>
                <w:szCs w:val="18"/>
                <w:b w:val="1"/>
                <w:bCs w:val="1"/>
                <w:color w:val="auto"/>
              </w:rPr>
              <w:t>(dollars in</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8,472</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w:t>
            </w:r>
          </w:p>
        </w:tc>
      </w:tr>
    </w:tbl>
    <w:p>
      <w:pPr>
        <w:spacing w:after="0" w:line="202"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General and administrative expenses increased by $3.5 million, or 71.9%, for the six months ended June 30, 2023, as compared to the six months ended June 30, 2022. The increase was primarily due to a $2.8 million increase in professional service fee due to additional legal and audit-related expenditures for the Business Combination, and a $0.7 million increase for payroll and personnel expenses due to increased headcount of general and administrative personnel.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r>
              <w:rPr>
                <w:rFonts w:ascii="Arial" w:cs="Arial" w:eastAsia="Arial" w:hAnsi="Arial"/>
                <w:sz w:val="18"/>
                <w:szCs w:val="18"/>
                <w:b w:val="1"/>
                <w:bCs w:val="1"/>
                <w:i w:val="1"/>
                <w:iCs w:val="1"/>
                <w:color w:val="auto"/>
              </w:rPr>
              <w:t>Interest Income</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6"/>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200" w:type="dxa"/>
            <w:vAlign w:val="bottom"/>
          </w:tcPr>
          <w:p>
            <w:pPr>
              <w:spacing w:after="0"/>
              <w:rPr>
                <w:sz w:val="24"/>
                <w:szCs w:val="24"/>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r>
      <w:tr>
        <w:trPr>
          <w:trHeight w:val="210"/>
        </w:trPr>
        <w:tc>
          <w:tcPr>
            <w:tcW w:w="54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18"/>
                <w:szCs w:val="18"/>
                <w:color w:val="auto"/>
              </w:rPr>
            </w:pPr>
          </w:p>
        </w:tc>
      </w:tr>
      <w:tr>
        <w:trPr>
          <w:trHeight w:val="209"/>
        </w:trPr>
        <w:tc>
          <w:tcPr>
            <w:tcW w:w="5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ind w:left="320"/>
              <w:spacing w:after="0"/>
              <w:rPr>
                <w:sz w:val="20"/>
                <w:szCs w:val="20"/>
                <w:color w:val="auto"/>
              </w:rPr>
            </w:pPr>
            <w:r>
              <w:rPr>
                <w:rFonts w:ascii="Arial" w:cs="Arial" w:eastAsia="Arial" w:hAnsi="Arial"/>
                <w:sz w:val="18"/>
                <w:szCs w:val="18"/>
                <w:b w:val="1"/>
                <w:bCs w:val="1"/>
                <w:color w:val="auto"/>
              </w:rPr>
              <w:t>(dollars in</w:t>
            </w: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(173.1%)</w:t>
            </w:r>
          </w:p>
        </w:tc>
      </w:tr>
    </w:tbl>
    <w:p>
      <w:pPr>
        <w:spacing w:after="0" w:line="20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Interest income increased by $45.0 thousand, or (173.1%), for the six months ended June 30, 2023, as compared to the six months ended June 30, 2022. The increase was primarily due to a combination of higher surplus cash balances invested in money market funds and higher interest rates during the six months ended June 30,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b w:val="1"/>
                <w:bCs w:val="1"/>
                <w:i w:val="1"/>
                <w:iCs w:val="1"/>
                <w:color w:val="auto"/>
              </w:rPr>
              <w:t>Loss on Equity Issuance</w:t>
            </w: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4"/>
              </w:rPr>
              <w:t>Six Months Ended June 30,</w:t>
            </w:r>
          </w:p>
        </w:tc>
        <w:tc>
          <w:tcPr>
            <w:tcW w:w="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209"/>
        </w:trPr>
        <w:tc>
          <w:tcPr>
            <w:tcW w:w="3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8"/>
                <w:szCs w:val="18"/>
                <w:color w:val="auto"/>
              </w:rPr>
            </w:pPr>
          </w:p>
        </w:tc>
      </w:tr>
      <w:tr>
        <w:trPr>
          <w:trHeight w:val="209"/>
        </w:trPr>
        <w:tc>
          <w:tcPr>
            <w:tcW w:w="3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ind w:left="340"/>
              <w:spacing w:after="0"/>
              <w:rPr>
                <w:sz w:val="20"/>
                <w:szCs w:val="20"/>
                <w:color w:val="auto"/>
              </w:rPr>
            </w:pPr>
            <w:r>
              <w:rPr>
                <w:rFonts w:ascii="Arial" w:cs="Arial" w:eastAsia="Arial" w:hAnsi="Arial"/>
                <w:sz w:val="18"/>
                <w:szCs w:val="18"/>
                <w:b w:val="1"/>
                <w:bCs w:val="1"/>
                <w:color w:val="auto"/>
              </w:rPr>
              <w:t>(dollars in</w:t>
            </w:r>
          </w:p>
        </w:tc>
        <w:tc>
          <w:tcPr>
            <w:tcW w:w="980" w:type="dxa"/>
            <w:vAlign w:val="bottom"/>
          </w:tcPr>
          <w:p>
            <w:pPr>
              <w:spacing w:after="0"/>
              <w:rPr>
                <w:sz w:val="20"/>
                <w:szCs w:val="20"/>
                <w:color w:val="auto"/>
              </w:rPr>
            </w:pPr>
            <w:r>
              <w:rPr>
                <w:rFonts w:ascii="Arial" w:cs="Arial" w:eastAsia="Arial" w:hAnsi="Arial"/>
                <w:sz w:val="18"/>
                <w:szCs w:val="18"/>
                <w:b w:val="1"/>
                <w:bCs w:val="1"/>
                <w:color w:val="auto"/>
                <w:w w:val="98"/>
              </w:rPr>
              <w:t>thousands)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Loss on equity issuance</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(4,189)</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(4,189)</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 loss on equity issuance of $4.2 million was recorded in the six months ended June 30, 2023, attributable to the issuance of Series B-2 preferred stock and the accompanying warrants to purchase Series B-3 preferred stock and related tranche obligations, which were valued in excess of the proceeds received as part of the transaction. The fair value exceeded proceeds primarily due to the issuance of warrants to purchase four shares of Series B-3 preferred stock for every one share of Series B-2 preferred stock purchased in the Initial Preferred Stock Financing.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auto"/>
              </w:rPr>
              <w:t>Change in Fair Value of Tranche and Warrant Liabilities</w:t>
            </w: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210"/>
        </w:trPr>
        <w:tc>
          <w:tcPr>
            <w:tcW w:w="4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8"/>
                <w:szCs w:val="18"/>
                <w:color w:val="auto"/>
              </w:rPr>
            </w:pPr>
          </w:p>
        </w:tc>
      </w:tr>
      <w:tr>
        <w:trPr>
          <w:trHeight w:val="210"/>
        </w:trPr>
        <w:tc>
          <w:tcPr>
            <w:tcW w:w="4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gridSpan w:val="4"/>
          </w:tcPr>
          <w:p>
            <w:pPr>
              <w:ind w:left="540"/>
              <w:spacing w:after="0"/>
              <w:rPr>
                <w:sz w:val="20"/>
                <w:szCs w:val="20"/>
                <w:color w:val="auto"/>
              </w:rPr>
            </w:pPr>
            <w:r>
              <w:rPr>
                <w:rFonts w:ascii="Arial" w:cs="Arial" w:eastAsia="Arial" w:hAnsi="Arial"/>
                <w:sz w:val="18"/>
                <w:szCs w:val="18"/>
                <w:b w:val="1"/>
                <w:bCs w:val="1"/>
                <w:color w:val="auto"/>
              </w:rPr>
              <w:t>(dollars in</w:t>
            </w:r>
          </w:p>
        </w:tc>
        <w:tc>
          <w:tcPr>
            <w:tcW w:w="980" w:type="dxa"/>
            <w:vAlign w:val="bottom"/>
          </w:tcPr>
          <w:p>
            <w:pPr>
              <w:spacing w:after="0"/>
              <w:rPr>
                <w:sz w:val="20"/>
                <w:szCs w:val="20"/>
                <w:color w:val="auto"/>
              </w:rPr>
            </w:pPr>
            <w:r>
              <w:rPr>
                <w:rFonts w:ascii="Arial" w:cs="Arial" w:eastAsia="Arial" w:hAnsi="Arial"/>
                <w:sz w:val="18"/>
                <w:szCs w:val="18"/>
                <w:b w:val="1"/>
                <w:bCs w:val="1"/>
                <w:color w:val="auto"/>
                <w:w w:val="98"/>
              </w:rPr>
              <w:t>thousands)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tranche and warrant liabilities</w:t>
            </w:r>
          </w:p>
        </w:tc>
        <w:tc>
          <w:tcPr>
            <w:tcW w:w="14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3,491</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3,491</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change in fair value of tranche and warrant liabilities resulted in a loss of $3.5 million in the six months ended June 30, 2023. There were no tranche or warrant liabilities in the six months ended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Deemed dividend related to Series B-2 preferred stock down round provision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4"/>
              </w:rPr>
              <w:t>Six Months Ended June 30,</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09"/>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8"/>
                <w:szCs w:val="18"/>
                <w:color w:val="auto"/>
              </w:rPr>
            </w:pPr>
          </w:p>
        </w:tc>
      </w:tr>
      <w:tr>
        <w:trPr>
          <w:trHeight w:val="210"/>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ind w:left="340"/>
              <w:spacing w:after="0"/>
              <w:rPr>
                <w:sz w:val="20"/>
                <w:szCs w:val="20"/>
                <w:color w:val="auto"/>
              </w:rPr>
            </w:pPr>
            <w:r>
              <w:rPr>
                <w:rFonts w:ascii="Arial" w:cs="Arial" w:eastAsia="Arial" w:hAnsi="Arial"/>
                <w:sz w:val="18"/>
                <w:szCs w:val="18"/>
                <w:b w:val="1"/>
                <w:bCs w:val="1"/>
                <w:color w:val="auto"/>
              </w:rPr>
              <w:t>(dollars in</w:t>
            </w:r>
          </w:p>
        </w:tc>
        <w:tc>
          <w:tcPr>
            <w:tcW w:w="980" w:type="dxa"/>
            <w:vAlign w:val="bottom"/>
          </w:tcPr>
          <w:p>
            <w:pPr>
              <w:spacing w:after="0"/>
              <w:rPr>
                <w:sz w:val="20"/>
                <w:szCs w:val="20"/>
                <w:color w:val="auto"/>
              </w:rPr>
            </w:pPr>
            <w:r>
              <w:rPr>
                <w:rFonts w:ascii="Arial" w:cs="Arial" w:eastAsia="Arial" w:hAnsi="Arial"/>
                <w:sz w:val="18"/>
                <w:szCs w:val="18"/>
                <w:b w:val="1"/>
                <w:bCs w:val="1"/>
                <w:color w:val="auto"/>
                <w:w w:val="98"/>
              </w:rPr>
              <w:t>thousands)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Deemed dividend related to Series B-2 preferred stock down round</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(2,981)</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(2,981)</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280" w:firstLine="324"/>
        <w:spacing w:after="0" w:line="275" w:lineRule="auto"/>
        <w:rPr>
          <w:sz w:val="20"/>
          <w:szCs w:val="20"/>
          <w:color w:val="auto"/>
        </w:rPr>
      </w:pPr>
      <w:r>
        <w:rPr>
          <w:rFonts w:ascii="Arial" w:cs="Arial" w:eastAsia="Arial" w:hAnsi="Arial"/>
          <w:sz w:val="17"/>
          <w:szCs w:val="17"/>
          <w:color w:val="auto"/>
        </w:rPr>
        <w:t>The deemed dividend is related to the Initial Preferred Stock Financing, which was deemed to be a down round and triggered the anti-dilution provisions associated with our preferred stock. As a result, the conversion prices of all prior series of preferred stock were adjusted such that the holders would receive more shares of common stock upon conversion than previously. The resulting increase in value of the preferred stock was deemed to be a dividend to the preferred stockholders and we recognized a $3.0 million, non-cash adjustment to additional paid-in-capital for the six months ended June 30, 2023. There was no such adjustment recorded in the six months ended June 30, 2022.</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Since inception, we have incurred significant net losses and expect to continue to incur net losses for the foreseeable future due to the investments we will continue to make in R&amp;D and sales and marketing, and due to additional general and administrative costs we expect to incur as a public company. We incurred net losses of $22.2 million for the six months ended June 30, 2023. We had cash and cash equivalents of approximately $3.9 million at June 30, 2023. Since inception, we have financed operations primarily through the issuance of preferred stock, convertible notes, and term loans. We are still in our early stages of development and have yet to generate revenues sufficient to fund cash flows from operations. Our ability to fund future operations and execute our long-term business plan and strategy, including our transformation into a therapeutics company, will require that we raise additional capital through the issuance of additional equity and/or debt. There can be no assurance that we will be able to raise such additional financing on satisfactory terms. If additional capital is not secured when required, we may need to delay or curtail our operations until such funding is received. If we cannot expand our operations or otherwise capitalize on our business opportunities because we lack sufficient capital, our business, financial condition and results of operations could be materially adversely affected. As a result, we have concluded that there is substantial doubt of our ability to continue as a going concern for a reasonable period of time, which is considered to be one year from the issuance date of the financial statements.</w:t>
      </w:r>
    </w:p>
    <w:p>
      <w:pPr>
        <w:spacing w:after="0" w:line="17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ability to continue as a going concern is dependent upon obtaining additional capital and financing including through the consummation of the Business Combination. Our financial statements do not include any adjustments relating to the recovery of the recorded assets or the classification of the liabilities that might be necessary should we be unable to continue as a going concern. In connection with the consummation of the Business Combination on August 10, 2023, we raised an additional $36.8 million of cash (net of expenses related to closing the Business Combination). In addition, as described below, we received $4.5 million in cash proceeds from the exercise of warrants to purchase Series B-3 preferred stock in July 2023. We believe that the proceeds from the Business Combination and exercise of warrants should be sufficient to fund our operations through key data read-outs expected in mid-2024. However, unless we are able to raise additional capital, we do not currently expect that our existing cash and cash equivalents and additional cash received in connection with the Business Combination will be sufficient to fund our projected liquidity requirements for the next 12 months, creating substantial doubt about our ability to continue as a going concern.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titled “Risk Factors” in this Report and the Proxy Statement/Prospectus. See also “—Funding Requirements” below.</w:t>
      </w:r>
    </w:p>
    <w:p>
      <w:pPr>
        <w:spacing w:after="0" w:line="17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In October 2022, we raised $9.8 million, net of issuance costs, through the issuance of Series B-2 preferred stock and warrants to purchase Series B-3 preferred stock. This issuance also included, at our option, a second tranche of Series B-2 preferred stock and warrants to purchase Series B-3 preferred stock (“Series B-3 Warrants”) for up to approximately $7.4 million (which could be increased to $10 million) and a third tranche, at the election of investors in the second tranche, of up to $4.3 million (which could be increased to $5 million) of Series B-2 preferred stock and warrants to purchase Series B-3 preferred stock, subject, in all respects, to the covenants in the Merger Agreement prohibiting us from issuing additional securities during the Interim Period without MTAC’s prior consent. We offered the Series B-2 preferred stock to all of our preferred stockholders at the time of the Initial Preferred Stock Financing (representing approximately 99.2% of our then outstanding shares on an as-converted to common stock basis).</w:t>
      </w:r>
    </w:p>
    <w:p>
      <w:pPr>
        <w:spacing w:after="0" w:line="16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January through June 2023, holders of warrants to purchase 102,446,428 shares of Series B-3 preferred stock exercised their purchase right, for proceeds of approximately $5.1 million. In March 2023, we effectuated (i) a closing of a portion of the second tranche of the Initial Preferred Stock Financing whereby 8,396,207 shares of Series B-2 preferred stock and accompanying warrants to purchase 33,584,828 shares of Series B-3 preferred stock, representing 40% of the shares committed in the second tranche, were sold for an aggregate purchase price of $2.9 million, and (ii) an additional closing under the purchase agreement for the Initial Preferred Stock Financing whereby 714,285 shares of Series B-2 preferred stock and accompanying warrants to purchase 2,857,140 shares of Series B-3 preferred stock were sold for an aggregate purchase price of $0.2 million.</w:t>
      </w:r>
    </w:p>
    <w:p>
      <w:pPr>
        <w:spacing w:after="0" w:line="178"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In June 2023, we effectuated (i) a closing of a portion of the second tranche of the Initial Preferred Stock Financing whereby 10,428,583 shares of Series B-2 preferred stock and accompanying warrants to purchase 41,714,332 shares of Series B-3 preferred stock, representing approximately 49.7% of the shares committed in the second tranche, were sold for an aggregate purchase price of $3.7 million, and (ii) an additional closing under the purchase agreement for the Initial Preferred Stock Financing whereby 6,714,284 shares of Series B-2 preferred stock and accompanying warrants to purchase 26,857,136 shares of Series B-3 preferred stock were sold for an aggregate purchase price of $2.3 million.</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36" w:name="page337"/>
    <w:bookmarkEnd w:id="336"/>
    <w:p>
      <w:pPr>
        <w:ind w:right="820" w:firstLine="324"/>
        <w:spacing w:after="0" w:line="277" w:lineRule="auto"/>
        <w:rPr>
          <w:sz w:val="20"/>
          <w:szCs w:val="20"/>
          <w:color w:val="auto"/>
        </w:rPr>
      </w:pPr>
      <w:r>
        <w:rPr>
          <w:rFonts w:ascii="Arial" w:cs="Arial" w:eastAsia="Arial" w:hAnsi="Arial"/>
          <w:sz w:val="18"/>
          <w:szCs w:val="18"/>
          <w:color w:val="auto"/>
        </w:rPr>
        <w:t>In July 2023, holders of warrants to purchase 90,619,356 shares of Series B-3 preferred stock exercised their purchase rights for proceeds of approximately $4.5 million.</w:t>
      </w:r>
    </w:p>
    <w:p>
      <w:pPr>
        <w:spacing w:after="0" w:line="170"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Any Series B-3 Warrants that were not exercised for cash were automatically net settled for shares of TriSalus Common Stock immediately prior to the closing of the Business Combination and exchanged into shares of Combined Company Common Stock at the Effective Time.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440" w:type="dxa"/>
            <w:vAlign w:val="bottom"/>
          </w:tcPr>
          <w:p>
            <w:pPr>
              <w:spacing w:after="0"/>
              <w:rPr>
                <w:sz w:val="20"/>
                <w:szCs w:val="20"/>
                <w:color w:val="auto"/>
              </w:rPr>
            </w:pPr>
            <w:r>
              <w:rPr>
                <w:rFonts w:ascii="Arial" w:cs="Arial" w:eastAsia="Arial" w:hAnsi="Arial"/>
                <w:sz w:val="18"/>
                <w:szCs w:val="18"/>
                <w:i w:val="1"/>
                <w:iCs w:val="1"/>
                <w:color w:val="auto"/>
              </w:rPr>
              <w:t>Comparison of the Six Months Ended June 30, 2023, and June 30, 2022</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440" w:type="dxa"/>
            <w:vAlign w:val="bottom"/>
          </w:tcPr>
          <w:p>
            <w:pPr>
              <w:ind w:left="340"/>
              <w:spacing w:after="0"/>
              <w:rPr>
                <w:sz w:val="20"/>
                <w:szCs w:val="20"/>
                <w:color w:val="auto"/>
              </w:rPr>
            </w:pPr>
            <w:r>
              <w:rPr>
                <w:rFonts w:ascii="Arial" w:cs="Arial" w:eastAsia="Arial" w:hAnsi="Arial"/>
                <w:sz w:val="18"/>
                <w:szCs w:val="18"/>
                <w:color w:val="auto"/>
                <w:w w:val="99"/>
              </w:rPr>
              <w:t>The following table presents net cash from operating, investing, and financing activities (in thousands):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8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3"/>
        </w:trPr>
        <w:tc>
          <w:tcPr>
            <w:tcW w:w="84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(18,686)</w:t>
            </w:r>
          </w:p>
        </w:tc>
        <w:tc>
          <w:tcPr>
            <w:tcW w:w="100" w:type="dxa"/>
            <w:vAlign w:val="bottom"/>
            <w:gridSpan w:val="2"/>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(421)</w:t>
            </w: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14,333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80" w:type="dxa"/>
            <w:vAlign w:val="bottom"/>
            <w:shd w:val="clear" w:color="auto" w:fill="CCEEFF"/>
          </w:tcPr>
          <w:p>
            <w:pPr>
              <w:spacing w:after="0"/>
              <w:rPr>
                <w:sz w:val="19"/>
                <w:szCs w:val="19"/>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Net increase / (decrease) in cash, cash equivalents and restricted cash</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(15,545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8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225"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For the six months ended June 30, 2023, net cash used in operating activities was $19.7 million. The net cash used in operating activities consisted of net loss of $22.2 million, adjusted for non-cash charges totaling $1.2 million, primarily related to a gain on the adjustment of the fair value of warrants to purchase preferred stock of $3.5 million, partially offset by a loss on equity issuance of $4.2 million. Net operating assets and liabilities decreased $1.3 million, due primarily to an increase in accounts payable and accrued liabilities.</w:t>
      </w:r>
    </w:p>
    <w:p>
      <w:pPr>
        <w:spacing w:after="0" w:line="187"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For the six months ended June 30, 2022, net cash used in operating activities was $18.7 million. The net cash used in operating activities consisted of net loss of $16.6 million, adjusted for non-cash charges totaling $0.6 million, primarily related to depreciation and amortization of $0.3 million, non-cash interest expense of $0.2 million, and stock-based compensation expense of $0.1 million. In addition, there was a net increase of $2.8 million in our net operating assets and liabilities. The increase in our net operating assets and liabilities was driven by an increases in prepaid expenses of $1.5 million and accounts receivable of $0.1 million, and a decrease in trade payable, accrued expenses and other current liabilities of $1.1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Net cash used in investing activities of $0.1 million for the six months ended June 30, 2023, was primarily due to payments to acquire or maintain intellectual property.</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Net cash used in investing activities of $0.4 million for the six months ended June 30, 2022, was primarily due to purchases of property and equipment of $0.4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Net cash provided by financing activities of $14.3 million for the six months ended June 30, 2023, consisted principally of proceeds from the issuance of Series B-2 preferred stock of $9.2 million, and proceeds from the exercise of warrants to purchase Series B-3 preferred stock of $5.1 million.</w:t>
      </w:r>
    </w:p>
    <w:p>
      <w:pPr>
        <w:spacing w:after="0" w:line="12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Net cash provided by financing activities of $3.6 million for the six months ended June 30, 2022, consisted of proceeds from the issuance of Series B-2 preferred stock.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Our primary use of cash is to fund operating expenses, which consist of research, development and clinical expenses related to our lead product candidate SD-101, and preclinical programs, sales and marketing expenses related to the growth of TriNav, as well as general and administrative expenses. We plan to advance the development of SD-101, initiate new research and pre-clinical development efforts and seek marketing approval for product candidates that we successfully develop. If we obtain approval for our product candidates, we expect to incur commercialization expenses, which may be significant, related to establishing sales, marketing, manufacturing capabilities, distribution and other commercial infrastructure to commercialize such products. Accordingly, we may need to obtain substantial additional funding in connection with our continuing operations.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 These conditions have been further exacerbated by recent and potential future disruptions in access to bank deposits or lending commitments due to bank failures, the war in Ukraine and the lingering effects of the COVID-19 pandemic.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and/or other efforts. A recession or additional market corrections resulting from the impact of difficult macroeconomic conditions, disruptions in the banking system, and the lingering effects of the COVID-19 pandemic could materially affect our business and the value of our securities.</w:t>
      </w:r>
    </w:p>
    <w:p>
      <w:pPr>
        <w:spacing w:after="0" w:line="17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also expect to continue to incur significant expenses in connection with our ongoing activities related to TriNav, including sales and marketing expenses and expenditures to support expansion of our production capacity to support our expected sales growth. Our future capital requirements, both near and long-term, will depend on many factors, including but not limited to: the success of our commercialization of TriNav including, among other things, continued patient and physician adoption of TriNav and our ability to maintain adequate reimbursement for TriNav; the cost of commercialization activities for TriNav, including manufacturing, distribution, marketing and sales; net product revenues received from sales of TriNav; the outcome, timing and cost of the regulatory approval process for SD-101 by the FDA, including the potential for the FDA to require that we perform more studies and clinical trials than those that we currently expect; the costs involved in preparing, filing and prosecuting patent applications and annuity fees relating to issued patents; the cost of maintaining and enforcing our intellectual property rights, as well as the cost of defending intellectual property disputes, including patent infringement actions brought by third parties against us; the initiation, progress, timing, costs and results of clinical trials and other research and development related to our product candidates; and the extent to which we in-license, acquire or otherwise partner in development or commercialization of other products, product candidates or technologies; the achievement of milestones or occurrence of other developments that trigger payments under the Dynavax Agreement or any other collaboration or other agreements; the number of future product candidates that we may pursue and their development requirements; 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 the amount and timing of future revenue, if any, received from commercial sales of our current and future product candidates upon any marketing approvals; and the costs of operating as a public company.</w:t>
      </w:r>
    </w:p>
    <w:p>
      <w:pPr>
        <w:spacing w:after="0" w:line="180"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securities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common stockholders’ rights. Debt financing, if available, may involve agreements that include covenants limiting or restricting our ability to take specific actions, such as incurring additional debt, making capital expenditures or declaring dividends.</w:t>
      </w:r>
    </w:p>
    <w:p>
      <w:pPr>
        <w:spacing w:after="0" w:line="16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of June 30, 2023, we had $3.9 million in cash and cash equivalents. We also had $250 thousand in restricted cash to support our corporate credit card program. We will likely require additional capital in the near term in order to continue to fund our operations through equity or debt financings, partnerships, collaborations, or other sources which may not be available on a timely basis, on favorable terms, or at all, and such capital, if obtained, may not be sufficient to enable us to continue to implement our long-term business strategy.</w:t>
      </w:r>
    </w:p>
    <w:p>
      <w:pPr>
        <w:spacing w:after="0" w:line="187"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Additionally, we may never become profitable, or if we do, may not be able to sustain profitability on a recurring basis. If we cannot capitalize on our business opportunities because we lack sufficient capital, our business, financial condition and results of operations could be materially adversely affected and we may need to delay or curtail our operations until such funding is received.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8" w:name="page339"/>
    <w:bookmarkEnd w:id="338"/>
    <w:p>
      <w:pPr>
        <w:ind w:right="40" w:firstLine="324"/>
        <w:spacing w:after="0" w:line="255" w:lineRule="auto"/>
        <w:rPr>
          <w:sz w:val="20"/>
          <w:szCs w:val="20"/>
          <w:color w:val="auto"/>
        </w:rPr>
      </w:pPr>
      <w:r>
        <w:rPr>
          <w:rFonts w:ascii="Arial" w:cs="Arial" w:eastAsia="Arial" w:hAnsi="Arial"/>
          <w:sz w:val="18"/>
          <w:szCs w:val="18"/>
          <w:color w:val="auto"/>
        </w:rPr>
        <w:t>Our continuation as a going concern is dependent on our ability to generate sufficient cash flows from operations and/or obtain additional capital through equity or debt financings, partnerships, collaborations, or other sources to carry out our long-term business strategy. If we are unable to continue as a going concern, we may have to liquidate our assets and may receive less than fair value for such assets and less than the value at which such assets are carried on our financial statements, and it is likely that investors will lose all or a part of their investment. As discussed in Note 1 to our unaudited consolidated financial statements included in Exhibit 99.1 to this Form 8-K, there is substantial doubt regarding our ability to continue as a going concern as of June 30,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Our contractual obligations as of June 30, 2023, include lease obligations of $1.8 million, reflecting the minimum commitments for our principal administrative and production facility and other office spaces. See Note 15 to our audited consolidated financial statements included in the Proxy Statement/Prospectus for more information on our lease obligations, including the scheduled maturities and timing of cash payments related to these obligations.</w:t>
      </w:r>
    </w:p>
    <w:p>
      <w:pPr>
        <w:spacing w:after="0" w:line="18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Pursuant to the Asset Purchase Agreement, dated July 31, 2020, between TriSalus and Dynavax, we have paid Dynavax $11 million as of June 30, 2023, and may be required to pay Dynavax up to an additional $159 million upon the achievement of certain development and regulatory milestones with respect to SD-101. We will also be required to pay up to $80 million upon achieving certain commercial milestones once sales of SD-101 have begun. The Dynavax Agreement also obligates us to pay low double-digit royalties based on potential future net sales of product containing SD-101 compound on a product-by-product and country-by-country basis during the applicable royalty term. Such royalties are subject to reduction by up to 50% in certain circumstances.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which were established for the purpose of facilitating off-balance sheet arrangements or other contractually narrow or limited purposes.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significant accounting policies are summarized in Note 2 “Summary of Significant Accounting Policies” in the unaudited condensed consolidated financial statements included in Exhibit 99.1. While all of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 Additionally, changes in accounting estimates could occur in the future from period to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 xml:space="preserve">Our revenue is derived from shipments of our TriNav infusion devices to our customers which are generally comprised of hospitals, clinics and physicians, and is recognized in accordance with the provisions of the Financial Accounting Standards Board (“ASB”) ASC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and all related applicable guidance.</w:t>
      </w:r>
    </w:p>
    <w:p>
      <w:pPr>
        <w:spacing w:after="0" w:line="184"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 (i) identify the contract; (ii) identify the performance obligation; (iii) determine the transaction price; (iv) allocate the transaction price; and (v) recognize revenue.</w:t>
      </w:r>
    </w:p>
    <w:p>
      <w:pPr>
        <w:spacing w:after="0" w:line="187"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contract with our customers based on customer purchase orders. For each contract, we consider the promise to transfer products, each of which is distinct, to be the identified performance obligation. As part of our performance obligation, products are delivered in accordance with the terms of the purchase order and we do not have any on-going service obligation after delivery.</w:t>
      </w:r>
    </w:p>
    <w:p>
      <w:pPr>
        <w:spacing w:after="0" w:line="184"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maintain a single, discrete transaction price for each of the products, with no adjustments since the price is approved by CMS. We do not have multiple performance obligations to complete when a purchase order is fulfilled, hence the transaction price is always allocated fully to the units being sold.</w:t>
      </w:r>
    </w:p>
    <w:p>
      <w:pPr>
        <w:spacing w:after="0" w:line="124" w:lineRule="exact"/>
        <w:rPr>
          <w:sz w:val="20"/>
          <w:szCs w:val="20"/>
          <w:color w:val="auto"/>
        </w:rPr>
      </w:pPr>
    </w:p>
    <w:p>
      <w:pPr>
        <w:jc w:val="both"/>
        <w:ind w:right="480" w:firstLine="324"/>
        <w:spacing w:after="0" w:line="286" w:lineRule="auto"/>
        <w:rPr>
          <w:sz w:val="20"/>
          <w:szCs w:val="20"/>
          <w:color w:val="auto"/>
        </w:rPr>
      </w:pPr>
      <w:r>
        <w:rPr>
          <w:rFonts w:ascii="Arial" w:cs="Arial" w:eastAsia="Arial" w:hAnsi="Arial"/>
          <w:sz w:val="17"/>
          <w:szCs w:val="17"/>
          <w:color w:val="auto"/>
        </w:rPr>
        <w:t>Revenue is recognized when the units for a purchase order have been shipped and control of the units has transferred to the customer. Ex-works shipment is followed, wherein we recognize revenue when the shipment leaves our premises. In certain cases where purchase orders specify alternate shipping terms, usually delivery at place, revenue recognition is deferred until we are assured the units are delivered.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9" w:name="page340"/>
    <w:bookmarkEnd w:id="339"/>
    <w:p>
      <w:pPr>
        <w:ind w:right="20" w:firstLine="324"/>
        <w:spacing w:after="0" w:line="290" w:lineRule="auto"/>
        <w:rPr>
          <w:sz w:val="20"/>
          <w:szCs w:val="20"/>
          <w:color w:val="auto"/>
        </w:rPr>
      </w:pPr>
      <w:r>
        <w:rPr>
          <w:rFonts w:ascii="Arial" w:cs="Arial" w:eastAsia="Arial" w:hAnsi="Arial"/>
          <w:sz w:val="16"/>
          <w:szCs w:val="16"/>
          <w:color w:val="auto"/>
        </w:rPr>
        <w:t>Sales, value add, and other taxes collected on behalf of third parties are excluded from revenue. Revenues from product sales are recorded at the net sales price (transaction price), which includes estimates of variable consideration for which reserves are established for discounts, returns, rebates and allowances. We do not have a history of any refunds, allowances or other concessions provided to our customers from the agreed-upon sales price after delivery of the product. We do not offer discounts, except to distributors as discussed below. We had certain arrangements with distributors under which the distributors purchased and then resold our products in geographic markets where we did not have sales presence. These arrangements provided for a discount on the invoice. When the distributor resold our units at our normal sales price, the discount served to compensate the distributor for their efforts. We recorded these sales net of the discounts. One of our distributors, ACD, accounted for approximately 26% and 20% of our sales for six months ended June 30, 2023, and the year ended December 31, 2022, respectively. We discontinued the distributor agreement with ACD in December 2022.</w:t>
      </w:r>
    </w:p>
    <w:p>
      <w:pPr>
        <w:spacing w:after="0" w:line="16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provide certain customers with rebates that are explicitly stated in our contracts and are recorded as a reduction of revenue in the period the conditions for the rebates are achieved. The rebates result from performance-based offers that are primarily based on attaining contractually specified sales volumes.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R&amp;D costs include our engineering, regulatory, pre-clinical and clinical activities. R&amp;D costs are expensed as incurred. Approximately 28% of our R&amp;D costs are headcount-related; the balance is external services we purchase, such as pre-clinical supplies and materials, clinical study management and supplies, and consulting related to our R&amp;D.</w:t>
      </w:r>
    </w:p>
    <w:p>
      <w:pPr>
        <w:spacing w:after="0" w:line="184"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are required to estimate our expenses resulting from our obligations under agreements with vendors, consultants, and contract research organizations, in connection with conducting R&amp;D activities. The financial terms of these contracts are subject to negotiations, which vary from agreement to agreement and may result in payment flows that do not match the periods over which goods or services are provided. We reflect R&amp;D expenses in our consolidated financial statements by matching those expenses with the period in which services and efforts are expended. We account for these expenses according to the progress of the agreements, along with preparation of financial models, taking into account discussions with research and other key personnel as to the progress of studies or other services being performed. To date, we have had no material differences between our estimates of such expenses and the amounts actually incurred. Nonrefundable advance payments for goods and services are deferred and recognized as expense in the period that the related goods are consumed or services are performed.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and Tranche Rights and Obligation Liabilities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classified the Series B-2 tranche rights and obligations and Series B-3 Warrants as liabilities on the consolidated balance sheets. We measured the Series B-2 Tranche Rights and Series B-3 Warrants at fair value upon issuance in October 2022, March 2023, and June 2023, and remeasured the liabilities to fair value at December 31, 2022, March 31, 2023, and June 30, 2023, with changes in the fair value at each measurement date recognized in Change in fair value of tranche and warrant liabilities in the consolidated statements of operations.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fair value of the Series B-2 tranche liabilities was determined using a Binomial Tranche Model. The fair value of the Series B-3 Warrants was determined using a probability-weighted expected outcome model whereby the following two scenarios were probability-weighted based on the Company’s expectation of each occurring: (1) a status quo scenario whereby the Company would continue as a private company and (2) a scenario where the Business Combination would close. Under the status quo scenario, the Series B-3 Warrants, including warrants to be issued under the second and third tranches, were valued using the Black-Scholes model.</w:t>
      </w:r>
    </w:p>
    <w:p>
      <w:pPr>
        <w:spacing w:after="0" w:line="18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fair value of the Series B-2 tranche liabilities and Series B-3 Warrants used various inputs and assumptions that required management to apply judgment and make estimates, including:</w:t>
      </w:r>
    </w:p>
    <w:p>
      <w:pPr>
        <w:spacing w:after="0" w:line="170" w:lineRule="exact"/>
        <w:rPr>
          <w:sz w:val="20"/>
          <w:szCs w:val="20"/>
          <w:color w:val="auto"/>
        </w:rPr>
      </w:pPr>
    </w:p>
    <w:p>
      <w:pPr>
        <w:ind w:left="500" w:right="20" w:hanging="168"/>
        <w:spacing w:after="0" w:line="263" w:lineRule="auto"/>
        <w:tabs>
          <w:tab w:leader="none" w:pos="5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equity value under the status quo scenario, which was determined using the Guideline Public Company method within the market approach to estimate the fair value of equity on a minority, marketable basis using selected publicly traded peer companies and valuation multiples based on size, growth, profitability, and other relevant factors;</w:t>
      </w:r>
    </w:p>
    <w:p>
      <w:pPr>
        <w:spacing w:after="0" w:line="183" w:lineRule="exact"/>
        <w:rPr>
          <w:rFonts w:ascii="Arial" w:cs="Arial" w:eastAsia="Arial" w:hAnsi="Arial"/>
          <w:sz w:val="18"/>
          <w:szCs w:val="18"/>
          <w:color w:val="auto"/>
        </w:rPr>
      </w:pPr>
    </w:p>
    <w:p>
      <w:pPr>
        <w:ind w:left="500" w:right="400" w:hanging="168"/>
        <w:spacing w:after="0" w:line="277" w:lineRule="auto"/>
        <w:tabs>
          <w:tab w:leader="none" w:pos="5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fair value of underlying Series B-2 preferred stock, which was determined using the Option Pricing Model to allocate the Company’s equity value among its various classes of equity securities under the status quo scenario;</w:t>
      </w:r>
    </w:p>
    <w:p>
      <w:pPr>
        <w:spacing w:after="0" w:line="170" w:lineRule="exact"/>
        <w:rPr>
          <w:rFonts w:ascii="Arial" w:cs="Arial" w:eastAsia="Arial" w:hAnsi="Arial"/>
          <w:sz w:val="18"/>
          <w:szCs w:val="18"/>
          <w:color w:val="auto"/>
        </w:rPr>
      </w:pPr>
    </w:p>
    <w:p>
      <w:pPr>
        <w:ind w:left="500" w:hanging="168"/>
        <w:spacing w:after="0"/>
        <w:tabs>
          <w:tab w:leader="none" w:pos="5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issuance and exercise price, which was based on the terms of the purchase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0" w:name="page341"/>
    <w:bookmarkEnd w:id="340"/>
    <w:p>
      <w:pPr>
        <w:ind w:left="500" w:hanging="168"/>
        <w:spacing w:after="0"/>
        <w:tabs>
          <w:tab w:leader="none" w:pos="5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expected term, which we based on the expiry periods as defined in the purchase agreement;</w:t>
      </w:r>
    </w:p>
    <w:p>
      <w:pPr>
        <w:spacing w:after="0" w:line="225" w:lineRule="exact"/>
        <w:rPr>
          <w:rFonts w:ascii="Arial" w:cs="Arial" w:eastAsia="Arial" w:hAnsi="Arial"/>
          <w:sz w:val="18"/>
          <w:szCs w:val="18"/>
          <w:color w:val="auto"/>
        </w:rPr>
      </w:pPr>
    </w:p>
    <w:p>
      <w:pPr>
        <w:ind w:left="500" w:right="80" w:hanging="168"/>
        <w:spacing w:after="0" w:line="277" w:lineRule="auto"/>
        <w:tabs>
          <w:tab w:leader="none" w:pos="5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expected volatility, which was based on the historical equity volatility of publicly traded peer companies for a term equal to the expected term of the warrants and tranche liabilities;</w:t>
      </w:r>
    </w:p>
    <w:p>
      <w:pPr>
        <w:spacing w:after="0" w:line="170" w:lineRule="exact"/>
        <w:rPr>
          <w:rFonts w:ascii="Arial" w:cs="Arial" w:eastAsia="Arial" w:hAnsi="Arial"/>
          <w:sz w:val="18"/>
          <w:szCs w:val="18"/>
          <w:color w:val="auto"/>
        </w:rPr>
      </w:pPr>
    </w:p>
    <w:p>
      <w:pPr>
        <w:ind w:left="500" w:right="20" w:hanging="168"/>
        <w:spacing w:after="0" w:line="277" w:lineRule="auto"/>
        <w:tabs>
          <w:tab w:leader="none" w:pos="5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risk-free interest rate, which was determined by reference to the U.S. Treasury yield curve for time periods commensurate with the expected terms of the warrants and tranche liabilities; and</w:t>
      </w:r>
    </w:p>
    <w:p>
      <w:pPr>
        <w:spacing w:after="0" w:line="170" w:lineRule="exact"/>
        <w:rPr>
          <w:rFonts w:ascii="Arial" w:cs="Arial" w:eastAsia="Arial" w:hAnsi="Arial"/>
          <w:sz w:val="18"/>
          <w:szCs w:val="18"/>
          <w:color w:val="auto"/>
        </w:rPr>
      </w:pPr>
    </w:p>
    <w:p>
      <w:pPr>
        <w:ind w:left="500" w:hanging="168"/>
        <w:spacing w:after="0"/>
        <w:tabs>
          <w:tab w:leader="none" w:pos="5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expected dividend yield, which we estimate to be zero based on the fact that we have never paid or declared dividends.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These estimates may be subjective in nature and involve uncertainties and matters of judgment and therefore cannot be determined with exact precision. The scenario probability is the most sensitive estimated input into the calculation of the fair value of the Series B-3 Warrants. The risk of exposure is estimated using a sensitivity analysis of potential changes in the significant unobservable inputs, primarily the scenario probability input that is the most susceptible to valuation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MTAC previously elected to avail itself of the extended transition period, and following the consummation of the Business Combination, the Combined Company will be an emerging growth company and will take advantage of the benefits of the extended transition period that the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Combined Company will remain an emerging growth company under the JOBS Act until the earlier of: (1) the last day of the fiscal year</w:t>
      </w:r>
    </w:p>
    <w:p>
      <w:pPr>
        <w:spacing w:after="0" w:line="35" w:lineRule="exact"/>
        <w:rPr>
          <w:sz w:val="20"/>
          <w:szCs w:val="20"/>
          <w:color w:val="auto"/>
        </w:rPr>
      </w:pPr>
    </w:p>
    <w:p>
      <w:pPr>
        <w:ind w:firstLine="8"/>
        <w:spacing w:after="0" w:line="253" w:lineRule="auto"/>
        <w:tabs>
          <w:tab w:leader="none" w:pos="24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following the fifth anniversary of the closing of MTAC’s initial public offering (i.e., December 31, 2025), (b) in which the Combined Company has total annual gross revenue of at least $1.235 billion, or (c) in which the Combined Company is deemed to be a “large accelerated filer” under the rules of the SEC, which means the market value of the Combined Company’s common equity that is held by non-affiliates exceeds $700.0 million as of the end of the prior fiscal year’s second fiscal quarter; and (2) the date on which the Combined Company has issued more than $1.0 billion in non-convertible debt securities during the prior three-year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Note 2(q) to our audited consolidated financial statements included in the Proxy Statement/Prospectus includes more information about recent accounting pronouncements, the timing of their adoption, and our assessment, to the extent we have made one, of their potential impact on our financial condition and our results of operations.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 PRO FORMA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COMBINED FINANCIAL INFORMATION</w:t>
      </w:r>
    </w:p>
    <w:p>
      <w:pPr>
        <w:spacing w:after="0" w:line="21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231F20"/>
        </w:rPr>
        <w:t>Capitalized terms used but not defined in this Exhibit 99.3 shall have the meanings ascribed to them in this Current Report on Form 8-K (the “Form 8-K”) and, if not defined in the Form 8-K, the final prospectus and definitive proxy statement, dated July 18, 2023 (the “proxy statement/prospectus”), filed by MedTech Acquisition Corporation (“MTAC” who, after the Business Combination, became TriSalus Life Sciences, Inc.) with the U.S. Securities and Exchange Commission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Introduction</w:t>
      </w:r>
    </w:p>
    <w:p>
      <w:pPr>
        <w:spacing w:after="0" w:line="229"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231F20"/>
        </w:rPr>
        <w:t>The following unaudited pro forma condensed combined financial information presents the combination of the financial information of MTAC and New TriSalus adjusted to give effect to the Business Combination and related transactions. The unaudited pro forma condensed combined financial information has been prepared in accordance with Article 11 of Regulation S-X and should be read in conjunction with the accompanying notes. Defined terms included below have the same meaning as terms defined and included in the proxy statement/prospectus.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231F20"/>
        </w:rPr>
        <w:t>The unaudited pro forma condensed combined balance sheet as of June 30, 2023, gives pro forma effect to the Business Combination and Preferred Stock PIPE Investment as if it was completed on June 30, 2023. The unaudited pro forma condensed combined statements of operations for the six months ended June 30, 2023 and the year ended December 31, 2022, give pro forma effect to the Business Combination and Preferred Stock PIPE Investment as if it had occurred on January 1, 2022, the beginning of the earliest period presented.</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231F20"/>
        </w:rPr>
        <w:t>The unaudited pro forma condensed combined financial information was derived from, and should be read in conjunction with, the following historical financial statements and the accompanying notes, which are included or incorporated by reference into this Form 8-K:</w:t>
      </w:r>
    </w:p>
    <w:p>
      <w:pPr>
        <w:spacing w:after="0" w:line="170" w:lineRule="exact"/>
        <w:rPr>
          <w:sz w:val="20"/>
          <w:szCs w:val="20"/>
          <w:color w:val="auto"/>
        </w:rPr>
      </w:pPr>
    </w:p>
    <w:p>
      <w:pPr>
        <w:ind w:left="680" w:right="240" w:hanging="335"/>
        <w:spacing w:after="0" w:line="342" w:lineRule="auto"/>
        <w:tabs>
          <w:tab w:leader="none" w:pos="680" w:val="left"/>
        </w:tabs>
        <w:numPr>
          <w:ilvl w:val="0"/>
          <w:numId w:val="218"/>
        </w:numPr>
        <w:rPr>
          <w:rFonts w:ascii="Arial" w:cs="Arial" w:eastAsia="Arial" w:hAnsi="Arial"/>
          <w:sz w:val="16"/>
          <w:szCs w:val="16"/>
          <w:color w:val="231F20"/>
        </w:rPr>
      </w:pPr>
      <w:r>
        <w:rPr>
          <w:rFonts w:ascii="Arial" w:cs="Arial" w:eastAsia="Arial" w:hAnsi="Arial"/>
          <w:sz w:val="16"/>
          <w:szCs w:val="16"/>
          <w:color w:val="231F20"/>
        </w:rPr>
        <w:t>The historical unaudited condensed consolidated financial statements of Legacy TriSalus as of and for the six months ended June 30, 2023, and the historical audited consolidated financial statements of Legacy TriSalus as of and for the year ended December 31, 2022; and</w:t>
      </w:r>
    </w:p>
    <w:p>
      <w:pPr>
        <w:spacing w:after="0" w:line="123" w:lineRule="exact"/>
        <w:rPr>
          <w:rFonts w:ascii="Arial" w:cs="Arial" w:eastAsia="Arial" w:hAnsi="Arial"/>
          <w:sz w:val="16"/>
          <w:szCs w:val="16"/>
          <w:color w:val="231F20"/>
        </w:rPr>
      </w:pPr>
    </w:p>
    <w:p>
      <w:pPr>
        <w:ind w:left="680" w:right="440" w:hanging="335"/>
        <w:spacing w:after="0" w:line="277" w:lineRule="auto"/>
        <w:tabs>
          <w:tab w:leader="none" w:pos="680" w:val="left"/>
        </w:tabs>
        <w:numPr>
          <w:ilvl w:val="0"/>
          <w:numId w:val="218"/>
        </w:numPr>
        <w:rPr>
          <w:rFonts w:ascii="Arial" w:cs="Arial" w:eastAsia="Arial" w:hAnsi="Arial"/>
          <w:sz w:val="18"/>
          <w:szCs w:val="18"/>
          <w:color w:val="231F20"/>
        </w:rPr>
      </w:pPr>
      <w:r>
        <w:rPr>
          <w:rFonts w:ascii="Arial" w:cs="Arial" w:eastAsia="Arial" w:hAnsi="Arial"/>
          <w:sz w:val="18"/>
          <w:szCs w:val="18"/>
          <w:color w:val="231F20"/>
        </w:rPr>
        <w:t>The historical unaudited financial statements of MTAC as of and for the six months ended June 30, 2023, and the historical audited financial statements of MTAC as of and for the year ended December 31, 2022.</w:t>
      </w:r>
    </w:p>
    <w:p>
      <w:pPr>
        <w:spacing w:after="0" w:line="1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231F20"/>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reflect transaction accounting adjustments related to the Business Combination and Preferred Stock PIPE Investment, which is discussed in further detail below. The unaudited pro forma condensed combined financial statements are presented for illustrative purposes only and do not purport to represent the consolidated results of operations or consolidated financial position that would actually have occurred had the Business Combination and Preferred Stock PIPE Investment been consummated on the dates assumed or to project consolidated results of operations or consolidated financial position for any future date or period. Actual results may differ materially from the assumptions within the accompanying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2" w:name="page343"/>
    <w:bookmarkEnd w:id="342"/>
    <w:p>
      <w:pPr>
        <w:ind w:right="120" w:firstLine="324"/>
        <w:spacing w:after="0" w:line="263" w:lineRule="auto"/>
        <w:rPr>
          <w:sz w:val="20"/>
          <w:szCs w:val="20"/>
          <w:color w:val="auto"/>
        </w:rPr>
      </w:pPr>
      <w:r>
        <w:rPr>
          <w:rFonts w:ascii="Arial" w:cs="Arial" w:eastAsia="Arial" w:hAnsi="Arial"/>
          <w:sz w:val="18"/>
          <w:szCs w:val="18"/>
          <w:color w:val="231F20"/>
        </w:rPr>
        <w:t>The unaudited pro forma condensed combined financial information should also be read together with “</w:t>
      </w:r>
      <w:r>
        <w:rPr>
          <w:rFonts w:ascii="Arial" w:cs="Arial" w:eastAsia="Arial" w:hAnsi="Arial"/>
          <w:sz w:val="18"/>
          <w:szCs w:val="18"/>
          <w:i w:val="1"/>
          <w:iCs w:val="1"/>
          <w:color w:val="231F20"/>
        </w:rPr>
        <w:t>Management’s Discussion and Analysis of</w:t>
      </w:r>
      <w:r>
        <w:rPr>
          <w:rFonts w:ascii="Arial" w:cs="Arial" w:eastAsia="Arial" w:hAnsi="Arial"/>
          <w:sz w:val="18"/>
          <w:szCs w:val="18"/>
          <w:color w:val="231F20"/>
        </w:rPr>
        <w:t xml:space="preserve"> </w:t>
      </w:r>
      <w:r>
        <w:rPr>
          <w:rFonts w:ascii="Arial" w:cs="Arial" w:eastAsia="Arial" w:hAnsi="Arial"/>
          <w:sz w:val="18"/>
          <w:szCs w:val="18"/>
          <w:i w:val="1"/>
          <w:iCs w:val="1"/>
          <w:color w:val="231F20"/>
        </w:rPr>
        <w:t>Financial Condition and Results of Operations of TriSalus,</w:t>
      </w:r>
      <w:r>
        <w:rPr>
          <w:rFonts w:ascii="Arial" w:cs="Arial" w:eastAsia="Arial" w:hAnsi="Arial"/>
          <w:sz w:val="18"/>
          <w:szCs w:val="18"/>
          <w:color w:val="231F20"/>
        </w:rPr>
        <w:t>” “</w:t>
      </w:r>
      <w:r>
        <w:rPr>
          <w:rFonts w:ascii="Arial" w:cs="Arial" w:eastAsia="Arial" w:hAnsi="Arial"/>
          <w:sz w:val="18"/>
          <w:szCs w:val="18"/>
          <w:i w:val="1"/>
          <w:iCs w:val="1"/>
          <w:color w:val="231F20"/>
        </w:rPr>
        <w:t>Management’s Discussion and Analysis of Financial Condition and Results of Operations of MTAC</w:t>
      </w:r>
      <w:r>
        <w:rPr>
          <w:rFonts w:ascii="Arial" w:cs="Arial" w:eastAsia="Arial" w:hAnsi="Arial"/>
          <w:sz w:val="18"/>
          <w:szCs w:val="18"/>
          <w:color w:val="231F20"/>
        </w:rPr>
        <w:t>,” and other financial information included or incorporated by reference into this Form 8-K.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Description of the Business Combination</w:t>
      </w:r>
    </w:p>
    <w:p>
      <w:pPr>
        <w:spacing w:after="0" w:line="229"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231F20"/>
        </w:rPr>
        <w:t>On August 10, 2023 (the “Closing Date”), pursuant to the terms of the Merger Agreement, Merger Sub merged with and into Legacy TriSalus, with Legacy TriSalus surviving the merger as a wholly-owned subsidiary of MTAC. Upon the close of the Business Combination, each share of MTAC’s Class A Common Stock and each share of MTAC’s Class B Common Stock that was outstanding was reclassified into a single class of common stock.</w:t>
      </w:r>
    </w:p>
    <w:p>
      <w:pPr>
        <w:spacing w:after="0" w:line="14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231F20"/>
        </w:rPr>
        <w:t xml:space="preserve">Immediately prior to the effective time of the Merger (the “Effective Time”), shares of Legacy TriSalus Preferred Stock converted into shares of Legacy TriSalus Common Stock based on the applicable Exchange Ratio. In addition, each outstanding warrant of Legacy TriSalus (“Legacy TriSalus Warrant”) to purchase shares of Legacy TriSalus Preferred Stock or Legacy TriSalus Common Stock that was in-the-money and would have been exercised or otherwise exchanged in full in accordance with its terms by virtue of the occurrence of the Business Combination, was automatically exercised for shares of Legacy TriSalus Common Stock. Legacy TriSalus Warrants that were out-of-the-money and automatically expired worthless in accordance with their terms were cancelled for no consideration. Following the Legacy TriSalus Preferred Stock Conversion and the exercise of the Legacy TriSalus Warrants, the Legacy TriSalus Common Stock was converted into the right to receive such number of shares of New TriSalus Common Stock as was equal to (i) the number of shares of New TriSalus Common Stock </w:t>
      </w:r>
      <w:r>
        <w:rPr>
          <w:rFonts w:ascii="Arial" w:cs="Arial" w:eastAsia="Arial" w:hAnsi="Arial"/>
          <w:sz w:val="17"/>
          <w:szCs w:val="17"/>
          <w:i w:val="1"/>
          <w:iCs w:val="1"/>
          <w:color w:val="231F20"/>
        </w:rPr>
        <w:t>multiplied by</w:t>
      </w:r>
      <w:r>
        <w:rPr>
          <w:rFonts w:ascii="Arial" w:cs="Arial" w:eastAsia="Arial" w:hAnsi="Arial"/>
          <w:sz w:val="17"/>
          <w:szCs w:val="17"/>
          <w:color w:val="231F20"/>
        </w:rPr>
        <w:t xml:space="preserve"> (ii) the Exchange Ratio (subject to rounding mechanisms as described in the Merger Agreement). The total shares of New TriSalus Common Stock issued to holders of Legacy TriSalus Common Stock was 21,999,886, which includes the issuance of Legacy TriSalus Common Stock resulting from the Legacy TriSalus Preferred Stock Conversion and exercise of Legacy TriSalus Warrants. At the Effective Time, each outstanding option to purchase shares of Legacy TriSalus Common Stock, , whether or not then vested and exercisable, was assumed and converted into an option to purchase such number of shares of New TriSalus Common Stock as was equal to (i) the number of shares of Legacy TriSalus Common Stock subject to such option prior to the Effective Time </w:t>
      </w:r>
      <w:r>
        <w:rPr>
          <w:rFonts w:ascii="Arial" w:cs="Arial" w:eastAsia="Arial" w:hAnsi="Arial"/>
          <w:sz w:val="17"/>
          <w:szCs w:val="17"/>
          <w:i w:val="1"/>
          <w:iCs w:val="1"/>
          <w:color w:val="231F20"/>
        </w:rPr>
        <w:t>multiplied by</w:t>
      </w:r>
      <w:r>
        <w:rPr>
          <w:rFonts w:ascii="Arial" w:cs="Arial" w:eastAsia="Arial" w:hAnsi="Arial"/>
          <w:sz w:val="17"/>
          <w:szCs w:val="17"/>
          <w:color w:val="231F20"/>
        </w:rPr>
        <w:t xml:space="preserve"> (ii) the Exchange Ratio (subject to rounding mechanisms described in the Merger Agreement), with a per share exercise price equal to the exercise price prior to the Effective Time </w:t>
      </w:r>
      <w:r>
        <w:rPr>
          <w:rFonts w:ascii="Arial" w:cs="Arial" w:eastAsia="Arial" w:hAnsi="Arial"/>
          <w:sz w:val="17"/>
          <w:szCs w:val="17"/>
          <w:i w:val="1"/>
          <w:iCs w:val="1"/>
          <w:color w:val="231F20"/>
        </w:rPr>
        <w:t>divided by</w:t>
      </w:r>
      <w:r>
        <w:rPr>
          <w:rFonts w:ascii="Arial" w:cs="Arial" w:eastAsia="Arial" w:hAnsi="Arial"/>
          <w:sz w:val="17"/>
          <w:szCs w:val="17"/>
          <w:color w:val="231F20"/>
        </w:rPr>
        <w:t xml:space="preserve"> the Exchange Ratio. The Exchange Ratio was 0.02471853.</w:t>
      </w:r>
    </w:p>
    <w:p>
      <w:pPr>
        <w:spacing w:after="0" w:line="182"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231F20"/>
        </w:rPr>
        <w:t>In connection with the Business Combination, the Preferred Stock PIPE Investment closed with the Preferred Stock PIPE Investors purchasing 4,015,002 shares of Series A Convertible Preferred Stock at a purchase price of $10.00 per share, for an aggregate purchase price of approximately $40.2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3" w:name="page344"/>
    <w:bookmarkEnd w:id="343"/>
    <w:tbl>
      <w:tblPr>
        <w:tblLayout w:type="fixed"/>
        <w:tblInd w:w="2820" w:type="dxa"/>
        <w:tblCellMar>
          <w:top w:w="0" w:type="dxa"/>
          <w:left w:w="0" w:type="dxa"/>
          <w:bottom w:w="0" w:type="dxa"/>
          <w:right w:w="0" w:type="dxa"/>
        </w:tblCellMar>
      </w:tblPr>
      <w:tr>
        <w:trPr>
          <w:trHeight w:val="234"/>
        </w:trPr>
        <w:tc>
          <w:tcPr>
            <w:tcW w:w="3600" w:type="dxa"/>
            <w:vAlign w:val="bottom"/>
            <w:gridSpan w:val="2"/>
          </w:tcPr>
          <w:p>
            <w:pPr>
              <w:spacing w:after="0"/>
              <w:rPr>
                <w:sz w:val="20"/>
                <w:szCs w:val="20"/>
                <w:color w:val="auto"/>
              </w:rPr>
            </w:pPr>
            <w:r>
              <w:rPr>
                <w:rFonts w:ascii="Arial" w:cs="Arial" w:eastAsia="Arial" w:hAnsi="Arial"/>
                <w:sz w:val="18"/>
                <w:szCs w:val="18"/>
                <w:b w:val="1"/>
                <w:bCs w:val="1"/>
                <w:color w:val="231F20"/>
              </w:rPr>
              <w:t>Total Capitalization</w:t>
            </w:r>
          </w:p>
        </w:tc>
        <w:tc>
          <w:tcPr>
            <w:tcW w:w="100" w:type="dxa"/>
            <w:vAlign w:val="bottom"/>
          </w:tcPr>
          <w:p>
            <w:pPr>
              <w:spacing w:after="0"/>
              <w:rPr>
                <w:sz w:val="20"/>
                <w:szCs w:val="20"/>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231F20"/>
                <w:w w:val="99"/>
              </w:rPr>
              <w:t>Shares</w:t>
            </w: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231F20"/>
              </w:rPr>
              <w:t>%</w:t>
            </w:r>
          </w:p>
        </w:tc>
        <w:tc>
          <w:tcPr>
            <w:tcW w:w="60" w:type="dxa"/>
            <w:vAlign w:val="bottom"/>
          </w:tcPr>
          <w:p>
            <w:pPr>
              <w:spacing w:after="0"/>
              <w:rPr>
                <w:sz w:val="20"/>
                <w:szCs w:val="20"/>
                <w:color w:val="auto"/>
              </w:rPr>
            </w:pPr>
          </w:p>
        </w:tc>
      </w:tr>
      <w:tr>
        <w:trPr>
          <w:trHeight w:val="169"/>
        </w:trPr>
        <w:tc>
          <w:tcPr>
            <w:tcW w:w="348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231F20"/>
              </w:rPr>
              <w:t>TriSalus Stockholders</w:t>
            </w: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gridSpan w:val="3"/>
            <w:shd w:val="clear" w:color="auto" w:fill="CCEEFF"/>
          </w:tcPr>
          <w:p>
            <w:pPr>
              <w:jc w:val="right"/>
              <w:spacing w:after="0" w:line="169" w:lineRule="exact"/>
              <w:rPr>
                <w:sz w:val="20"/>
                <w:szCs w:val="20"/>
                <w:color w:val="auto"/>
              </w:rPr>
            </w:pPr>
            <w:r>
              <w:rPr>
                <w:rFonts w:ascii="Arial" w:cs="Arial" w:eastAsia="Arial" w:hAnsi="Arial"/>
                <w:sz w:val="18"/>
                <w:szCs w:val="18"/>
                <w:color w:val="231F20"/>
                <w:w w:val="97"/>
              </w:rPr>
              <w:t>21,999,886</w:t>
            </w:r>
          </w:p>
        </w:tc>
        <w:tc>
          <w:tcPr>
            <w:tcW w:w="1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231F20"/>
              </w:rPr>
              <w:t>72.6</w:t>
            </w:r>
          </w:p>
        </w:tc>
        <w:tc>
          <w:tcPr>
            <w:tcW w:w="60" w:type="dxa"/>
            <w:vAlign w:val="bottom"/>
            <w:tcBorders>
              <w:top w:val="single" w:sz="8" w:color="CCEEFF"/>
            </w:tcBorders>
            <w:shd w:val="clear" w:color="auto" w:fill="CCEEFF"/>
          </w:tcPr>
          <w:p>
            <w:pPr>
              <w:spacing w:after="0"/>
              <w:rPr>
                <w:sz w:val="14"/>
                <w:szCs w:val="14"/>
                <w:color w:val="auto"/>
              </w:rPr>
            </w:pPr>
          </w:p>
        </w:tc>
      </w:tr>
      <w:tr>
        <w:trPr>
          <w:trHeight w:val="21"/>
        </w:trPr>
        <w:tc>
          <w:tcPr>
            <w:tcW w:w="3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231F20"/>
            </w:tcBorders>
            <w:shd w:val="clear" w:color="auto" w:fill="CCEEFF"/>
          </w:tcPr>
          <w:p>
            <w:pPr>
              <w:spacing w:after="0" w:line="20" w:lineRule="exact"/>
              <w:rPr>
                <w:sz w:val="1"/>
                <w:szCs w:val="1"/>
                <w:color w:val="auto"/>
              </w:rPr>
            </w:pPr>
          </w:p>
        </w:tc>
        <w:tc>
          <w:tcPr>
            <w:tcW w:w="260" w:type="dxa"/>
            <w:vAlign w:val="bottom"/>
            <w:tcBorders>
              <w:top w:val="single" w:sz="8" w:color="231F20"/>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231F20"/>
              </w:rPr>
              <w:t>MTAC Public Stockholders</w:t>
            </w:r>
          </w:p>
        </w:tc>
        <w:tc>
          <w:tcPr>
            <w:tcW w:w="10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231F20"/>
              </w:rPr>
              <w:t>254,295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231F20"/>
              </w:rPr>
              <w:t>0.8</w:t>
            </w:r>
          </w:p>
        </w:tc>
      </w:tr>
      <w:tr>
        <w:trPr>
          <w:trHeight w:val="257"/>
        </w:trPr>
        <w:tc>
          <w:tcPr>
            <w:tcW w:w="3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231F20"/>
              </w:rPr>
              <w:t>Preferred Stock PIPE Investors</w:t>
            </w:r>
            <w:r>
              <w:rPr>
                <w:rFonts w:ascii="Arial" w:cs="Arial" w:eastAsia="Arial" w:hAnsi="Arial"/>
                <w:sz w:val="29"/>
                <w:szCs w:val="29"/>
                <w:color w:val="231F20"/>
                <w:vertAlign w:val="superscript"/>
              </w:rPr>
              <w:t>(1)</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231F20"/>
              </w:rPr>
              <w:t>4,015,002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13.2</w:t>
            </w:r>
          </w:p>
        </w:tc>
      </w:tr>
      <w:tr>
        <w:trPr>
          <w:trHeight w:val="256"/>
        </w:trPr>
        <w:tc>
          <w:tcPr>
            <w:tcW w:w="3600" w:type="dxa"/>
            <w:vAlign w:val="bottom"/>
            <w:gridSpan w:val="2"/>
          </w:tcPr>
          <w:p>
            <w:pPr>
              <w:spacing w:after="0" w:line="256" w:lineRule="exact"/>
              <w:rPr>
                <w:sz w:val="20"/>
                <w:szCs w:val="20"/>
                <w:color w:val="auto"/>
              </w:rPr>
            </w:pPr>
            <w:r>
              <w:rPr>
                <w:rFonts w:ascii="Arial" w:cs="Arial" w:eastAsia="Arial" w:hAnsi="Arial"/>
                <w:sz w:val="18"/>
                <w:szCs w:val="18"/>
                <w:color w:val="231F20"/>
              </w:rPr>
              <w:t>Holders of founder shares</w:t>
            </w:r>
            <w:r>
              <w:rPr>
                <w:rFonts w:ascii="Arial" w:cs="Arial" w:eastAsia="Arial" w:hAnsi="Arial"/>
                <w:sz w:val="29"/>
                <w:szCs w:val="29"/>
                <w:color w:val="231F20"/>
                <w:vertAlign w:val="superscript"/>
              </w:rPr>
              <w:t>(2)</w:t>
            </w: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231F20"/>
              </w:rPr>
              <w:t>4,062,500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231F20"/>
              </w:rPr>
              <w:t>13.4</w:t>
            </w:r>
          </w:p>
        </w:tc>
      </w:tr>
      <w:tr>
        <w:trPr>
          <w:trHeight w:val="176"/>
        </w:trPr>
        <w:tc>
          <w:tcPr>
            <w:tcW w:w="36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231F20"/>
              </w:rPr>
              <w:t>Total Shares</w:t>
            </w:r>
          </w:p>
        </w:tc>
        <w:tc>
          <w:tcPr>
            <w:tcW w:w="1060" w:type="dxa"/>
            <w:vAlign w:val="bottom"/>
            <w:gridSpan w:val="4"/>
            <w:shd w:val="clear" w:color="auto" w:fill="CCEEFF"/>
          </w:tcPr>
          <w:p>
            <w:pPr>
              <w:jc w:val="right"/>
              <w:ind w:right="160"/>
              <w:spacing w:after="0" w:line="176" w:lineRule="exact"/>
              <w:rPr>
                <w:sz w:val="20"/>
                <w:szCs w:val="20"/>
                <w:color w:val="auto"/>
              </w:rPr>
            </w:pPr>
            <w:r>
              <w:rPr>
                <w:rFonts w:ascii="Arial" w:cs="Arial" w:eastAsia="Arial" w:hAnsi="Arial"/>
                <w:sz w:val="18"/>
                <w:szCs w:val="18"/>
                <w:color w:val="231F20"/>
                <w:w w:val="97"/>
              </w:rPr>
              <w:t>30,331,683</w:t>
            </w:r>
          </w:p>
        </w:tc>
        <w:tc>
          <w:tcPr>
            <w:tcW w:w="9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231F20"/>
              </w:rPr>
              <w:t>100.0</w:t>
            </w:r>
          </w:p>
        </w:tc>
      </w:tr>
      <w:tr>
        <w:trPr>
          <w:trHeight w:val="21"/>
        </w:trPr>
        <w:tc>
          <w:tcPr>
            <w:tcW w:w="3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231F20"/>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340" w:right="760" w:hanging="332"/>
        <w:spacing w:after="0" w:line="277" w:lineRule="auto"/>
        <w:tabs>
          <w:tab w:leader="none" w:pos="340" w:val="left"/>
        </w:tabs>
        <w:numPr>
          <w:ilvl w:val="0"/>
          <w:numId w:val="219"/>
        </w:numPr>
        <w:rPr>
          <w:rFonts w:ascii="Arial" w:cs="Arial" w:eastAsia="Arial" w:hAnsi="Arial"/>
          <w:sz w:val="18"/>
          <w:szCs w:val="18"/>
          <w:color w:val="231F20"/>
        </w:rPr>
      </w:pPr>
      <w:r>
        <w:rPr>
          <w:rFonts w:ascii="Arial" w:cs="Arial" w:eastAsia="Arial" w:hAnsi="Arial"/>
          <w:sz w:val="18"/>
          <w:szCs w:val="18"/>
          <w:color w:val="231F20"/>
        </w:rPr>
        <w:t>Assumes the 4,015,002 shares of Series A Convertible Preferred Stock issued at $10.00 per share in the Preferred Stock PIPE Investment are converted into shares of New TriSalus Common Stock at the initial conversion price of $10.00 per share.</w:t>
      </w:r>
    </w:p>
    <w:p>
      <w:pPr>
        <w:spacing w:after="0" w:line="170" w:lineRule="exact"/>
        <w:rPr>
          <w:rFonts w:ascii="Arial" w:cs="Arial" w:eastAsia="Arial" w:hAnsi="Arial"/>
          <w:sz w:val="18"/>
          <w:szCs w:val="18"/>
          <w:color w:val="231F20"/>
        </w:rPr>
      </w:pPr>
    </w:p>
    <w:p>
      <w:pPr>
        <w:ind w:left="340" w:right="140" w:hanging="332"/>
        <w:spacing w:after="0" w:line="275" w:lineRule="auto"/>
        <w:tabs>
          <w:tab w:leader="none" w:pos="340" w:val="left"/>
        </w:tabs>
        <w:numPr>
          <w:ilvl w:val="0"/>
          <w:numId w:val="219"/>
        </w:numPr>
        <w:rPr>
          <w:rFonts w:ascii="Arial" w:cs="Arial" w:eastAsia="Arial" w:hAnsi="Arial"/>
          <w:sz w:val="17"/>
          <w:szCs w:val="17"/>
          <w:color w:val="231F20"/>
        </w:rPr>
      </w:pPr>
      <w:r>
        <w:rPr>
          <w:rFonts w:ascii="Arial" w:cs="Arial" w:eastAsia="Arial" w:hAnsi="Arial"/>
          <w:sz w:val="17"/>
          <w:szCs w:val="17"/>
          <w:color w:val="231F20"/>
        </w:rPr>
        <w:t>Includes 3,125,000 Sponsor Earnout Shares that are subject to vesting and forfeiture if the New TriSalus Common Stock does not meet certain price thresholds following the Closing Date. While unvested, holders of the Sponsor Earnout Shares will have full ownership rights to the Sponsor Earnout Shares, including the right to vote such shares. For additional information, see “</w:t>
      </w:r>
      <w:r>
        <w:rPr>
          <w:rFonts w:ascii="Arial" w:cs="Arial" w:eastAsia="Arial" w:hAnsi="Arial"/>
          <w:sz w:val="17"/>
          <w:szCs w:val="17"/>
          <w:i w:val="1"/>
          <w:iCs w:val="1"/>
          <w:color w:val="231F20"/>
        </w:rPr>
        <w:t>Business Combination Proposal — Related Agreements — Sponsor</w:t>
      </w:r>
      <w:r>
        <w:rPr>
          <w:rFonts w:ascii="Arial" w:cs="Arial" w:eastAsia="Arial" w:hAnsi="Arial"/>
          <w:sz w:val="17"/>
          <w:szCs w:val="17"/>
          <w:color w:val="231F20"/>
        </w:rPr>
        <w:t xml:space="preserve"> </w:t>
      </w:r>
      <w:r>
        <w:rPr>
          <w:rFonts w:ascii="Arial" w:cs="Arial" w:eastAsia="Arial" w:hAnsi="Arial"/>
          <w:sz w:val="17"/>
          <w:szCs w:val="17"/>
          <w:i w:val="1"/>
          <w:iCs w:val="1"/>
          <w:color w:val="231F20"/>
        </w:rPr>
        <w:t>Support Agreement</w:t>
      </w:r>
      <w:r>
        <w:rPr>
          <w:rFonts w:ascii="Arial" w:cs="Arial" w:eastAsia="Arial" w:hAnsi="Arial"/>
          <w:sz w:val="17"/>
          <w:szCs w:val="17"/>
          <w:color w:val="231F20"/>
        </w:rPr>
        <w:t>” in the proxy statement/prospectus. The founder shares (including Sponsor Earnout Shares) were distributed pro rata to the</w:t>
      </w:r>
      <w:r>
        <w:rPr>
          <w:rFonts w:ascii="Arial" w:cs="Arial" w:eastAsia="Arial" w:hAnsi="Arial"/>
          <w:sz w:val="17"/>
          <w:szCs w:val="17"/>
          <w:i w:val="1"/>
          <w:iCs w:val="1"/>
          <w:color w:val="231F20"/>
        </w:rPr>
        <w:t xml:space="preserve"> </w:t>
      </w:r>
      <w:r>
        <w:rPr>
          <w:rFonts w:ascii="Arial" w:cs="Arial" w:eastAsia="Arial" w:hAnsi="Arial"/>
          <w:sz w:val="17"/>
          <w:szCs w:val="17"/>
          <w:color w:val="231F20"/>
        </w:rPr>
        <w:t>members of the Sponsor in connection with the consummation of the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Accounting for the Business Combination</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231F20"/>
        </w:rPr>
        <w:t>The Business Combination has been accounted for as a reverse recapitalization in accordance with GAAP. Under this method of accounting, MTAC has been treated as the “acquired” company for financial reporting purposes. This determination was primarily based on the fact that subsequent to the Business Combination, the Legacy TriSalus stockholders have a majority of the voting power of New TriSalus, Legacy TriSalus comprises all of the ongoing operations of New TriSalus, Legacy TriSalus has appointed a majority of the governing body of New TriSalus, and Legacy TriSalus’ senior management comprises all of the senior management of New TriSalus. Accordingly, for accounting purposes, the Business Combination has been treated as the equivalent of Legacy TriSalus issuing shares for the net assets of MTAC, accompanied by a recapitalization. The net assets of MTAC have been stated at historical cost, with no goodwill or other intangible assets recorded. The financial statements of New TriSalus represent a continuation of the financial statements of Legacy TriSalus.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Accounting for the Sponsor Earnout Shares</w:t>
      </w:r>
    </w:p>
    <w:p>
      <w:pPr>
        <w:spacing w:after="0" w:line="229"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231F20"/>
        </w:rPr>
        <w:t>New TriSalus has restructured the 6,250,000 shares of common stock previously outstanding and held by the Sponsor (the “Sponsor Shares”), with such Sponsor Shares reclassified into shares of New TriSalus Common Stock as of the Effective Time. Thirty-five percent (35%), or 2,187,500 shares, of the Sponsor Shares have been forfeited and canceled as of the Effective Time; fifteen percent (15%), or 937,500 shares, of the Sponsor Shares have fully vested and are free from forfeiture; and fifty percent (50%), or 3,125,000 shares, of the Sponsor Shares are subject to vesting and forfeiture if the New TriSalus Common Stock does not meet certain price thresholds prior to the fifth anniversary of the Closing Date. One-fourth of the Sponsor Earnout Shares will vest when the volume-weighted average price (“VWAP”) of the New TriSalus Common Stock price equals or exceeds $15.00 per share for at least 20 trading days during any 30 trading-day period, one- fourth of the Sponsor Earnout Shares will vest when the VWAP of the New TriSalus Common Stock price equals or exceeds $20.00 for at least 20 trading days during any 30 trading-day period, one- fourth of the Sponsor Earnout Shares will vest when the VWAP of the New TriSalus Common Stock price equals or exceeds $25.00 for at least 20 trading days during any 30 trading-day period, and the remaining one-fourth will vest when the VWAP equals or exceeds $30.00 for at least 20 trading days during any 30 trading-day period. Additionally, the Sponsor Earnout Shares will vest if there is a change in control of New TriSalus on or before the 5th anniversary of the Closing Date that results in the holders of New TriSalus Common Stock receiving a price per share equal to or in excess of the applicable earnout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44" w:name="page345"/>
    <w:bookmarkEnd w:id="344"/>
    <w:p>
      <w:pPr>
        <w:ind w:right="60" w:firstLine="324"/>
        <w:spacing w:after="0" w:line="273" w:lineRule="auto"/>
        <w:rPr>
          <w:sz w:val="20"/>
          <w:szCs w:val="20"/>
          <w:color w:val="auto"/>
        </w:rPr>
      </w:pPr>
      <w:r>
        <w:rPr>
          <w:rFonts w:ascii="Arial" w:cs="Arial" w:eastAsia="Arial" w:hAnsi="Arial"/>
          <w:sz w:val="17"/>
          <w:szCs w:val="17"/>
          <w:color w:val="231F20"/>
        </w:rPr>
        <w:t xml:space="preserve">The accounting for the Sponsor Earnout Shares was evaluated under ASC Topic 480, </w:t>
      </w:r>
      <w:r>
        <w:rPr>
          <w:rFonts w:ascii="Arial" w:cs="Arial" w:eastAsia="Arial" w:hAnsi="Arial"/>
          <w:sz w:val="17"/>
          <w:szCs w:val="17"/>
          <w:i w:val="1"/>
          <w:iCs w:val="1"/>
          <w:color w:val="231F20"/>
        </w:rPr>
        <w:t>Distinguishing Liabilities from Equity,</w:t>
      </w:r>
      <w:r>
        <w:rPr>
          <w:rFonts w:ascii="Arial" w:cs="Arial" w:eastAsia="Arial" w:hAnsi="Arial"/>
          <w:sz w:val="17"/>
          <w:szCs w:val="17"/>
          <w:color w:val="231F20"/>
        </w:rPr>
        <w:t xml:space="preserve"> and ASC Subtopic 815-40, </w:t>
      </w:r>
      <w:r>
        <w:rPr>
          <w:rFonts w:ascii="Arial" w:cs="Arial" w:eastAsia="Arial" w:hAnsi="Arial"/>
          <w:sz w:val="17"/>
          <w:szCs w:val="17"/>
          <w:i w:val="1"/>
          <w:iCs w:val="1"/>
          <w:color w:val="231F20"/>
        </w:rPr>
        <w:t>Derivatives and Hedging — Contracts in Entity’s Own Equity,</w:t>
      </w:r>
      <w:r>
        <w:rPr>
          <w:rFonts w:ascii="Arial" w:cs="Arial" w:eastAsia="Arial" w:hAnsi="Arial"/>
          <w:sz w:val="17"/>
          <w:szCs w:val="17"/>
          <w:color w:val="231F20"/>
        </w:rPr>
        <w:t xml:space="preserve"> to determine if the Sponsor Earnout Shares should be classified as a liability or within equity. As part of that preliminary analysis, it was determined that the Sponsor Earnout Shares subject to vesting are freestanding from other shares of common stock held by the Sponsor and do not meet the criteria in ASC 815-40 to be considered indexed to the New TriSalus Common Stock. As a result, the Sponsor Earnout Shares will be classified as a liability. Therefore, an adjustment to recognize a liability related to the Sponsor Earnout Shares has been applied to the unaudited pro forma combined financial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Accounting for the Preferred Stock PIPE Investment</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231F20"/>
        </w:rPr>
        <w:t>In connection with closing of the Business Combination, MTAC issued 4,015,002 shares of New TriSalus’ Series A Convertible Preferred Stock, with a par value of $0.0001 per share (the “Series A Convertible Preferred Stock”), at a purchase price of $10.00 per share, for gross proceeds of approximately $40.2 million. The Series A Convertible Preferred Stock will initially be convertible into shares of New TriSalus Common Stock at $10.00 per share, subject to customary adjustments and a conversion price reset feature, at any time at the option of the holder. The Series A Convertible Preferred Stock will also automatically convert into shares of New TriSalus Common Stock, at the then-applicable conversion price, upon the four- year anniversary of the Business Combination.</w:t>
      </w:r>
    </w:p>
    <w:p>
      <w:pPr>
        <w:spacing w:after="0" w:line="19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231F20"/>
        </w:rPr>
        <w:t>The Series A Convertible Preferred Stock accrues cumulative dividends at 8.0% per annum, which will be paid upon declaration by the board of directors, upon liquidation, or upon conversion. It will also participate in any dividends or distributions (other than dividends paid in the form of New TriSalus Common Stock, convertible securities, or options) made to the common stockholders on an as-converted basis. Dividends may be paid in cash or, at the election of the New TriSalus, by delivery of shares of the New TriSalus Common Stock.</w:t>
      </w:r>
    </w:p>
    <w:p>
      <w:pPr>
        <w:spacing w:after="0" w:line="18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231F20"/>
        </w:rPr>
        <w:t>The accounting for the Series A Convertible Preferred Stock is currently under evaluation. A preliminary analysis was performed whereby ASC Topic 480, Distinguishing Liabilities from Equity, ASC Subtopic 815-15, Derivatives and Hedging — Embedded Derivatives and ASC Subtopic 815-40, Derivatives and Hedging — Contracts in Entity’s Own Equity were considered in determining whether the Series A Convertible Preferred Stock should be classified as a liability or within equity. As part of that analysis, it was preliminarily determined that the Series A Convertible Preferred Stock does not meet the criteria in ASC 480 to be classified as a liability, rather, it meets the criteria in ASC 815-40 to be considered indexed to the New TriSalus Common Stock and classified as equity. Further, as part of the preliminary analysis, it was determined that there aren’t any embedded features that require bifurcation or result in a classification outside of permanent equity. As a result, the Series A Convertible Preferred Stock will be classified as equity for purposes of the pro forma financial information, and an adjustment to recognize the expected cash proceeds and issuance of Series A Convertible Preferred Stock has been applied to the unaudited pro forma combined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Other Financing and Related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MTAC — Final Redemption</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231F20"/>
        </w:rPr>
        <w:t>As described in the proxy statement/prospectus, MTAC provided holders of its shares of Class A Common Stock with the opportunity to have all or a portion of their shares redeemed for cash upon the closing of the Business Combination. On August 8, 2023, MTAC held a special meeting of stockholders, at which, holders of an aggregate of 890,499 shares of MTAC’s Class A Common Stock elected to exercise their right to redeem their shares for a pro rata portion of the funds in the Company’s trust account (the “</w:t>
      </w:r>
      <w:r>
        <w:rPr>
          <w:rFonts w:ascii="Arial" w:cs="Arial" w:eastAsia="Arial" w:hAnsi="Arial"/>
          <w:sz w:val="18"/>
          <w:szCs w:val="18"/>
          <w:u w:val="single" w:color="auto"/>
          <w:color w:val="231F20"/>
        </w:rPr>
        <w:t>Trust Account</w:t>
      </w:r>
      <w:r>
        <w:rPr>
          <w:rFonts w:ascii="Arial" w:cs="Arial" w:eastAsia="Arial" w:hAnsi="Arial"/>
          <w:sz w:val="18"/>
          <w:szCs w:val="18"/>
          <w:color w:val="231F20"/>
        </w:rPr>
        <w:t>”). As a result, approximately $9.4 million (approximately $10.58 per redeemed share) was removed from the Trust Account to pay such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Basis of Pro Forma Presentation</w:t>
      </w:r>
    </w:p>
    <w:p>
      <w:pPr>
        <w:spacing w:after="0" w:line="22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231F20"/>
        </w:rPr>
        <w:t>The historical financial information has been adjusted to give pro forma effect to the transaction accounting required for the Business Combination. The adjustments in the unaudited pro forma condensed combined financial information have been identified and presented to provide relevant information necessary for an accurate understanding of the post-combination entity upon the Effective Time.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unaudited pro forma condensed combined financial information is 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45" w:name="page346"/>
    <w:bookmarkEnd w:id="345"/>
    <w:p>
      <w:pPr>
        <w:spacing w:after="0" w:line="279" w:lineRule="auto"/>
        <w:rPr>
          <w:sz w:val="20"/>
          <w:szCs w:val="20"/>
          <w:color w:val="auto"/>
        </w:rPr>
      </w:pPr>
      <w:r>
        <w:rPr>
          <w:rFonts w:ascii="Arial" w:cs="Arial" w:eastAsia="Arial" w:hAnsi="Arial"/>
          <w:sz w:val="17"/>
          <w:szCs w:val="17"/>
          <w:color w:val="231F20"/>
        </w:rPr>
        <w:t>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post-combination entity will experience. Legacy TriSalus and MTAC have not had any historical relationship prior to the Business Combination. Accordingly, no pro forma adjustments were required to eliminate activities between the companies.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Accounting Policies</w:t>
      </w:r>
    </w:p>
    <w:p>
      <w:pPr>
        <w:spacing w:after="0" w:line="22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231F20"/>
        </w:rPr>
        <w:t>Following consummation of the Business Combination, management is performing a comprehensive review of Legacy TriSalus’ and MTAC’s accounting policies. As a result of the review, management may identify differences between the accounting policies of the two entities which, when conformed, could have a material impact on the financial statements of New TriSalus.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346" w:name="page347"/>
    <w:bookmarkEnd w:id="346"/>
    <w:p>
      <w:pPr>
        <w:jc w:val="center"/>
        <w:spacing w:after="0"/>
        <w:rPr>
          <w:sz w:val="20"/>
          <w:szCs w:val="20"/>
          <w:color w:val="auto"/>
        </w:rPr>
      </w:pPr>
      <w:r>
        <w:rPr>
          <w:rFonts w:ascii="Arial" w:cs="Arial" w:eastAsia="Arial" w:hAnsi="Arial"/>
          <w:sz w:val="18"/>
          <w:szCs w:val="18"/>
          <w:b w:val="1"/>
          <w:bCs w:val="1"/>
          <w:color w:val="231F20"/>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As of 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right"/>
              <w:ind w:right="521"/>
              <w:spacing w:after="0"/>
              <w:rPr>
                <w:sz w:val="20"/>
                <w:szCs w:val="20"/>
                <w:color w:val="auto"/>
              </w:rPr>
            </w:pPr>
            <w:r>
              <w:rPr>
                <w:rFonts w:ascii="Arial" w:cs="Arial" w:eastAsia="Arial" w:hAnsi="Arial"/>
                <w:sz w:val="18"/>
                <w:szCs w:val="18"/>
                <w:b w:val="1"/>
                <w:bCs w:val="1"/>
                <w:color w:val="auto"/>
                <w:w w:val="89"/>
              </w:rPr>
              <w:t>Subsequent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w w:val="92"/>
              </w:rPr>
              <w:t>TriSalus</w:t>
            </w:r>
          </w:p>
        </w:tc>
        <w:tc>
          <w:tcPr>
            <w:tcW w:w="120" w:type="dxa"/>
            <w:vAlign w:val="bottom"/>
          </w:tcPr>
          <w:p>
            <w:pPr>
              <w:spacing w:after="0"/>
              <w:rPr>
                <w:sz w:val="18"/>
                <w:szCs w:val="18"/>
                <w:color w:val="auto"/>
              </w:rPr>
            </w:pPr>
          </w:p>
        </w:tc>
        <w:tc>
          <w:tcPr>
            <w:tcW w:w="98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rPr>
              <w:t>MTAC</w:t>
            </w:r>
          </w:p>
        </w:tc>
        <w:tc>
          <w:tcPr>
            <w:tcW w:w="180" w:type="dxa"/>
            <w:vAlign w:val="bottom"/>
          </w:tcPr>
          <w:p>
            <w:pPr>
              <w:spacing w:after="0"/>
              <w:rPr>
                <w:sz w:val="18"/>
                <w:szCs w:val="18"/>
                <w:color w:val="auto"/>
              </w:rPr>
            </w:pPr>
          </w:p>
        </w:tc>
        <w:tc>
          <w:tcPr>
            <w:tcW w:w="1360" w:type="dxa"/>
            <w:vAlign w:val="bottom"/>
            <w:gridSpan w:val="2"/>
          </w:tcPr>
          <w:p>
            <w:pPr>
              <w:jc w:val="right"/>
              <w:ind w:right="741"/>
              <w:spacing w:after="0"/>
              <w:rPr>
                <w:sz w:val="20"/>
                <w:szCs w:val="20"/>
                <w:color w:val="auto"/>
              </w:rPr>
            </w:pPr>
            <w:r>
              <w:rPr>
                <w:rFonts w:ascii="Arial" w:cs="Arial" w:eastAsia="Arial" w:hAnsi="Arial"/>
                <w:sz w:val="18"/>
                <w:szCs w:val="18"/>
                <w:b w:val="1"/>
                <w:bCs w:val="1"/>
                <w:color w:val="auto"/>
              </w:rPr>
              <w:t>Event</w:t>
            </w:r>
          </w:p>
        </w:tc>
        <w:tc>
          <w:tcPr>
            <w:tcW w:w="10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Financing</w:t>
            </w:r>
          </w:p>
        </w:tc>
        <w:tc>
          <w:tcPr>
            <w:tcW w:w="460" w:type="dxa"/>
            <w:vAlign w:val="bottom"/>
          </w:tcPr>
          <w:p>
            <w:pPr>
              <w:spacing w:after="0"/>
              <w:rPr>
                <w:sz w:val="18"/>
                <w:szCs w:val="18"/>
                <w:color w:val="auto"/>
              </w:rPr>
            </w:pPr>
          </w:p>
        </w:tc>
        <w:tc>
          <w:tcPr>
            <w:tcW w:w="1100" w:type="dxa"/>
            <w:vAlign w:val="bottom"/>
            <w:gridSpan w:val="3"/>
          </w:tcPr>
          <w:p>
            <w:pPr>
              <w:jc w:val="right"/>
              <w:ind w:right="61"/>
              <w:spacing w:after="0"/>
              <w:rPr>
                <w:sz w:val="20"/>
                <w:szCs w:val="20"/>
                <w:color w:val="auto"/>
              </w:rPr>
            </w:pPr>
            <w:r>
              <w:rPr>
                <w:rFonts w:ascii="Arial" w:cs="Arial" w:eastAsia="Arial" w:hAnsi="Arial"/>
                <w:sz w:val="18"/>
                <w:szCs w:val="18"/>
                <w:b w:val="1"/>
                <w:bCs w:val="1"/>
                <w:color w:val="auto"/>
                <w:w w:val="92"/>
              </w:rPr>
              <w:t>Transaction</w:t>
            </w:r>
          </w:p>
        </w:tc>
        <w:tc>
          <w:tcPr>
            <w:tcW w:w="44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9"/>
              </w:rPr>
              <w:t>Pro Forma</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160" w:type="dxa"/>
            <w:vAlign w:val="bottom"/>
            <w:gridSpan w:val="3"/>
          </w:tcPr>
          <w:p>
            <w:pPr>
              <w:jc w:val="right"/>
              <w:ind w:right="241"/>
              <w:spacing w:after="0"/>
              <w:rPr>
                <w:sz w:val="20"/>
                <w:szCs w:val="20"/>
                <w:color w:val="auto"/>
              </w:rPr>
            </w:pPr>
            <w:r>
              <w:rPr>
                <w:rFonts w:ascii="Arial" w:cs="Arial" w:eastAsia="Arial" w:hAnsi="Arial"/>
                <w:sz w:val="18"/>
                <w:szCs w:val="18"/>
                <w:b w:val="1"/>
                <w:bCs w:val="1"/>
                <w:color w:val="auto"/>
                <w:w w:val="99"/>
              </w:rPr>
              <w:t>Historical</w:t>
            </w:r>
          </w:p>
        </w:tc>
        <w:tc>
          <w:tcPr>
            <w:tcW w:w="1100" w:type="dxa"/>
            <w:vAlign w:val="bottom"/>
            <w:gridSpan w:val="3"/>
          </w:tcPr>
          <w:p>
            <w:pPr>
              <w:jc w:val="right"/>
              <w:ind w:right="201"/>
              <w:spacing w:after="0"/>
              <w:rPr>
                <w:sz w:val="20"/>
                <w:szCs w:val="20"/>
                <w:color w:val="auto"/>
              </w:rPr>
            </w:pPr>
            <w:r>
              <w:rPr>
                <w:rFonts w:ascii="Arial" w:cs="Arial" w:eastAsia="Arial" w:hAnsi="Arial"/>
                <w:sz w:val="18"/>
                <w:szCs w:val="18"/>
                <w:b w:val="1"/>
                <w:bCs w:val="1"/>
                <w:color w:val="auto"/>
                <w:w w:val="97"/>
              </w:rPr>
              <w:t>Historical</w:t>
            </w: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Adjustments</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w w:val="95"/>
              </w:rPr>
              <w:t>Adjustments</w:t>
            </w:r>
          </w:p>
        </w:tc>
        <w:tc>
          <w:tcPr>
            <w:tcW w:w="46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9"/>
              </w:rPr>
              <w:t>Adjustments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231F20"/>
              </w:rPr>
              <w:t>ASSETS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231F20"/>
              </w:rPr>
              <w:t>Current assets: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231F20"/>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231F20"/>
              </w:rPr>
              <w:t>3,904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231F20"/>
              </w:rPr>
              <w:t>104</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231F20"/>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40,150</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(B)</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231F20"/>
              </w:rPr>
              <w:t>$</w:t>
            </w: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231F20"/>
              </w:rPr>
              <w:t>2,655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(C)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40,128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231F20"/>
              </w:rPr>
              <w:t>(685)</w:t>
            </w:r>
          </w:p>
        </w:tc>
        <w:tc>
          <w:tcPr>
            <w:tcW w:w="520" w:type="dxa"/>
            <w:vAlign w:val="bottom"/>
            <w:gridSpan w:val="2"/>
          </w:tcPr>
          <w:p>
            <w:pPr>
              <w:jc w:val="center"/>
              <w:ind w:right="118"/>
              <w:spacing w:after="0"/>
              <w:rPr>
                <w:sz w:val="20"/>
                <w:szCs w:val="20"/>
                <w:color w:val="auto"/>
              </w:rPr>
            </w:pPr>
            <w:r>
              <w:rPr>
                <w:rFonts w:ascii="Arial" w:cs="Arial" w:eastAsia="Arial" w:hAnsi="Arial"/>
                <w:sz w:val="18"/>
                <w:szCs w:val="18"/>
                <w:color w:val="231F20"/>
                <w:w w:val="99"/>
              </w:rPr>
              <w:t>(E)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(6,000)</w:t>
            </w:r>
          </w:p>
        </w:tc>
        <w:tc>
          <w:tcPr>
            <w:tcW w:w="520" w:type="dxa"/>
            <w:vAlign w:val="bottom"/>
            <w:gridSpan w:val="2"/>
            <w:shd w:val="clear" w:color="auto" w:fill="CCEEFF"/>
          </w:tcPr>
          <w:p>
            <w:pPr>
              <w:jc w:val="center"/>
              <w:ind w:right="98"/>
              <w:spacing w:after="0"/>
              <w:rPr>
                <w:sz w:val="20"/>
                <w:szCs w:val="20"/>
                <w:color w:val="auto"/>
              </w:rPr>
            </w:pPr>
            <w:r>
              <w:rPr>
                <w:rFonts w:ascii="Arial" w:cs="Arial" w:eastAsia="Arial" w:hAnsi="Arial"/>
                <w:sz w:val="18"/>
                <w:szCs w:val="18"/>
                <w:color w:val="231F20"/>
                <w:w w:val="95"/>
              </w:rPr>
              <w:t>(F)</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231F20"/>
              </w:rPr>
              <w:t>Accounts receivable</w:t>
            </w:r>
          </w:p>
        </w:tc>
        <w:tc>
          <w:tcPr>
            <w:tcW w:w="10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231F20"/>
              </w:rPr>
              <w:t>2,094</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231F20"/>
              </w:rPr>
              <w:t>—</w:t>
            </w:r>
          </w:p>
        </w:tc>
        <w:tc>
          <w:tcPr>
            <w:tcW w:w="180" w:type="dxa"/>
            <w:vAlign w:val="bottom"/>
          </w:tcPr>
          <w:p>
            <w:pPr>
              <w:spacing w:after="0"/>
              <w:rPr>
                <w:sz w:val="18"/>
                <w:szCs w:val="18"/>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231F20"/>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231F20"/>
              </w:rPr>
              <w:t>2,094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231F20"/>
              </w:rPr>
              <w:t>Inventory,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231F20"/>
              </w:rPr>
              <w:t>1,522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231F20"/>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231F20"/>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1,522</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231F20"/>
              </w:rPr>
              <w:t>Prepaid expenses</w:t>
            </w:r>
          </w:p>
        </w:tc>
        <w:tc>
          <w:tcPr>
            <w:tcW w:w="100" w:type="dxa"/>
            <w:vAlign w:val="bottom"/>
          </w:tcPr>
          <w:p>
            <w:pPr>
              <w:spacing w:after="0"/>
              <w:rPr>
                <w:sz w:val="19"/>
                <w:szCs w:val="19"/>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231F20"/>
              </w:rPr>
              <w:t>4,859</w:t>
            </w:r>
          </w:p>
        </w:tc>
        <w:tc>
          <w:tcPr>
            <w:tcW w:w="12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231F20"/>
              </w:rPr>
              <w:t>57</w:t>
            </w:r>
          </w:p>
        </w:tc>
        <w:tc>
          <w:tcPr>
            <w:tcW w:w="180" w:type="dxa"/>
            <w:vAlign w:val="bottom"/>
          </w:tcPr>
          <w:p>
            <w:pPr>
              <w:spacing w:after="0"/>
              <w:rPr>
                <w:sz w:val="19"/>
                <w:szCs w:val="19"/>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231F20"/>
              </w:rPr>
              <w:t>(4,233)</w:t>
            </w:r>
          </w:p>
        </w:tc>
        <w:tc>
          <w:tcPr>
            <w:tcW w:w="520" w:type="dxa"/>
            <w:vAlign w:val="bottom"/>
            <w:gridSpan w:val="2"/>
          </w:tcPr>
          <w:p>
            <w:pPr>
              <w:jc w:val="center"/>
              <w:ind w:right="118"/>
              <w:spacing w:after="0"/>
              <w:rPr>
                <w:sz w:val="20"/>
                <w:szCs w:val="20"/>
                <w:color w:val="auto"/>
              </w:rPr>
            </w:pPr>
            <w:r>
              <w:rPr>
                <w:rFonts w:ascii="Arial" w:cs="Arial" w:eastAsia="Arial" w:hAnsi="Arial"/>
                <w:sz w:val="18"/>
                <w:szCs w:val="18"/>
                <w:color w:val="231F20"/>
                <w:w w:val="99"/>
              </w:rPr>
              <w:t>(E)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231F20"/>
              </w:rPr>
              <w:t>683</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231F20"/>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12,379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161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40,150</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(8,263)</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44,427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231F20"/>
              </w:rPr>
              <w:t>Property and equipment, net</w:t>
            </w:r>
          </w:p>
        </w:tc>
        <w:tc>
          <w:tcPr>
            <w:tcW w:w="10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231F20"/>
              </w:rPr>
              <w:t>1,885</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231F20"/>
              </w:rPr>
              <w:t>—</w:t>
            </w:r>
          </w:p>
        </w:tc>
        <w:tc>
          <w:tcPr>
            <w:tcW w:w="180" w:type="dxa"/>
            <w:vAlign w:val="bottom"/>
          </w:tcPr>
          <w:p>
            <w:pPr>
              <w:spacing w:after="0"/>
              <w:rPr>
                <w:sz w:val="18"/>
                <w:szCs w:val="18"/>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231F20"/>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231F20"/>
              </w:rPr>
              <w:t>1,885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231F20"/>
              </w:rPr>
              <w:t>Right-of-use asset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231F20"/>
              </w:rPr>
              <w:t>1,322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231F20"/>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231F20"/>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1,322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231F20"/>
              </w:rPr>
              <w:t>Intangible assets, net</w:t>
            </w:r>
          </w:p>
        </w:tc>
        <w:tc>
          <w:tcPr>
            <w:tcW w:w="10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231F20"/>
              </w:rPr>
              <w:t>858</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231F20"/>
              </w:rPr>
              <w:t>—</w:t>
            </w:r>
          </w:p>
        </w:tc>
        <w:tc>
          <w:tcPr>
            <w:tcW w:w="180" w:type="dxa"/>
            <w:vAlign w:val="bottom"/>
          </w:tcPr>
          <w:p>
            <w:pPr>
              <w:spacing w:after="0"/>
              <w:rPr>
                <w:sz w:val="18"/>
                <w:szCs w:val="18"/>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231F20"/>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231F20"/>
              </w:rPr>
              <w:t>858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231F20"/>
              </w:rPr>
              <w:t>Other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231F20"/>
              </w:rPr>
              <w:t>367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231F20"/>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231F20"/>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367</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231F20"/>
              </w:rPr>
              <w:t>Investments held in Trust Account</w:t>
            </w:r>
          </w:p>
        </w:tc>
        <w:tc>
          <w:tcPr>
            <w:tcW w:w="100" w:type="dxa"/>
            <w:vAlign w:val="bottom"/>
          </w:tcPr>
          <w:p>
            <w:pPr>
              <w:spacing w:after="0"/>
              <w:rPr>
                <w:sz w:val="19"/>
                <w:szCs w:val="19"/>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231F20"/>
              </w:rPr>
              <w:t>—</w:t>
            </w:r>
          </w:p>
        </w:tc>
        <w:tc>
          <w:tcPr>
            <w:tcW w:w="12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231F20"/>
              </w:rPr>
              <w:t>12,076</w:t>
            </w:r>
          </w:p>
        </w:tc>
        <w:tc>
          <w:tcPr>
            <w:tcW w:w="180" w:type="dxa"/>
            <w:vAlign w:val="bottom"/>
          </w:tcPr>
          <w:p>
            <w:pPr>
              <w:spacing w:after="0"/>
              <w:rPr>
                <w:sz w:val="19"/>
                <w:szCs w:val="19"/>
                <w:color w:val="auto"/>
              </w:rPr>
            </w:pPr>
          </w:p>
        </w:tc>
        <w:tc>
          <w:tcPr>
            <w:tcW w:w="1360" w:type="dxa"/>
            <w:vAlign w:val="bottom"/>
            <w:gridSpan w:val="2"/>
          </w:tcPr>
          <w:p>
            <w:pPr>
              <w:jc w:val="right"/>
              <w:ind w:right="101"/>
              <w:spacing w:after="0"/>
              <w:rPr>
                <w:sz w:val="20"/>
                <w:szCs w:val="20"/>
                <w:color w:val="auto"/>
              </w:rPr>
            </w:pPr>
            <w:r>
              <w:rPr>
                <w:rFonts w:ascii="Arial" w:cs="Arial" w:eastAsia="Arial" w:hAnsi="Arial"/>
                <w:sz w:val="18"/>
                <w:szCs w:val="18"/>
                <w:color w:val="231F20"/>
              </w:rPr>
              <w:t>(9,421) (A)</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4"/>
          </w:tcPr>
          <w:p>
            <w:pPr>
              <w:jc w:val="right"/>
              <w:ind w:right="158"/>
              <w:spacing w:after="0"/>
              <w:rPr>
                <w:sz w:val="20"/>
                <w:szCs w:val="20"/>
                <w:color w:val="auto"/>
              </w:rPr>
            </w:pPr>
            <w:r>
              <w:rPr>
                <w:rFonts w:ascii="Arial" w:cs="Arial" w:eastAsia="Arial" w:hAnsi="Arial"/>
                <w:sz w:val="18"/>
                <w:szCs w:val="18"/>
                <w:color w:val="231F20"/>
              </w:rPr>
              <w:t>(2,655) (C)</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231F20"/>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231F20"/>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16,811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231F20"/>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12,237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231F2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(9,421</w:t>
            </w:r>
          </w:p>
        </w:tc>
        <w:tc>
          <w:tcPr>
            <w:tcW w:w="540" w:type="dxa"/>
            <w:vAlign w:val="bottom"/>
            <w:tcBorders>
              <w:top w:val="single" w:sz="8" w:color="CCEEFF"/>
              <w:bottom w:val="single" w:sz="8" w:color="CCEEFF"/>
            </w:tcBorders>
            <w:shd w:val="clear" w:color="auto" w:fill="CCEEFF"/>
          </w:tcPr>
          <w:p>
            <w:pPr>
              <w:jc w:val="right"/>
              <w:ind w:right="401"/>
              <w:spacing w:after="0"/>
              <w:rPr>
                <w:sz w:val="20"/>
                <w:szCs w:val="20"/>
                <w:color w:val="auto"/>
              </w:rPr>
            </w:pPr>
            <w:r>
              <w:rPr>
                <w:rFonts w:ascii="Arial" w:cs="Arial" w:eastAsia="Arial" w:hAnsi="Arial"/>
                <w:sz w:val="16"/>
                <w:szCs w:val="16"/>
                <w:b w:val="1"/>
                <w:bCs w:val="1"/>
                <w:color w:val="231F20"/>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231F20"/>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40,150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231F2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(10,918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231F20"/>
                <w:w w:val="74"/>
              </w:rPr>
              <w:t>)</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231F20"/>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48,859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line="191" w:lineRule="exact"/>
              <w:rPr>
                <w:sz w:val="20"/>
                <w:szCs w:val="20"/>
                <w:color w:val="auto"/>
              </w:rPr>
            </w:pPr>
            <w:r>
              <w:rPr>
                <w:rFonts w:ascii="Arial" w:cs="Arial" w:eastAsia="Arial" w:hAnsi="Arial"/>
                <w:sz w:val="18"/>
                <w:szCs w:val="18"/>
                <w:b w:val="1"/>
                <w:bCs w:val="1"/>
                <w:color w:val="231F20"/>
              </w:rPr>
              <w:t>LIABILITIES, TEMPORARY EQUITY</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b w:val="1"/>
                <w:bCs w:val="1"/>
                <w:color w:val="231F20"/>
              </w:rPr>
              <w:t>AND SHAREHOLDERS’ EQUITY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Arial" w:cs="Arial" w:eastAsia="Arial" w:hAnsi="Arial"/>
                <w:sz w:val="18"/>
                <w:szCs w:val="18"/>
                <w:b w:val="1"/>
                <w:bCs w:val="1"/>
                <w:color w:val="231F20"/>
              </w:rPr>
              <w:t>(DEFICIT)</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231F20"/>
              </w:rPr>
              <w:t>Current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231F20"/>
              </w:rPr>
              <w:t>Trade payables</w:t>
            </w:r>
          </w:p>
        </w:tc>
        <w:tc>
          <w:tcPr>
            <w:tcW w:w="10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231F20"/>
              </w:rPr>
              <w:t>4,297</w:t>
            </w:r>
          </w:p>
        </w:tc>
        <w:tc>
          <w:tcPr>
            <w:tcW w:w="12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231F20"/>
              </w:rPr>
              <w:t>—</w:t>
            </w:r>
          </w:p>
        </w:tc>
        <w:tc>
          <w:tcPr>
            <w:tcW w:w="180" w:type="dxa"/>
            <w:vAlign w:val="bottom"/>
          </w:tcPr>
          <w:p>
            <w:pPr>
              <w:spacing w:after="0"/>
              <w:rPr>
                <w:sz w:val="20"/>
                <w:szCs w:val="20"/>
                <w:color w:val="auto"/>
              </w:rPr>
            </w:pPr>
            <w:r>
              <w:rPr>
                <w:rFonts w:ascii="Arial" w:cs="Arial" w:eastAsia="Arial" w:hAnsi="Arial"/>
                <w:sz w:val="18"/>
                <w:szCs w:val="18"/>
                <w:color w:val="231F20"/>
              </w:rPr>
              <w:t>$</w:t>
            </w: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20"/>
                <w:szCs w:val="20"/>
                <w:color w:val="auto"/>
              </w:rPr>
            </w:pPr>
            <w:r>
              <w:rPr>
                <w:rFonts w:ascii="Arial" w:cs="Arial" w:eastAsia="Arial" w:hAnsi="Arial"/>
                <w:sz w:val="18"/>
                <w:szCs w:val="18"/>
                <w:color w:val="231F20"/>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231F20"/>
              </w:rPr>
              <w:t>$</w:t>
            </w: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231F20"/>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231F20"/>
              </w:rPr>
              <w:t>4,297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231F20"/>
              </w:rPr>
              <w:t>Accrued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231F20"/>
              </w:rPr>
              <w:t>9,106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231F20"/>
              </w:rPr>
              <w:t>2,670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(2,170)</w:t>
            </w:r>
          </w:p>
        </w:tc>
        <w:tc>
          <w:tcPr>
            <w:tcW w:w="520" w:type="dxa"/>
            <w:vAlign w:val="bottom"/>
            <w:gridSpan w:val="2"/>
            <w:shd w:val="clear" w:color="auto" w:fill="CCEEFF"/>
          </w:tcPr>
          <w:p>
            <w:pPr>
              <w:jc w:val="center"/>
              <w:ind w:right="98"/>
              <w:spacing w:after="0"/>
              <w:rPr>
                <w:sz w:val="20"/>
                <w:szCs w:val="20"/>
                <w:color w:val="auto"/>
              </w:rPr>
            </w:pPr>
            <w:r>
              <w:rPr>
                <w:rFonts w:ascii="Arial" w:cs="Arial" w:eastAsia="Arial" w:hAnsi="Arial"/>
                <w:sz w:val="18"/>
                <w:szCs w:val="18"/>
                <w:color w:val="231F20"/>
                <w:w w:val="95"/>
              </w:rPr>
              <w:t>(F)</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9,606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231F20"/>
              </w:rPr>
              <w:t>Series B-2 tranche liabilities</w:t>
            </w:r>
          </w:p>
        </w:tc>
        <w:tc>
          <w:tcPr>
            <w:tcW w:w="10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231F20"/>
              </w:rPr>
              <w:t>959</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231F20"/>
              </w:rPr>
              <w:t>—</w:t>
            </w:r>
          </w:p>
        </w:tc>
        <w:tc>
          <w:tcPr>
            <w:tcW w:w="180" w:type="dxa"/>
            <w:vAlign w:val="bottom"/>
          </w:tcPr>
          <w:p>
            <w:pPr>
              <w:spacing w:after="0"/>
              <w:rPr>
                <w:sz w:val="18"/>
                <w:szCs w:val="18"/>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4"/>
          </w:tcPr>
          <w:p>
            <w:pPr>
              <w:jc w:val="right"/>
              <w:ind w:right="158"/>
              <w:spacing w:after="0"/>
              <w:rPr>
                <w:sz w:val="20"/>
                <w:szCs w:val="20"/>
                <w:color w:val="auto"/>
              </w:rPr>
            </w:pPr>
            <w:r>
              <w:rPr>
                <w:rFonts w:ascii="Arial" w:cs="Arial" w:eastAsia="Arial" w:hAnsi="Arial"/>
                <w:sz w:val="18"/>
                <w:szCs w:val="18"/>
                <w:color w:val="231F20"/>
              </w:rPr>
              <w:t>(959) (G)</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231F20"/>
              </w:rPr>
              <w:t>Series B-3 warrant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231F20"/>
              </w:rPr>
              <w:t>17,190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231F20"/>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58"/>
              <w:spacing w:after="0"/>
              <w:rPr>
                <w:sz w:val="20"/>
                <w:szCs w:val="20"/>
                <w:color w:val="auto"/>
              </w:rPr>
            </w:pPr>
            <w:r>
              <w:rPr>
                <w:rFonts w:ascii="Arial" w:cs="Arial" w:eastAsia="Arial" w:hAnsi="Arial"/>
                <w:sz w:val="18"/>
                <w:szCs w:val="18"/>
                <w:color w:val="231F20"/>
              </w:rPr>
              <w:t>(17,190) (G)</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231F20"/>
              </w:rPr>
              <w:t>Short-term lease liabilities</w:t>
            </w:r>
          </w:p>
        </w:tc>
        <w:tc>
          <w:tcPr>
            <w:tcW w:w="10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231F20"/>
              </w:rPr>
              <w:t>384</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231F20"/>
              </w:rPr>
              <w:t>—</w:t>
            </w:r>
          </w:p>
        </w:tc>
        <w:tc>
          <w:tcPr>
            <w:tcW w:w="180" w:type="dxa"/>
            <w:vAlign w:val="bottom"/>
          </w:tcPr>
          <w:p>
            <w:pPr>
              <w:spacing w:after="0"/>
              <w:rPr>
                <w:sz w:val="18"/>
                <w:szCs w:val="18"/>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231F20"/>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231F20"/>
              </w:rPr>
              <w:t>384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231F20"/>
              </w:rPr>
              <w:t>Convertible note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231F20"/>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231F20"/>
              </w:rPr>
              <w:t>1,500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58"/>
              <w:spacing w:after="0"/>
              <w:rPr>
                <w:sz w:val="20"/>
                <w:szCs w:val="20"/>
                <w:color w:val="auto"/>
              </w:rPr>
            </w:pPr>
            <w:r>
              <w:rPr>
                <w:rFonts w:ascii="Arial" w:cs="Arial" w:eastAsia="Arial" w:hAnsi="Arial"/>
                <w:sz w:val="18"/>
                <w:szCs w:val="18"/>
                <w:color w:val="231F20"/>
              </w:rPr>
              <w:t>(1,500) (K)</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231F20"/>
              </w:rPr>
              <w:t>Promissory note – related party</w:t>
            </w:r>
          </w:p>
        </w:tc>
        <w:tc>
          <w:tcPr>
            <w:tcW w:w="10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231F20"/>
              </w:rPr>
              <w:t>—</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231F20"/>
              </w:rPr>
              <w:t>1,573</w:t>
            </w:r>
          </w:p>
        </w:tc>
        <w:tc>
          <w:tcPr>
            <w:tcW w:w="180" w:type="dxa"/>
            <w:vAlign w:val="bottom"/>
          </w:tcPr>
          <w:p>
            <w:pPr>
              <w:spacing w:after="0"/>
              <w:rPr>
                <w:sz w:val="18"/>
                <w:szCs w:val="18"/>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231F20"/>
              </w:rPr>
              <w:t>(1,573)</w:t>
            </w:r>
          </w:p>
        </w:tc>
        <w:tc>
          <w:tcPr>
            <w:tcW w:w="520" w:type="dxa"/>
            <w:vAlign w:val="bottom"/>
            <w:gridSpan w:val="2"/>
          </w:tcPr>
          <w:p>
            <w:pPr>
              <w:jc w:val="center"/>
              <w:ind w:right="98"/>
              <w:spacing w:after="0"/>
              <w:rPr>
                <w:sz w:val="20"/>
                <w:szCs w:val="20"/>
                <w:color w:val="auto"/>
              </w:rPr>
            </w:pPr>
            <w:r>
              <w:rPr>
                <w:rFonts w:ascii="Arial" w:cs="Arial" w:eastAsia="Arial" w:hAnsi="Arial"/>
                <w:sz w:val="18"/>
                <w:szCs w:val="18"/>
                <w:color w:val="231F20"/>
                <w:w w:val="95"/>
              </w:rPr>
              <w:t>(F)</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231F20"/>
              </w:rPr>
              <w:t>Other current liabilities</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231F20"/>
              </w:rPr>
              <w:t>253</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231F20"/>
              </w:rPr>
              <w:t>288</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(257)</w:t>
            </w:r>
          </w:p>
        </w:tc>
        <w:tc>
          <w:tcPr>
            <w:tcW w:w="520" w:type="dxa"/>
            <w:vAlign w:val="bottom"/>
            <w:gridSpan w:val="2"/>
            <w:shd w:val="clear" w:color="auto" w:fill="CCEEFF"/>
          </w:tcPr>
          <w:p>
            <w:pPr>
              <w:jc w:val="center"/>
              <w:ind w:right="98"/>
              <w:spacing w:after="0"/>
              <w:rPr>
                <w:sz w:val="20"/>
                <w:szCs w:val="20"/>
                <w:color w:val="auto"/>
              </w:rPr>
            </w:pPr>
            <w:r>
              <w:rPr>
                <w:rFonts w:ascii="Arial" w:cs="Arial" w:eastAsia="Arial" w:hAnsi="Arial"/>
                <w:sz w:val="18"/>
                <w:szCs w:val="18"/>
                <w:color w:val="231F20"/>
                <w:w w:val="95"/>
              </w:rPr>
              <w:t>(F)</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284</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b w:val="1"/>
                <w:bCs w:val="1"/>
                <w:color w:val="231F20"/>
              </w:rPr>
              <w:t>Total current liabilities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231F20"/>
              </w:rPr>
              <w:t>32,189</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231F20"/>
              </w:rPr>
              <w:t>6,031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231F20"/>
              </w:rPr>
              <w:t>—</w:t>
            </w: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231F20"/>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231F20"/>
              </w:rPr>
              <w:t>(23,649)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231F20"/>
              </w:rPr>
              <w:t>14,571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231F20"/>
              </w:rPr>
              <w:t>Long-term lease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231F20"/>
              </w:rPr>
              <w:t>1,410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231F20"/>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231F20"/>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1,410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231F20"/>
              </w:rPr>
              <w:t>Warrant liabilities</w:t>
            </w:r>
          </w:p>
        </w:tc>
        <w:tc>
          <w:tcPr>
            <w:tcW w:w="10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231F20"/>
              </w:rPr>
              <w:t>262</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231F20"/>
              </w:rPr>
              <w:t>531</w:t>
            </w:r>
          </w:p>
        </w:tc>
        <w:tc>
          <w:tcPr>
            <w:tcW w:w="180" w:type="dxa"/>
            <w:vAlign w:val="bottom"/>
          </w:tcPr>
          <w:p>
            <w:pPr>
              <w:spacing w:after="0"/>
              <w:rPr>
                <w:sz w:val="18"/>
                <w:szCs w:val="18"/>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231F20"/>
              </w:rPr>
              <w:t>(262)</w:t>
            </w:r>
          </w:p>
        </w:tc>
        <w:tc>
          <w:tcPr>
            <w:tcW w:w="520" w:type="dxa"/>
            <w:vAlign w:val="bottom"/>
            <w:gridSpan w:val="2"/>
          </w:tcPr>
          <w:p>
            <w:pPr>
              <w:jc w:val="center"/>
              <w:ind w:right="118"/>
              <w:spacing w:after="0"/>
              <w:rPr>
                <w:sz w:val="20"/>
                <w:szCs w:val="20"/>
                <w:color w:val="auto"/>
              </w:rPr>
            </w:pPr>
            <w:r>
              <w:rPr>
                <w:rFonts w:ascii="Arial" w:cs="Arial" w:eastAsia="Arial" w:hAnsi="Arial"/>
                <w:sz w:val="18"/>
                <w:szCs w:val="18"/>
                <w:color w:val="231F20"/>
                <w:w w:val="95"/>
              </w:rPr>
              <w:t>(H)</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231F20"/>
              </w:rPr>
              <w:t>573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231F20"/>
              </w:rPr>
              <w:t>42</w:t>
            </w:r>
          </w:p>
        </w:tc>
        <w:tc>
          <w:tcPr>
            <w:tcW w:w="52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231F20"/>
                <w:w w:val="99"/>
              </w:rPr>
              <w:t>(K)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231F20"/>
              </w:rPr>
              <w:t>Deferred underwriting fee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231F20"/>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231F20"/>
              </w:rPr>
              <w:t>8,750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(8,750)</w:t>
            </w:r>
          </w:p>
        </w:tc>
        <w:tc>
          <w:tcPr>
            <w:tcW w:w="520" w:type="dxa"/>
            <w:vAlign w:val="bottom"/>
            <w:gridSpan w:val="2"/>
            <w:shd w:val="clear" w:color="auto" w:fill="CCEEFF"/>
          </w:tcPr>
          <w:p>
            <w:pPr>
              <w:jc w:val="center"/>
              <w:ind w:right="98"/>
              <w:spacing w:after="0"/>
              <w:rPr>
                <w:sz w:val="20"/>
                <w:szCs w:val="20"/>
                <w:color w:val="auto"/>
              </w:rPr>
            </w:pPr>
            <w:r>
              <w:rPr>
                <w:rFonts w:ascii="Arial" w:cs="Arial" w:eastAsia="Arial" w:hAnsi="Arial"/>
                <w:sz w:val="18"/>
                <w:szCs w:val="18"/>
                <w:color w:val="231F20"/>
                <w:w w:val="95"/>
              </w:rPr>
              <w:t>(F)</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231F20"/>
              </w:rPr>
              <w:t>Other long-term liabilities</w:t>
            </w:r>
          </w:p>
        </w:tc>
        <w:tc>
          <w:tcPr>
            <w:tcW w:w="100" w:type="dxa"/>
            <w:vAlign w:val="bottom"/>
          </w:tcPr>
          <w:p>
            <w:pPr>
              <w:spacing w:after="0"/>
              <w:rPr>
                <w:sz w:val="19"/>
                <w:szCs w:val="19"/>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231F20"/>
              </w:rPr>
              <w:t>—</w:t>
            </w:r>
          </w:p>
        </w:tc>
        <w:tc>
          <w:tcPr>
            <w:tcW w:w="12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231F20"/>
              </w:rPr>
              <w:t>—</w:t>
            </w:r>
          </w:p>
        </w:tc>
        <w:tc>
          <w:tcPr>
            <w:tcW w:w="180" w:type="dxa"/>
            <w:vAlign w:val="bottom"/>
          </w:tcPr>
          <w:p>
            <w:pPr>
              <w:spacing w:after="0"/>
              <w:rPr>
                <w:sz w:val="19"/>
                <w:szCs w:val="19"/>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231F20"/>
              </w:rPr>
              <w:t>24,499</w:t>
            </w:r>
          </w:p>
        </w:tc>
        <w:tc>
          <w:tcPr>
            <w:tcW w:w="520" w:type="dxa"/>
            <w:vAlign w:val="bottom"/>
            <w:gridSpan w:val="2"/>
          </w:tcPr>
          <w:p>
            <w:pPr>
              <w:jc w:val="center"/>
              <w:ind w:right="98"/>
              <w:spacing w:after="0"/>
              <w:rPr>
                <w:sz w:val="20"/>
                <w:szCs w:val="20"/>
                <w:color w:val="auto"/>
              </w:rPr>
            </w:pPr>
            <w:r>
              <w:rPr>
                <w:rFonts w:ascii="Arial" w:cs="Arial" w:eastAsia="Arial" w:hAnsi="Arial"/>
                <w:sz w:val="18"/>
                <w:szCs w:val="18"/>
                <w:color w:val="231F20"/>
              </w:rPr>
              <w:t>(I)</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231F20"/>
              </w:rPr>
              <w:t>24,499</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231F20"/>
              </w:rPr>
              <w:t>Total liabilities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33,861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15,312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(8,120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231F20"/>
                <w:w w:val="74"/>
              </w:rPr>
              <w:t>)</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41,053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b w:val="1"/>
                <w:bCs w:val="1"/>
                <w:color w:val="231F20"/>
              </w:rPr>
              <w:t>Commitments and contingencies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231F20"/>
                <w:w w:val="96"/>
              </w:rPr>
              <w:t>Class A common stock subject to possible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redemption</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231F20"/>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231F20"/>
              </w:rPr>
              <w:t>12,046</w:t>
            </w: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231F20"/>
              </w:rPr>
              <w:t>(9,421) (A)</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(2,625)</w:t>
            </w:r>
          </w:p>
        </w:tc>
        <w:tc>
          <w:tcPr>
            <w:tcW w:w="52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231F20"/>
                <w:w w:val="95"/>
              </w:rPr>
              <w:t>(D)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0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auto"/>
              </w:rPr>
              <w:t>181,313</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17,190</w:t>
            </w:r>
          </w:p>
        </w:tc>
        <w:tc>
          <w:tcPr>
            <w:tcW w:w="520" w:type="dxa"/>
            <w:vAlign w:val="bottom"/>
            <w:gridSpan w:val="2"/>
          </w:tcPr>
          <w:p>
            <w:pPr>
              <w:jc w:val="center"/>
              <w:ind w:right="118"/>
              <w:spacing w:after="0"/>
              <w:rPr>
                <w:sz w:val="20"/>
                <w:szCs w:val="20"/>
                <w:color w:val="auto"/>
              </w:rPr>
            </w:pPr>
            <w:r>
              <w:rPr>
                <w:rFonts w:ascii="Arial" w:cs="Arial" w:eastAsia="Arial" w:hAnsi="Arial"/>
                <w:sz w:val="18"/>
                <w:szCs w:val="18"/>
                <w:color w:val="auto"/>
                <w:w w:val="92"/>
              </w:rPr>
              <w:t>(G)</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58"/>
              <w:spacing w:after="0"/>
              <w:rPr>
                <w:sz w:val="20"/>
                <w:szCs w:val="20"/>
                <w:color w:val="auto"/>
              </w:rPr>
            </w:pPr>
            <w:r>
              <w:rPr>
                <w:rFonts w:ascii="Arial" w:cs="Arial" w:eastAsia="Arial" w:hAnsi="Arial"/>
                <w:sz w:val="18"/>
                <w:szCs w:val="18"/>
                <w:color w:val="auto"/>
              </w:rPr>
              <w:t>(198,503) (H)</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Shareholders’ equity (deficit)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preferred stock</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4"/>
          </w:tcPr>
          <w:p>
            <w:pPr>
              <w:jc w:val="right"/>
              <w:ind w:right="158"/>
              <w:spacing w:after="0"/>
              <w:rPr>
                <w:sz w:val="20"/>
                <w:szCs w:val="20"/>
                <w:color w:val="auto"/>
              </w:rPr>
            </w:pPr>
            <w:r>
              <w:rPr>
                <w:rFonts w:ascii="Arial" w:cs="Arial" w:eastAsia="Arial" w:hAnsi="Arial"/>
                <w:sz w:val="18"/>
                <w:szCs w:val="18"/>
                <w:color w:val="auto"/>
              </w:rPr>
              <w:t>(16) (H)</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B Common stock, $0.0001 par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jc w:val="center"/>
              <w:ind w:right="98"/>
              <w:spacing w:after="0"/>
              <w:rPr>
                <w:sz w:val="20"/>
                <w:szCs w:val="20"/>
                <w:color w:val="auto"/>
              </w:rPr>
            </w:pPr>
            <w:r>
              <w:rPr>
                <w:rFonts w:ascii="Arial" w:cs="Arial" w:eastAsia="Arial" w:hAnsi="Arial"/>
                <w:sz w:val="18"/>
                <w:szCs w:val="18"/>
                <w:color w:val="auto"/>
              </w:rPr>
              <w:t>(I)</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auto"/>
              </w:rPr>
              <w:t>13,200</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40,150</w:t>
            </w:r>
          </w:p>
        </w:tc>
        <w:tc>
          <w:tcPr>
            <w:tcW w:w="460" w:type="dxa"/>
            <w:vAlign w:val="bottom"/>
          </w:tcPr>
          <w:p>
            <w:pPr>
              <w:ind w:left="60"/>
              <w:spacing w:after="0"/>
              <w:rPr>
                <w:sz w:val="20"/>
                <w:szCs w:val="20"/>
                <w:color w:val="auto"/>
              </w:rPr>
            </w:pPr>
            <w:r>
              <w:rPr>
                <w:rFonts w:ascii="Arial" w:cs="Arial" w:eastAsia="Arial" w:hAnsi="Arial"/>
                <w:sz w:val="18"/>
                <w:szCs w:val="18"/>
                <w:color w:val="auto"/>
              </w:rPr>
              <w:t>(B)</w:t>
            </w:r>
          </w:p>
        </w:tc>
        <w:tc>
          <w:tcPr>
            <w:tcW w:w="22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2,625</w:t>
            </w:r>
          </w:p>
        </w:tc>
        <w:tc>
          <w:tcPr>
            <w:tcW w:w="520" w:type="dxa"/>
            <w:vAlign w:val="bottom"/>
            <w:gridSpan w:val="2"/>
          </w:tcPr>
          <w:p>
            <w:pPr>
              <w:jc w:val="center"/>
              <w:ind w:right="118"/>
              <w:spacing w:after="0"/>
              <w:rPr>
                <w:sz w:val="20"/>
                <w:szCs w:val="20"/>
                <w:color w:val="auto"/>
              </w:rPr>
            </w:pPr>
            <w:r>
              <w:rPr>
                <w:rFonts w:ascii="Arial" w:cs="Arial" w:eastAsia="Arial" w:hAnsi="Arial"/>
                <w:sz w:val="18"/>
                <w:szCs w:val="18"/>
                <w:color w:val="auto"/>
                <w:w w:val="95"/>
              </w:rPr>
              <w:t>(D)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221,734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52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9"/>
              </w:rPr>
              <w:t>(E)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6,750</w:t>
            </w:r>
          </w:p>
        </w:tc>
        <w:tc>
          <w:tcPr>
            <w:tcW w:w="520" w:type="dxa"/>
            <w:vAlign w:val="bottom"/>
            <w:gridSpan w:val="2"/>
          </w:tcPr>
          <w:p>
            <w:pPr>
              <w:jc w:val="center"/>
              <w:ind w:right="98"/>
              <w:spacing w:after="0"/>
              <w:rPr>
                <w:sz w:val="20"/>
                <w:szCs w:val="20"/>
                <w:color w:val="auto"/>
              </w:rPr>
            </w:pPr>
            <w:r>
              <w:rPr>
                <w:rFonts w:ascii="Arial" w:cs="Arial" w:eastAsia="Arial" w:hAnsi="Arial"/>
                <w:sz w:val="18"/>
                <w:szCs w:val="18"/>
                <w:color w:val="auto"/>
                <w:w w:val="95"/>
              </w:rPr>
              <w:t>(F)</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198,781</w:t>
            </w:r>
          </w:p>
        </w:tc>
        <w:tc>
          <w:tcPr>
            <w:tcW w:w="52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5"/>
              </w:rPr>
              <w:t>(H)</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(24,498)</w:t>
            </w:r>
          </w:p>
        </w:tc>
        <w:tc>
          <w:tcPr>
            <w:tcW w:w="520" w:type="dxa"/>
            <w:vAlign w:val="bottom"/>
            <w:gridSpan w:val="2"/>
          </w:tcPr>
          <w:p>
            <w:pPr>
              <w:jc w:val="center"/>
              <w:ind w:right="98"/>
              <w:spacing w:after="0"/>
              <w:rPr>
                <w:sz w:val="20"/>
                <w:szCs w:val="20"/>
                <w:color w:val="auto"/>
              </w:rPr>
            </w:pPr>
            <w:r>
              <w:rPr>
                <w:rFonts w:ascii="Arial" w:cs="Arial" w:eastAsia="Arial" w:hAnsi="Arial"/>
                <w:sz w:val="18"/>
                <w:szCs w:val="18"/>
                <w:color w:val="auto"/>
              </w:rPr>
              <w:t>(I)</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(15,122)</w:t>
            </w:r>
          </w:p>
        </w:tc>
        <w:tc>
          <w:tcPr>
            <w:tcW w:w="52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5"/>
              </w:rPr>
              <w:t>(J)</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1,458</w:t>
            </w:r>
          </w:p>
        </w:tc>
        <w:tc>
          <w:tcPr>
            <w:tcW w:w="520" w:type="dxa"/>
            <w:vAlign w:val="bottom"/>
            <w:gridSpan w:val="2"/>
          </w:tcPr>
          <w:p>
            <w:pPr>
              <w:jc w:val="center"/>
              <w:ind w:right="118"/>
              <w:spacing w:after="0"/>
              <w:rPr>
                <w:sz w:val="20"/>
                <w:szCs w:val="20"/>
                <w:color w:val="auto"/>
              </w:rPr>
            </w:pPr>
            <w:r>
              <w:rPr>
                <w:rFonts w:ascii="Arial" w:cs="Arial" w:eastAsia="Arial" w:hAnsi="Arial"/>
                <w:sz w:val="18"/>
                <w:szCs w:val="18"/>
                <w:color w:val="auto"/>
                <w:w w:val="99"/>
              </w:rPr>
              <w:t>(K)</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(211,581)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(15,122)</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52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9"/>
              </w:rPr>
              <w:t>(E)</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(213,930)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959</w:t>
            </w:r>
          </w:p>
        </w:tc>
        <w:tc>
          <w:tcPr>
            <w:tcW w:w="520" w:type="dxa"/>
            <w:vAlign w:val="bottom"/>
            <w:gridSpan w:val="2"/>
          </w:tcPr>
          <w:p>
            <w:pPr>
              <w:jc w:val="center"/>
              <w:ind w:right="118"/>
              <w:spacing w:after="0"/>
              <w:rPr>
                <w:sz w:val="20"/>
                <w:szCs w:val="20"/>
                <w:color w:val="auto"/>
              </w:rPr>
            </w:pPr>
            <w:r>
              <w:rPr>
                <w:rFonts w:ascii="Arial" w:cs="Arial" w:eastAsia="Arial" w:hAnsi="Arial"/>
                <w:sz w:val="18"/>
                <w:szCs w:val="18"/>
                <w:color w:val="auto"/>
                <w:w w:val="92"/>
              </w:rPr>
              <w:t>(G)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15,122</w:t>
            </w:r>
          </w:p>
        </w:tc>
        <w:tc>
          <w:tcPr>
            <w:tcW w:w="52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5"/>
              </w:rPr>
              <w:t>(J)</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shareholders’ equity (deficit)</w:t>
            </w:r>
          </w:p>
        </w:tc>
        <w:tc>
          <w:tcPr>
            <w:tcW w:w="1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(198,363</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(15,121</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40,150</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181,140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280" w:type="dxa"/>
            <w:vAlign w:val="bottom"/>
            <w:shd w:val="clear" w:color="auto" w:fill="CCEEFF"/>
          </w:tcPr>
          <w:p>
            <w:pPr>
              <w:ind w:left="180"/>
              <w:spacing w:after="0" w:line="151" w:lineRule="exact"/>
              <w:rPr>
                <w:sz w:val="20"/>
                <w:szCs w:val="20"/>
                <w:color w:val="auto"/>
              </w:rPr>
            </w:pPr>
            <w:r>
              <w:rPr>
                <w:rFonts w:ascii="Arial" w:cs="Arial" w:eastAsia="Arial" w:hAnsi="Arial"/>
                <w:sz w:val="17"/>
                <w:szCs w:val="17"/>
                <w:b w:val="1"/>
                <w:bCs w:val="1"/>
                <w:color w:val="auto"/>
              </w:rPr>
              <w:t>Total liabilities, temporary equity and</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shareholders’ equity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16,811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12,237</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b w:val="1"/>
                <w:bCs w:val="1"/>
                <w:color w:val="auto"/>
              </w:rPr>
              <w:t>(9,421)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40,150</w:t>
            </w:r>
          </w:p>
        </w:tc>
        <w:tc>
          <w:tcPr>
            <w:tcW w:w="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(10,918)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48,859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339" w:gutter="0" w:footer="0" w:header="0"/>
        </w:sectPr>
      </w:pPr>
    </w:p>
    <w:bookmarkStart w:id="347" w:name="page348"/>
    <w:bookmarkEnd w:id="347"/>
    <w:p>
      <w:pPr>
        <w:jc w:val="center"/>
        <w:spacing w:after="0"/>
        <w:rPr>
          <w:sz w:val="20"/>
          <w:szCs w:val="20"/>
          <w:color w:val="auto"/>
        </w:rPr>
      </w:pPr>
      <w:r>
        <w:rPr>
          <w:rFonts w:ascii="Arial" w:cs="Arial" w:eastAsia="Arial" w:hAnsi="Arial"/>
          <w:sz w:val="18"/>
          <w:szCs w:val="18"/>
          <w:b w:val="1"/>
          <w:bCs w:val="1"/>
          <w:color w:val="231F20"/>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For the Six Months Ended 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TriSalus</w:t>
            </w:r>
          </w:p>
        </w:tc>
        <w:tc>
          <w:tcPr>
            <w:tcW w:w="120" w:type="dxa"/>
            <w:vAlign w:val="bottom"/>
          </w:tcPr>
          <w:p>
            <w:pPr>
              <w:spacing w:after="0"/>
              <w:rPr>
                <w:sz w:val="18"/>
                <w:szCs w:val="18"/>
                <w:color w:val="auto"/>
              </w:rPr>
            </w:pPr>
          </w:p>
        </w:tc>
        <w:tc>
          <w:tcPr>
            <w:tcW w:w="104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rPr>
              <w:t>MTAC</w:t>
            </w:r>
          </w:p>
        </w:tc>
        <w:tc>
          <w:tcPr>
            <w:tcW w:w="8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221F1F"/>
              </w:rPr>
              <w:t>Transaction</w:t>
            </w:r>
          </w:p>
        </w:tc>
        <w:tc>
          <w:tcPr>
            <w:tcW w:w="540" w:type="dxa"/>
            <w:vAlign w:val="bottom"/>
          </w:tcPr>
          <w:p>
            <w:pPr>
              <w:spacing w:after="0"/>
              <w:rPr>
                <w:sz w:val="18"/>
                <w:szCs w:val="18"/>
                <w:color w:val="auto"/>
              </w:rPr>
            </w:pPr>
          </w:p>
        </w:tc>
        <w:tc>
          <w:tcPr>
            <w:tcW w:w="1100" w:type="dxa"/>
            <w:vAlign w:val="bottom"/>
            <w:gridSpan w:val="3"/>
          </w:tcPr>
          <w:p>
            <w:pPr>
              <w:jc w:val="right"/>
              <w:ind w:right="101"/>
              <w:spacing w:after="0"/>
              <w:rPr>
                <w:sz w:val="20"/>
                <w:szCs w:val="20"/>
                <w:color w:val="auto"/>
              </w:rPr>
            </w:pPr>
            <w:r>
              <w:rPr>
                <w:rFonts w:ascii="Arial" w:cs="Arial" w:eastAsia="Arial" w:hAnsi="Arial"/>
                <w:sz w:val="18"/>
                <w:szCs w:val="18"/>
                <w:b w:val="1"/>
                <w:bCs w:val="1"/>
                <w:color w:val="221F1F"/>
                <w:w w:val="99"/>
              </w:rPr>
              <w:t>Pro Forma</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w w:val="92"/>
              </w:rPr>
              <w:t>Historical</w:t>
            </w:r>
          </w:p>
        </w:tc>
        <w:tc>
          <w:tcPr>
            <w:tcW w:w="120" w:type="dxa"/>
            <w:vAlign w:val="bottom"/>
          </w:tcPr>
          <w:p>
            <w:pPr>
              <w:spacing w:after="0"/>
              <w:rPr>
                <w:sz w:val="20"/>
                <w:szCs w:val="20"/>
                <w:color w:val="auto"/>
              </w:rPr>
            </w:pPr>
          </w:p>
        </w:tc>
        <w:tc>
          <w:tcPr>
            <w:tcW w:w="104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w w:val="92"/>
              </w:rPr>
              <w:t>Historical</w:t>
            </w: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221F1F"/>
              </w:rPr>
              <w:t>Adjustments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221F1F"/>
                <w:w w:val="90"/>
              </w:rPr>
              <w:t>Combined</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21F1F"/>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221F1F"/>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21F1F"/>
              </w:rPr>
              <w:t>7,596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21F1F"/>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21F1F"/>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21F1F"/>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21F1F"/>
              </w:rPr>
              <w:t>—</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221F1F"/>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21F1F"/>
              </w:rPr>
              <w:t>7,596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221F1F"/>
              </w:rPr>
              <w:t>Cost of goods sold</w:t>
            </w:r>
          </w:p>
        </w:tc>
        <w:tc>
          <w:tcPr>
            <w:tcW w:w="100" w:type="dxa"/>
            <w:vAlign w:val="bottom"/>
          </w:tcPr>
          <w:p>
            <w:pPr>
              <w:spacing w:after="0"/>
              <w:rPr>
                <w:sz w:val="19"/>
                <w:szCs w:val="19"/>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221F1F"/>
              </w:rPr>
              <w:t>1,434</w:t>
            </w:r>
          </w:p>
        </w:tc>
        <w:tc>
          <w:tcPr>
            <w:tcW w:w="12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221F1F"/>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221F1F"/>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221F1F"/>
              </w:rPr>
              <w:t>1,434</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221F1F"/>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6,162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6,162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221F1F"/>
              </w:rPr>
              <w:t>Operating expenses: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221F1F"/>
              </w:rPr>
              <w:t>Research and development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221F1F"/>
              </w:rPr>
              <w:t>12,504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221F1F"/>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221F1F"/>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12,504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221F1F"/>
              </w:rPr>
              <w:t>Sales and marketing</w:t>
            </w:r>
          </w:p>
        </w:tc>
        <w:tc>
          <w:tcPr>
            <w:tcW w:w="10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6,741</w:t>
            </w:r>
          </w:p>
        </w:tc>
        <w:tc>
          <w:tcPr>
            <w:tcW w:w="1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221F1F"/>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221F1F"/>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6,741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221F1F"/>
              </w:rPr>
              <w:t>General and administrative</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221F1F"/>
              </w:rPr>
              <w:t>8,472</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221F1F"/>
              </w:rPr>
              <w:t>2,273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221F1F"/>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221F1F"/>
              </w:rPr>
              <w:t>10,745</w:t>
            </w:r>
          </w:p>
        </w:tc>
        <w:tc>
          <w:tcPr>
            <w:tcW w:w="0" w:type="dxa"/>
            <w:vAlign w:val="bottom"/>
          </w:tcPr>
          <w:p>
            <w:pPr>
              <w:spacing w:after="0"/>
              <w:rPr>
                <w:sz w:val="1"/>
                <w:szCs w:val="1"/>
                <w:color w:val="auto"/>
              </w:rPr>
            </w:pP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b w:val="1"/>
                <w:bCs w:val="1"/>
                <w:color w:val="221F1F"/>
              </w:rPr>
              <w:t>Loss from operations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(21,555</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221F1F"/>
              </w:rPr>
              <w:t>(2,273)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221F1F"/>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221F1F"/>
              </w:rPr>
              <w:t>(23,828)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221F1F"/>
              </w:rPr>
              <w:t>Interest income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221F1F"/>
              </w:rPr>
              <w:t>369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21F1F"/>
              </w:rPr>
              <w:t>(369)</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221F1F"/>
              </w:rPr>
              <w:t>(AA)</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221F1F"/>
              </w:rPr>
              <w:t>71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221F1F"/>
              </w:rPr>
              <w:t>Interest expense</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221F1F"/>
              </w:rPr>
              <w:t>(9)</w:t>
            </w:r>
          </w:p>
        </w:tc>
        <w:tc>
          <w:tcPr>
            <w:tcW w:w="1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221F1F"/>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221F1F"/>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221F1F"/>
              </w:rPr>
              <w:t>(9)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221F1F"/>
              </w:rPr>
              <w:t>Loss on equity issuance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221F1F"/>
              </w:rPr>
              <w:t>(4,189)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221F1F"/>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221F1F"/>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21F1F"/>
              </w:rPr>
              <w:t>(4,189)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221F1F"/>
              </w:rPr>
              <w:t>Change in fair value of warrant and tranche liabilities</w:t>
            </w:r>
          </w:p>
        </w:tc>
        <w:tc>
          <w:tcPr>
            <w:tcW w:w="10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221F1F"/>
              </w:rPr>
              <w:t>3,491</w:t>
            </w:r>
          </w:p>
        </w:tc>
        <w:tc>
          <w:tcPr>
            <w:tcW w:w="1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221F1F"/>
              </w:rPr>
              <w:t>531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221F1F"/>
              </w:rPr>
              <w:t>(3,753)</w:t>
            </w:r>
          </w:p>
        </w:tc>
        <w:tc>
          <w:tcPr>
            <w:tcW w:w="540" w:type="dxa"/>
            <w:vAlign w:val="bottom"/>
          </w:tcPr>
          <w:p>
            <w:pPr>
              <w:ind w:left="80"/>
              <w:spacing w:after="0"/>
              <w:rPr>
                <w:sz w:val="20"/>
                <w:szCs w:val="20"/>
                <w:color w:val="auto"/>
              </w:rPr>
            </w:pPr>
            <w:r>
              <w:rPr>
                <w:rFonts w:ascii="Arial" w:cs="Arial" w:eastAsia="Arial" w:hAnsi="Arial"/>
                <w:sz w:val="18"/>
                <w:szCs w:val="18"/>
                <w:color w:val="221F1F"/>
              </w:rPr>
              <w:t>(BB)</w:t>
            </w:r>
          </w:p>
        </w:tc>
        <w:tc>
          <w:tcPr>
            <w:tcW w:w="8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221F1F"/>
              </w:rPr>
              <w:t>269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221F1F"/>
              </w:rPr>
              <w:t>Other income and expense, net</w:t>
            </w:r>
          </w:p>
        </w:tc>
        <w:tc>
          <w:tcPr>
            <w:tcW w:w="100" w:type="dxa"/>
            <w:vAlign w:val="bottom"/>
          </w:tcPr>
          <w:p>
            <w:pPr>
              <w:spacing w:after="0"/>
              <w:rPr>
                <w:sz w:val="19"/>
                <w:szCs w:val="19"/>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221F1F"/>
              </w:rPr>
              <w:t>(43)</w:t>
            </w:r>
          </w:p>
        </w:tc>
        <w:tc>
          <w:tcPr>
            <w:tcW w:w="12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221F1F"/>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221F1F"/>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221F1F"/>
              </w:rPr>
              <w:t>(43)</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221F1F"/>
              </w:rPr>
              <w:t>(Loss) 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(22,234)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(1,373)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(4,122)</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(27,729)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221F1F"/>
              </w:rPr>
              <w:t>Income tax expense</w:t>
            </w:r>
          </w:p>
        </w:tc>
        <w:tc>
          <w:tcPr>
            <w:tcW w:w="100" w:type="dxa"/>
            <w:vAlign w:val="bottom"/>
          </w:tcPr>
          <w:p>
            <w:pPr>
              <w:spacing w:after="0"/>
              <w:rPr>
                <w:sz w:val="19"/>
                <w:szCs w:val="19"/>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221F1F"/>
              </w:rPr>
              <w:t>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221F1F"/>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221F1F"/>
              </w:rPr>
              <w:t>78</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221F1F"/>
              </w:rPr>
              <w:t>Net (loss)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221F1F"/>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(22,242</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221F1F"/>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(1,443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221F1F"/>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221F1F"/>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(4,122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221F1F"/>
                <w:w w:val="74"/>
              </w:rPr>
              <w:t>)</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221F1F"/>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(27,807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221F1F"/>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221F1F"/>
              </w:rPr>
              <w:t>Net (loss) income per share:</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221F1F"/>
              </w:rPr>
              <w:t>2,024,925</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221F1F"/>
                <w:w w:val="99"/>
              </w:rPr>
              <w:t>Weighted average shares outstanding of Class A common stock, basic and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221F1F"/>
              </w:rPr>
              <w:t>diluted</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21F1F"/>
                <w:w w:val="79"/>
              </w:rPr>
              <w:t>$</w:t>
            </w: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221F1F"/>
              </w:rPr>
              <w:t>(0.18)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221F1F"/>
              </w:rPr>
              <w:t>Basic and diluted net income per share, Class A common stock</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221F1F"/>
              </w:rPr>
              <w:t>6,111,111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221F1F"/>
                <w:w w:val="96"/>
              </w:rPr>
              <w:t>Weighted average shares outstanding of Class B common stock, basic and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221F1F"/>
              </w:rPr>
              <w:t>diluted</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21F1F"/>
                <w:w w:val="79"/>
              </w:rPr>
              <w:t>$</w:t>
            </w: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221F1F"/>
              </w:rPr>
              <w:t>(0.18)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221F1F"/>
              </w:rPr>
              <w:t>Basic and diluted net income per share, Class B common stock</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221F1F"/>
              </w:rPr>
              <w:t>Weighted average shares outstanding of common stock, basic and diluted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221F1F"/>
                <w:w w:val="99"/>
              </w:rPr>
              <w:t>17,068,505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221F1F"/>
                <w:w w:val="99"/>
              </w:rPr>
              <w:t>23,191,681</w:t>
            </w:r>
          </w:p>
        </w:tc>
        <w:tc>
          <w:tcPr>
            <w:tcW w:w="0" w:type="dxa"/>
            <w:vAlign w:val="bottom"/>
          </w:tcPr>
          <w:p>
            <w:pPr>
              <w:spacing w:after="0"/>
              <w:rPr>
                <w:sz w:val="1"/>
                <w:szCs w:val="1"/>
                <w:color w:val="auto"/>
              </w:rPr>
            </w:pPr>
          </w:p>
        </w:tc>
      </w:tr>
      <w:tr>
        <w:trPr>
          <w:trHeight w:val="230"/>
        </w:trPr>
        <w:tc>
          <w:tcPr>
            <w:tcW w:w="5980" w:type="dxa"/>
            <w:vAlign w:val="bottom"/>
          </w:tcPr>
          <w:p>
            <w:pPr>
              <w:ind w:left="660"/>
              <w:spacing w:after="0"/>
              <w:rPr>
                <w:sz w:val="20"/>
                <w:szCs w:val="20"/>
                <w:color w:val="auto"/>
              </w:rPr>
            </w:pPr>
            <w:r>
              <w:rPr>
                <w:rFonts w:ascii="Arial" w:cs="Arial" w:eastAsia="Arial" w:hAnsi="Arial"/>
                <w:sz w:val="18"/>
                <w:szCs w:val="18"/>
                <w:color w:val="221F1F"/>
              </w:rPr>
              <w:t>Basic and diluted net loss per share, common stock</w:t>
            </w:r>
          </w:p>
        </w:tc>
        <w:tc>
          <w:tcPr>
            <w:tcW w:w="100" w:type="dxa"/>
            <w:vAlign w:val="bottom"/>
          </w:tcPr>
          <w:p>
            <w:pPr>
              <w:jc w:val="right"/>
              <w:spacing w:after="0"/>
              <w:rPr>
                <w:sz w:val="20"/>
                <w:szCs w:val="20"/>
                <w:color w:val="auto"/>
              </w:rPr>
            </w:pPr>
            <w:r>
              <w:rPr>
                <w:rFonts w:ascii="Arial" w:cs="Arial" w:eastAsia="Arial" w:hAnsi="Arial"/>
                <w:sz w:val="15"/>
                <w:szCs w:val="15"/>
                <w:color w:val="221F1F"/>
                <w:w w:val="71"/>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221F1F"/>
              </w:rPr>
              <w:t>(1.48)</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221F1F"/>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221F1F"/>
              </w:rPr>
              <w:t>(1.27)</w:t>
            </w:r>
          </w:p>
        </w:tc>
        <w:tc>
          <w:tcPr>
            <w:tcW w:w="0" w:type="dxa"/>
            <w:vAlign w:val="bottom"/>
          </w:tcPr>
          <w:p>
            <w:pPr>
              <w:spacing w:after="0"/>
              <w:rPr>
                <w:sz w:val="1"/>
                <w:szCs w:val="1"/>
                <w:color w:val="auto"/>
              </w:rPr>
            </w:pPr>
          </w:p>
        </w:tc>
      </w:tr>
      <w:tr>
        <w:trPr>
          <w:trHeight w:val="661"/>
        </w:trPr>
        <w:tc>
          <w:tcPr>
            <w:tcW w:w="5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48" w:name="page349"/>
    <w:bookmarkEnd w:id="348"/>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w w:val="98"/>
              </w:rPr>
              <w:t>TriSalus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MTAC</w:t>
            </w:r>
          </w:p>
        </w:tc>
        <w:tc>
          <w:tcPr>
            <w:tcW w:w="140" w:type="dxa"/>
            <w:vAlign w:val="bottom"/>
          </w:tcPr>
          <w:p>
            <w:pPr>
              <w:spacing w:after="0"/>
              <w:rPr>
                <w:sz w:val="18"/>
                <w:szCs w:val="18"/>
                <w:color w:val="auto"/>
              </w:rPr>
            </w:pPr>
          </w:p>
        </w:tc>
        <w:tc>
          <w:tcPr>
            <w:tcW w:w="1120" w:type="dxa"/>
            <w:vAlign w:val="bottom"/>
            <w:gridSpan w:val="3"/>
          </w:tcPr>
          <w:p>
            <w:pPr>
              <w:jc w:val="right"/>
              <w:ind w:right="81"/>
              <w:spacing w:after="0"/>
              <w:rPr>
                <w:sz w:val="20"/>
                <w:szCs w:val="20"/>
                <w:color w:val="auto"/>
              </w:rPr>
            </w:pPr>
            <w:r>
              <w:rPr>
                <w:rFonts w:ascii="Arial" w:cs="Arial" w:eastAsia="Arial" w:hAnsi="Arial"/>
                <w:sz w:val="18"/>
                <w:szCs w:val="18"/>
                <w:b w:val="1"/>
                <w:bCs w:val="1"/>
                <w:color w:val="auto"/>
                <w:w w:val="92"/>
              </w:rPr>
              <w:t>Transaction</w:t>
            </w:r>
          </w:p>
        </w:tc>
        <w:tc>
          <w:tcPr>
            <w:tcW w:w="540" w:type="dxa"/>
            <w:vAlign w:val="bottom"/>
          </w:tcPr>
          <w:p>
            <w:pPr>
              <w:spacing w:after="0"/>
              <w:rPr>
                <w:sz w:val="18"/>
                <w:szCs w:val="18"/>
                <w:color w:val="auto"/>
              </w:rPr>
            </w:pPr>
          </w:p>
        </w:tc>
        <w:tc>
          <w:tcPr>
            <w:tcW w:w="1100" w:type="dxa"/>
            <w:vAlign w:val="bottom"/>
            <w:gridSpan w:val="3"/>
          </w:tcPr>
          <w:p>
            <w:pPr>
              <w:jc w:val="right"/>
              <w:ind w:right="101"/>
              <w:spacing w:after="0"/>
              <w:rPr>
                <w:sz w:val="20"/>
                <w:szCs w:val="20"/>
                <w:color w:val="auto"/>
              </w:rPr>
            </w:pPr>
            <w:r>
              <w:rPr>
                <w:rFonts w:ascii="Arial" w:cs="Arial" w:eastAsia="Arial" w:hAnsi="Arial"/>
                <w:sz w:val="18"/>
                <w:szCs w:val="18"/>
                <w:b w:val="1"/>
                <w:bCs w:val="1"/>
                <w:color w:val="auto"/>
                <w:w w:val="99"/>
              </w:rPr>
              <w:t>Pro Forma</w:t>
            </w: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w w:val="92"/>
              </w:rPr>
              <w:t>Historical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Historical</w:t>
            </w:r>
          </w:p>
        </w:tc>
        <w:tc>
          <w:tcPr>
            <w:tcW w:w="14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21F1F"/>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21F1F"/>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21F1F"/>
              </w:rPr>
              <w:t>12,398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21F1F"/>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21F1F"/>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21F1F"/>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21F1F"/>
              </w:rPr>
              <w:t>—</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221F1F"/>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21F1F"/>
              </w:rPr>
              <w:t>12,398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221F1F"/>
              </w:rPr>
              <w:t>Cost of goods sold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1"/>
              <w:spacing w:after="0"/>
              <w:rPr>
                <w:sz w:val="20"/>
                <w:szCs w:val="20"/>
                <w:color w:val="auto"/>
              </w:rPr>
            </w:pPr>
            <w:r>
              <w:rPr>
                <w:rFonts w:ascii="Arial" w:cs="Arial" w:eastAsia="Arial" w:hAnsi="Arial"/>
                <w:sz w:val="18"/>
                <w:szCs w:val="18"/>
                <w:color w:val="221F1F"/>
              </w:rPr>
              <w:t>2,258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221F1F"/>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221F1F"/>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221F1F"/>
              </w:rPr>
              <w:t>2,258</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221F1F"/>
              </w:rPr>
              <w:t>Gross profit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10,140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10,140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221F1F"/>
              </w:rPr>
              <w:t>Operating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221F1F"/>
              </w:rPr>
              <w:t>Research and development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221F1F"/>
              </w:rPr>
              <w:t>21,358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21F1F"/>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221F1F"/>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221F1F"/>
              </w:rPr>
              <w:t>21,358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221F1F"/>
              </w:rPr>
              <w:t>Sales and marketing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1"/>
              <w:spacing w:after="0"/>
              <w:rPr>
                <w:sz w:val="20"/>
                <w:szCs w:val="20"/>
                <w:color w:val="auto"/>
              </w:rPr>
            </w:pPr>
            <w:r>
              <w:rPr>
                <w:rFonts w:ascii="Arial" w:cs="Arial" w:eastAsia="Arial" w:hAnsi="Arial"/>
                <w:sz w:val="18"/>
                <w:szCs w:val="18"/>
                <w:color w:val="221F1F"/>
              </w:rPr>
              <w:t>12,738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221F1F"/>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221F1F"/>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221F1F"/>
              </w:rPr>
              <w:t>12,738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221F1F"/>
              </w:rPr>
              <w:t>General and administrative</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221F1F"/>
              </w:rPr>
              <w:t>12,483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21F1F"/>
              </w:rPr>
              <w:t>2,746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221F1F"/>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221F1F"/>
              </w:rPr>
              <w:t>15,229</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8"/>
                <w:szCs w:val="18"/>
                <w:b w:val="1"/>
                <w:bCs w:val="1"/>
                <w:color w:val="221F1F"/>
              </w:rPr>
              <w:t>Loss from operations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221F1F"/>
              </w:rPr>
              <w:t>(36,439)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221F1F"/>
              </w:rPr>
              <w:t>(2,746)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221F1F"/>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221F1F"/>
              </w:rPr>
              <w:t>(39,185)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221F1F"/>
              </w:rPr>
              <w:t>Interest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221F1F"/>
              </w:rPr>
              <w:t>180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21F1F"/>
              </w:rPr>
              <w:t>3,019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21F1F"/>
              </w:rPr>
              <w:t>(3,019)</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221F1F"/>
              </w:rPr>
              <w:t>(CC)</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221F1F"/>
              </w:rPr>
              <w:t>180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221F1F"/>
              </w:rPr>
              <w:t>Interest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221F1F"/>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221F1F"/>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221F1F"/>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221F1F"/>
              </w:rPr>
              <w:t>(1)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221F1F"/>
              </w:rPr>
              <w:t>Change in fair value of warrant and tranche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221F1F"/>
              </w:rPr>
              <w:t>(2,186)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21F1F"/>
              </w:rPr>
              <w:t>5,837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221F1F"/>
              </w:rPr>
              <w:t>2,208</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(DD)</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221F1F"/>
              </w:rPr>
              <w:t>5,859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221F1F"/>
              </w:rPr>
              <w:t>Loss on equity issuance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221F1F"/>
              </w:rPr>
              <w:t>(8,312)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221F1F"/>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221F1F"/>
              </w:rPr>
              <w:t>(8,312)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221F1F"/>
              </w:rPr>
              <w:t>Other income and expense,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221F1F"/>
              </w:rPr>
              <w:t>(420)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21F1F"/>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21F1F"/>
              </w:rPr>
              <w:t>(22)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21F1F"/>
              </w:rPr>
              <w:t>(DD)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21F1F"/>
              </w:rPr>
              <w:t>(6,291)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221F1F"/>
              </w:rPr>
              <w:t>(8,266)</w:t>
            </w:r>
          </w:p>
        </w:tc>
        <w:tc>
          <w:tcPr>
            <w:tcW w:w="620" w:type="dxa"/>
            <w:vAlign w:val="bottom"/>
            <w:gridSpan w:val="2"/>
          </w:tcPr>
          <w:p>
            <w:pPr>
              <w:ind w:left="80"/>
              <w:spacing w:after="0"/>
              <w:rPr>
                <w:sz w:val="20"/>
                <w:szCs w:val="20"/>
                <w:color w:val="auto"/>
              </w:rPr>
            </w:pPr>
            <w:r>
              <w:rPr>
                <w:rFonts w:ascii="Arial" w:cs="Arial" w:eastAsia="Arial" w:hAnsi="Arial"/>
                <w:sz w:val="18"/>
                <w:szCs w:val="18"/>
                <w:color w:val="221F1F"/>
              </w:rPr>
              <w:t>(EE)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1,458</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(FF)</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959</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(GG)</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221F1F"/>
              </w:rPr>
              <w:t>(Loss) income before income taxes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(47,178)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6,110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(6,682)</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(47,750)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221F1F"/>
              </w:rPr>
              <w:t>Income tax expense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1"/>
              <w:spacing w:after="0"/>
              <w:rPr>
                <w:sz w:val="20"/>
                <w:szCs w:val="20"/>
                <w:color w:val="auto"/>
              </w:rPr>
            </w:pPr>
            <w:r>
              <w:rPr>
                <w:rFonts w:ascii="Arial" w:cs="Arial" w:eastAsia="Arial" w:hAnsi="Arial"/>
                <w:sz w:val="18"/>
                <w:szCs w:val="18"/>
                <w:color w:val="221F1F"/>
              </w:rPr>
              <w:t>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221F1F"/>
              </w:rPr>
              <w:t>571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221F1F"/>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221F1F"/>
              </w:rPr>
              <w:t>580</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221F1F"/>
              </w:rPr>
              <w:t>Net (loss) income</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(47,187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221F1F"/>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5,539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221F1F"/>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(6,682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221F1F"/>
                <w:w w:val="74"/>
              </w:rPr>
              <w:t>)</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221F1F"/>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21F1F"/>
              </w:rPr>
              <w:t>(48,330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221F1F"/>
                <w:w w:val="74"/>
              </w:rPr>
              <w:t>)</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221F1F"/>
              </w:rPr>
              <w:t>Net (loss) income per share:</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221F1F"/>
                <w:w w:val="92"/>
              </w:rPr>
              <w:t>Weighted average shares outstanding of Class A common stock, basic and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221F1F"/>
              </w:rPr>
              <w:t>diluted</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21F1F"/>
                <w:w w:val="97"/>
              </w:rPr>
              <w:t>23,358,326</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221F1F"/>
              </w:rPr>
              <w:t>Basic and diluted net income per share, Class A common 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221F1F"/>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221F1F"/>
              </w:rPr>
              <w:t>0.19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221F1F"/>
                <w:w w:val="92"/>
              </w:rPr>
              <w:t>Weighted average shares outstanding of Class B common stock, basic and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221F1F"/>
              </w:rPr>
              <w:t>diluted</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21F1F"/>
              </w:rPr>
              <w:t>6,250,000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221F1F"/>
              </w:rPr>
              <w:t>Basic and diluted net income per share, Class B common 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221F1F"/>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221F1F"/>
              </w:rPr>
              <w:t>0.19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221F1F"/>
                <w:w w:val="93"/>
              </w:rPr>
              <w:t>Weighted average shares outstanding of common stock, basic and diluted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221F1F"/>
                <w:w w:val="99"/>
              </w:rPr>
              <w:t>12,526,248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221F1F"/>
                <w:w w:val="99"/>
              </w:rPr>
              <w:t>23,191,681</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221F1F"/>
              </w:rPr>
              <w:t>Basic and diluted net loss per share, common stock</w:t>
            </w:r>
          </w:p>
        </w:tc>
        <w:tc>
          <w:tcPr>
            <w:tcW w:w="320" w:type="dxa"/>
            <w:vAlign w:val="bottom"/>
            <w:gridSpan w:val="2"/>
          </w:tcPr>
          <w:p>
            <w:pPr>
              <w:jc w:val="right"/>
              <w:spacing w:after="0"/>
              <w:rPr>
                <w:sz w:val="20"/>
                <w:szCs w:val="20"/>
                <w:color w:val="auto"/>
              </w:rPr>
            </w:pPr>
            <w:r>
              <w:rPr>
                <w:rFonts w:ascii="Arial" w:cs="Arial" w:eastAsia="Arial" w:hAnsi="Arial"/>
                <w:sz w:val="18"/>
                <w:szCs w:val="18"/>
                <w:color w:val="221F1F"/>
              </w:rPr>
              <w:t>$</w:t>
            </w: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221F1F"/>
              </w:rPr>
              <w:t>(3.99)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540"/>
              <w:spacing w:after="0"/>
              <w:rPr>
                <w:sz w:val="20"/>
                <w:szCs w:val="20"/>
                <w:color w:val="auto"/>
              </w:rPr>
            </w:pPr>
            <w:r>
              <w:rPr>
                <w:rFonts w:ascii="Arial" w:cs="Arial" w:eastAsia="Arial" w:hAnsi="Arial"/>
                <w:sz w:val="15"/>
                <w:szCs w:val="15"/>
                <w:color w:val="221F1F"/>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221F1F"/>
              </w:rPr>
              <w:t>(2.22)</w:t>
            </w:r>
          </w:p>
        </w:tc>
        <w:tc>
          <w:tcPr>
            <w:tcW w:w="0" w:type="dxa"/>
            <w:vAlign w:val="bottom"/>
          </w:tcPr>
          <w:p>
            <w:pPr>
              <w:spacing w:after="0"/>
              <w:rPr>
                <w:sz w:val="1"/>
                <w:szCs w:val="1"/>
                <w:color w:val="auto"/>
              </w:rPr>
            </w:pPr>
          </w:p>
        </w:tc>
      </w:tr>
      <w:tr>
        <w:trPr>
          <w:trHeight w:val="661"/>
        </w:trPr>
        <w:tc>
          <w:tcPr>
            <w:tcW w:w="5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b w:val="1"/>
          <w:bCs w:val="1"/>
          <w:color w:val="231F20"/>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  Basis of Presentation</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231F20"/>
        </w:rPr>
        <w:t>The pro forma adjustments have been prepared as if the Business Combination had been consummated on June 30, 2023, in the case of the unaudited pro forma condensed combined balance sheet, and as if the Business Combination had been consummated on January 1, 2022, the beginning of the earliest period presented, in the case of the unaudited pro forma condensed combined statements of operations.</w:t>
      </w:r>
    </w:p>
    <w:p>
      <w:pPr>
        <w:spacing w:after="0" w:line="18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231F20"/>
        </w:rPr>
        <w:t>The unaudited pro forma condensed combined financial information has been prepared assuming the following methods of accounting in accordance with GAAP.</w:t>
      </w:r>
    </w:p>
    <w:p>
      <w:pPr>
        <w:spacing w:after="0" w:line="170"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231F20"/>
        </w:rPr>
        <w:t>The Business Combination will be accounted for as a reverse recapitalization in accordance with GAAP. Accordingly, for accounting purposes, the Business Combination will be treated as the equivalent of TriSalus issuing stock for the net assets of MTAC, accompanied by a recapitalization. The net assets of MTAC will be stated at historical cost, with no goodwill or other intangible assets recorded. The financial statements of New TriSalus will represent a continuation of the financial statements of TriSalus.</w:t>
      </w:r>
    </w:p>
    <w:p>
      <w:pPr>
        <w:spacing w:after="0" w:line="187"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231F20"/>
        </w:rPr>
        <w:t xml:space="preserve">The unaudited pro forma condensed combined financial statements were prepared in accordance with Article 11 of SEC Regulation S-X, as amended by the final rule, Release No. 33-10786, </w:t>
      </w:r>
      <w:r>
        <w:rPr>
          <w:rFonts w:ascii="Arial" w:cs="Arial" w:eastAsia="Arial" w:hAnsi="Arial"/>
          <w:sz w:val="17"/>
          <w:szCs w:val="17"/>
          <w:i w:val="1"/>
          <w:iCs w:val="1"/>
          <w:color w:val="231F20"/>
        </w:rPr>
        <w:t>Amendments to Financial Disclosures about Acquired and Disposed Businesses</w:t>
      </w:r>
      <w:r>
        <w:rPr>
          <w:rFonts w:ascii="Arial" w:cs="Arial" w:eastAsia="Arial" w:hAnsi="Arial"/>
          <w:sz w:val="17"/>
          <w:szCs w:val="17"/>
          <w:color w:val="231F20"/>
        </w:rPr>
        <w:t>. Release No. 33-10786 replaces the existing pro forma adjustment criteria with simplified requirements to depict the accounting for the Business Combination and related transactions (“Transaction Accounting Adjustments”). The unaudited pro forma condensed combined financial information does not give effect to any anticipated synergies, operating efficiencies, tax savings, or cost savings that may be associated with the Business Combination.</w:t>
      </w:r>
    </w:p>
    <w:p>
      <w:pPr>
        <w:spacing w:after="0" w:line="176"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231F20"/>
        </w:rPr>
        <w:t>The unaudited pro forma condensed combined financial information does not give effect to any tax impacts associated with the pro forma adjustments as such pro forma adjustments result in the generation of additional net operating losses offset by a full valuation allowance recorded on such net operating losses as it is more likely than not that the net operating losses will not be utilized.</w:t>
      </w:r>
    </w:p>
    <w:p>
      <w:pPr>
        <w:spacing w:after="0" w:line="18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231F20"/>
        </w:rPr>
        <w:t>The pro forma adjustments reflecting the completion of the Business Combination and related transactions are based on currently available information and assumptions and methodologies that management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based on information available to management at the current time and that the pro forma adjustments give appropriate effect to those assumptions and are properly applied in the unaudited pro forma condensed combined financial information.</w:t>
      </w:r>
    </w:p>
    <w:p>
      <w:pPr>
        <w:spacing w:after="0" w:line="17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231F20"/>
        </w:rPr>
        <w:t>The unaudited pro forma condensed combined financial information is not necessarily indicative of what the actual results of operations and financial position would have been had the Business Combination and related transactions taken place on the dates indicated, nor are they indicative of the future consolidated results of operations or financial position of New TriSalus. They should be read in conjunction with the historical financial statements and notes thereto of Legacy TriSalus and MTAC.</w:t>
      </w:r>
    </w:p>
    <w:p>
      <w:pPr>
        <w:spacing w:after="0" w:line="183" w:lineRule="exact"/>
        <w:rPr>
          <w:sz w:val="20"/>
          <w:szCs w:val="20"/>
          <w:color w:val="auto"/>
        </w:rPr>
      </w:pPr>
    </w:p>
    <w:p>
      <w:pPr>
        <w:ind w:left="340" w:right="140" w:hanging="332"/>
        <w:spacing w:after="0" w:line="532" w:lineRule="auto"/>
        <w:tabs>
          <w:tab w:leader="none" w:pos="299" w:val="left"/>
        </w:tabs>
        <w:numPr>
          <w:ilvl w:val="0"/>
          <w:numId w:val="220"/>
        </w:numPr>
        <w:rPr>
          <w:rFonts w:ascii="Arial" w:cs="Arial" w:eastAsia="Arial" w:hAnsi="Arial"/>
          <w:sz w:val="17"/>
          <w:szCs w:val="17"/>
          <w:b w:val="1"/>
          <w:bCs w:val="1"/>
          <w:color w:val="231F20"/>
        </w:rPr>
      </w:pPr>
      <w:r>
        <w:rPr>
          <w:rFonts w:ascii="Arial" w:cs="Arial" w:eastAsia="Arial" w:hAnsi="Arial"/>
          <w:sz w:val="17"/>
          <w:szCs w:val="17"/>
          <w:b w:val="1"/>
          <w:bCs w:val="1"/>
          <w:color w:val="231F20"/>
        </w:rPr>
        <w:t xml:space="preserve">Transaction Accounting Adjustments and Assumptions to the Unaudited Pro Forma Condensed Combined Balance Sheet as of June 30, 2023 </w:t>
      </w:r>
      <w:r>
        <w:rPr>
          <w:rFonts w:ascii="Arial" w:cs="Arial" w:eastAsia="Arial" w:hAnsi="Arial"/>
          <w:sz w:val="17"/>
          <w:szCs w:val="17"/>
          <w:color w:val="231F20"/>
        </w:rPr>
        <w:t>The adjustments included in the unaudited pro forma condensed combined balance sheet as of June 30, 2023, are as follows:</w:t>
      </w:r>
    </w:p>
    <w:p>
      <w:pPr>
        <w:spacing w:after="0" w:line="1" w:lineRule="exact"/>
        <w:rPr>
          <w:rFonts w:ascii="Arial" w:cs="Arial" w:eastAsia="Arial" w:hAnsi="Arial"/>
          <w:sz w:val="17"/>
          <w:szCs w:val="17"/>
          <w:b w:val="1"/>
          <w:bCs w:val="1"/>
          <w:color w:val="231F20"/>
        </w:rPr>
      </w:pPr>
    </w:p>
    <w:p>
      <w:pPr>
        <w:ind w:left="640" w:right="140" w:hanging="308"/>
        <w:spacing w:after="0" w:line="277" w:lineRule="auto"/>
        <w:tabs>
          <w:tab w:leader="none" w:pos="640" w:val="left"/>
        </w:tabs>
        <w:numPr>
          <w:ilvl w:val="1"/>
          <w:numId w:val="220"/>
        </w:numPr>
        <w:rPr>
          <w:rFonts w:ascii="Arial" w:cs="Arial" w:eastAsia="Arial" w:hAnsi="Arial"/>
          <w:sz w:val="18"/>
          <w:szCs w:val="18"/>
          <w:color w:val="231F20"/>
        </w:rPr>
      </w:pPr>
      <w:r>
        <w:rPr>
          <w:rFonts w:ascii="Arial" w:cs="Arial" w:eastAsia="Arial" w:hAnsi="Arial"/>
          <w:sz w:val="18"/>
          <w:szCs w:val="18"/>
          <w:color w:val="231F20"/>
        </w:rPr>
        <w:t>Represents the adjustment to record the redemption of shares of MTAC’s Class A Common Stock on August 10, 2023. See “Other Financing and Related Events” section above.</w:t>
      </w:r>
    </w:p>
    <w:p>
      <w:pPr>
        <w:spacing w:after="0" w:line="170" w:lineRule="exact"/>
        <w:rPr>
          <w:rFonts w:ascii="Arial" w:cs="Arial" w:eastAsia="Arial" w:hAnsi="Arial"/>
          <w:sz w:val="18"/>
          <w:szCs w:val="18"/>
          <w:color w:val="231F20"/>
        </w:rPr>
      </w:pPr>
    </w:p>
    <w:p>
      <w:pPr>
        <w:ind w:left="640" w:right="80" w:hanging="308"/>
        <w:spacing w:after="0" w:line="254" w:lineRule="auto"/>
        <w:tabs>
          <w:tab w:leader="none" w:pos="640" w:val="left"/>
        </w:tabs>
        <w:numPr>
          <w:ilvl w:val="1"/>
          <w:numId w:val="220"/>
        </w:numPr>
        <w:rPr>
          <w:rFonts w:ascii="Arial" w:cs="Arial" w:eastAsia="Arial" w:hAnsi="Arial"/>
          <w:sz w:val="18"/>
          <w:szCs w:val="18"/>
          <w:color w:val="231F20"/>
        </w:rPr>
      </w:pPr>
      <w:r>
        <w:rPr>
          <w:rFonts w:ascii="Arial" w:cs="Arial" w:eastAsia="Arial" w:hAnsi="Arial"/>
          <w:sz w:val="18"/>
          <w:szCs w:val="18"/>
          <w:color w:val="231F20"/>
        </w:rPr>
        <w:t>Represents the pro forma adjustment to record the gross proceeds of $40.2 million from the issuance of 4,015,002 shares of Series A Convertible Preferred Stock to the Preferred Stock PIPE Investors. The gross proceeds were not reduced by Preferred Stock PIPE Investment related transaction costs, which were estimated at $1.6 million, as they were settled by the Sponsor on the Closing Date. Pursuant to the Sponsor Support Agreement, the Sponsor is solely responsible for the payment of MTAC transaction costs in excess of the MTAC Transaction Expenses Cap, which, for the purposes of this adjustment, was exceeded from transaction costs captured in Adjustment (F). As a result, Additional paid in capital was increased by a total of $40.2 million, resulting from the $38.6 million of additional paid in capital, net of transaction costs, from the issuance of the Series A Convertible Preferred Stock, in addition to the Sponsor’s $1.6 million noncash contribution for transaction costs related to the Preferred Stock PIPE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0" w:name="page351"/>
    <w:bookmarkEnd w:id="350"/>
    <w:p>
      <w:pPr>
        <w:ind w:left="640" w:right="600" w:hanging="308"/>
        <w:spacing w:after="0" w:line="277" w:lineRule="auto"/>
        <w:tabs>
          <w:tab w:leader="none" w:pos="640" w:val="left"/>
        </w:tabs>
        <w:numPr>
          <w:ilvl w:val="0"/>
          <w:numId w:val="221"/>
        </w:numPr>
        <w:rPr>
          <w:rFonts w:ascii="Arial" w:cs="Arial" w:eastAsia="Arial" w:hAnsi="Arial"/>
          <w:sz w:val="18"/>
          <w:szCs w:val="18"/>
          <w:color w:val="231F20"/>
        </w:rPr>
      </w:pPr>
      <w:r>
        <w:rPr>
          <w:rFonts w:ascii="Arial" w:cs="Arial" w:eastAsia="Arial" w:hAnsi="Arial"/>
          <w:sz w:val="18"/>
          <w:szCs w:val="18"/>
          <w:color w:val="231F20"/>
        </w:rPr>
        <w:t>Represents the reclassification of cash and investments held in the Trust Account remaining as of June 30, 2023. The cash held in the Trust Account became available in conjunction with the closing of the Business Combination.</w:t>
      </w:r>
    </w:p>
    <w:p>
      <w:pPr>
        <w:spacing w:after="0" w:line="170" w:lineRule="exact"/>
        <w:rPr>
          <w:rFonts w:ascii="Arial" w:cs="Arial" w:eastAsia="Arial" w:hAnsi="Arial"/>
          <w:sz w:val="18"/>
          <w:szCs w:val="18"/>
          <w:color w:val="231F20"/>
        </w:rPr>
      </w:pPr>
    </w:p>
    <w:p>
      <w:pPr>
        <w:ind w:left="640" w:right="880" w:hanging="308"/>
        <w:spacing w:after="0" w:line="277" w:lineRule="auto"/>
        <w:tabs>
          <w:tab w:leader="none" w:pos="640" w:val="left"/>
        </w:tabs>
        <w:numPr>
          <w:ilvl w:val="0"/>
          <w:numId w:val="221"/>
        </w:numPr>
        <w:rPr>
          <w:rFonts w:ascii="Arial" w:cs="Arial" w:eastAsia="Arial" w:hAnsi="Arial"/>
          <w:sz w:val="18"/>
          <w:szCs w:val="18"/>
          <w:color w:val="231F20"/>
        </w:rPr>
      </w:pPr>
      <w:r>
        <w:rPr>
          <w:rFonts w:ascii="Arial" w:cs="Arial" w:eastAsia="Arial" w:hAnsi="Arial"/>
          <w:sz w:val="18"/>
          <w:szCs w:val="18"/>
          <w:color w:val="231F20"/>
        </w:rPr>
        <w:t>Reflects the reclassification of New TriSalus Common Stock of the $2.6 million of MTAC Class A Common Stock, subject to possible redemption.</w:t>
      </w:r>
    </w:p>
    <w:p>
      <w:pPr>
        <w:spacing w:after="0" w:line="170" w:lineRule="exact"/>
        <w:rPr>
          <w:rFonts w:ascii="Arial" w:cs="Arial" w:eastAsia="Arial" w:hAnsi="Arial"/>
          <w:sz w:val="18"/>
          <w:szCs w:val="18"/>
          <w:color w:val="231F20"/>
        </w:rPr>
      </w:pPr>
    </w:p>
    <w:p>
      <w:pPr>
        <w:ind w:left="640" w:hanging="308"/>
        <w:spacing w:after="0" w:line="279" w:lineRule="auto"/>
        <w:tabs>
          <w:tab w:leader="none" w:pos="640" w:val="left"/>
        </w:tabs>
        <w:numPr>
          <w:ilvl w:val="0"/>
          <w:numId w:val="221"/>
        </w:numPr>
        <w:rPr>
          <w:rFonts w:ascii="Arial" w:cs="Arial" w:eastAsia="Arial" w:hAnsi="Arial"/>
          <w:sz w:val="17"/>
          <w:szCs w:val="17"/>
          <w:color w:val="231F20"/>
        </w:rPr>
      </w:pPr>
      <w:r>
        <w:rPr>
          <w:rFonts w:ascii="Arial" w:cs="Arial" w:eastAsia="Arial" w:hAnsi="Arial"/>
          <w:sz w:val="17"/>
          <w:szCs w:val="17"/>
          <w:color w:val="231F20"/>
        </w:rPr>
        <w:t>Represents the payment of estimated Legacy TriSalus transaction costs of $4.9 million in non-recurring costs incurred in connection with the Business Combination, which are primarily related to legal and accounting fees. Such transaction costs are allocated to additional paid-in capital of $1.6 million and accumulated deficit of $3.3 million based on the relative fair value of the acquired Sponsor Earnout Shares and the outstanding New TriSalus Common Stock at the Effective Time in connection with the Business Combination.</w:t>
      </w:r>
    </w:p>
    <w:p>
      <w:pPr>
        <w:spacing w:after="0" w:line="171" w:lineRule="exact"/>
        <w:rPr>
          <w:rFonts w:ascii="Arial" w:cs="Arial" w:eastAsia="Arial" w:hAnsi="Arial"/>
          <w:sz w:val="17"/>
          <w:szCs w:val="17"/>
          <w:color w:val="231F20"/>
        </w:rPr>
      </w:pPr>
    </w:p>
    <w:p>
      <w:pPr>
        <w:ind w:left="640" w:right="100" w:hanging="308"/>
        <w:spacing w:after="0" w:line="286" w:lineRule="auto"/>
        <w:tabs>
          <w:tab w:leader="none" w:pos="640" w:val="left"/>
        </w:tabs>
        <w:numPr>
          <w:ilvl w:val="0"/>
          <w:numId w:val="221"/>
        </w:numPr>
        <w:rPr>
          <w:rFonts w:ascii="Arial" w:cs="Arial" w:eastAsia="Arial" w:hAnsi="Arial"/>
          <w:sz w:val="16"/>
          <w:szCs w:val="16"/>
          <w:color w:val="231F20"/>
        </w:rPr>
      </w:pPr>
      <w:r>
        <w:rPr>
          <w:rFonts w:ascii="Arial" w:cs="Arial" w:eastAsia="Arial" w:hAnsi="Arial"/>
          <w:sz w:val="16"/>
          <w:szCs w:val="16"/>
          <w:color w:val="231F20"/>
        </w:rPr>
        <w:t>Represents the adjustments associated with the estimated MTAC transaction costs and the MTAC related party promissory notes either settled by MTAC or settled by the Sponsor on the Closing Date. Pursuant to the Sponsor Support Agreement, the Sponsor is solely responsible for the payment of MTAC transaction costs in excess of the MTAC Transaction Expenses Cap, which for the purposes of this adjustment, is $6.0 million as the Available Closing MTAC Cash was less than $70 million. The MTAC Transaction Expenses Cap also includes the payment of any promissory notes and convertible notes, if not converted into warrants, in favor of the Sponsor as well as MTAC transaction costs incurred from transactions prior to the Business Combination and, to the extent not waived, the deferred underwriting fee that would otherwise be due on the Closing Date. On November 11, 2022 MTAC and Raymond James amended the underwriting agreement to provide for a waiver by Raymond James of the $8.8 million deferred underwriting fee in its entirety if the proposed Business Combination between MTAC and TriSalus is consummated. As a result of the consummation of the Business Combination, the deferred underwriting fee payable of $8.8 million as of June 30, 2023 was eliminated with an offsetting adjustment to additional paid-in-capital and is not included in the MTAC Transaction Expenses Cap. Further, as discussed in adjustment (K), the MTAC convertible notes were converted into MTAC Warrants at the Effective Time. As a result, the MTAC convertible notes are not included in the MTAC Transaction Expenses Cap. This adjustment reflects $7.1 million of MTAC estimated transaction costs to be settled on the Closing Date, of which $6.7 million relates to the legal and financial advisory costs in connection with the Business Combination and $0.4 million relates to transaction costs from a prior transaction. In addition, the adjustment reflects the settlement of the MTAC related promissory and extension notes outstanding of $1.6 million and $0.3 million, respectively, as of June 30, 2023.</w:t>
      </w:r>
    </w:p>
    <w:p>
      <w:pPr>
        <w:spacing w:after="0" w:line="167" w:lineRule="exact"/>
        <w:rPr>
          <w:sz w:val="20"/>
          <w:szCs w:val="20"/>
          <w:color w:val="auto"/>
        </w:rPr>
      </w:pPr>
    </w:p>
    <w:p>
      <w:pPr>
        <w:ind w:right="620" w:firstLine="324"/>
        <w:spacing w:after="0" w:line="258" w:lineRule="auto"/>
        <w:rPr>
          <w:sz w:val="20"/>
          <w:szCs w:val="20"/>
          <w:color w:val="auto"/>
        </w:rPr>
      </w:pPr>
      <w:r>
        <w:rPr>
          <w:rFonts w:ascii="Arial" w:cs="Arial" w:eastAsia="Arial" w:hAnsi="Arial"/>
          <w:sz w:val="18"/>
          <w:szCs w:val="18"/>
          <w:color w:val="231F20"/>
        </w:rPr>
        <w:t>The following table reconciles the cash outflow related to MTAC transaction costs and promissory and extension notes on the Closing Date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Amount</w:t>
            </w:r>
          </w:p>
        </w:tc>
      </w:tr>
      <w:tr>
        <w:trPr>
          <w:trHeight w:val="209"/>
        </w:trPr>
        <w:tc>
          <w:tcPr>
            <w:tcW w:w="9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31F20"/>
              </w:rPr>
              <w:t>Total MTAC transaction costs and promissory and extension notes settled on the Closing Date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231F20"/>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8,958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900" w:type="dxa"/>
            <w:vAlign w:val="bottom"/>
          </w:tcPr>
          <w:p>
            <w:pPr>
              <w:ind w:left="180"/>
              <w:spacing w:after="0"/>
              <w:rPr>
                <w:sz w:val="20"/>
                <w:szCs w:val="20"/>
                <w:color w:val="auto"/>
              </w:rPr>
            </w:pPr>
            <w:r>
              <w:rPr>
                <w:rFonts w:ascii="Arial" w:cs="Arial" w:eastAsia="Arial" w:hAnsi="Arial"/>
                <w:sz w:val="18"/>
                <w:szCs w:val="18"/>
                <w:color w:val="231F20"/>
              </w:rPr>
              <w:t>Less: Portion settled by Sponsor</w:t>
            </w: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231F20"/>
              </w:rPr>
              <w:t>(2,958)</w:t>
            </w:r>
          </w:p>
        </w:tc>
      </w:tr>
      <w:tr>
        <w:trPr>
          <w:trHeight w:val="223"/>
        </w:trPr>
        <w:tc>
          <w:tcPr>
            <w:tcW w:w="9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231F20"/>
              </w:rPr>
              <w:t>MTAC transaction costs and promissory notes paid via MTAC cash</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231F20"/>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6,000</w:t>
            </w:r>
          </w:p>
        </w:tc>
        <w:tc>
          <w:tcPr>
            <w:tcW w:w="10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9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51" w:name="page352"/>
    <w:bookmarkEnd w:id="351"/>
    <w:p>
      <w:pPr>
        <w:ind w:right="380" w:firstLine="324"/>
        <w:spacing w:after="0" w:line="277" w:lineRule="auto"/>
        <w:rPr>
          <w:sz w:val="20"/>
          <w:szCs w:val="20"/>
          <w:color w:val="auto"/>
        </w:rPr>
      </w:pPr>
      <w:r>
        <w:rPr>
          <w:rFonts w:ascii="Arial" w:cs="Arial" w:eastAsia="Arial" w:hAnsi="Arial"/>
          <w:sz w:val="18"/>
          <w:szCs w:val="18"/>
          <w:color w:val="231F20"/>
        </w:rPr>
        <w:t>The following table reconciles total MTAC transaction costs and promissory and extension notes settled on the Closing Date to MTAC transaction costs expensed on the Closing Date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Amount</w:t>
            </w:r>
          </w:p>
        </w:tc>
      </w:tr>
      <w:tr>
        <w:trPr>
          <w:trHeight w:val="210"/>
        </w:trPr>
        <w:tc>
          <w:tcPr>
            <w:tcW w:w="9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31F20"/>
              </w:rPr>
              <w:t>Total MTAC transaction costs and promissory notes settled on the Closing Date</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231F20"/>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8,958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ind w:left="180"/>
              <w:spacing w:after="0"/>
              <w:rPr>
                <w:sz w:val="20"/>
                <w:szCs w:val="20"/>
                <w:color w:val="auto"/>
              </w:rPr>
            </w:pPr>
            <w:r>
              <w:rPr>
                <w:rFonts w:ascii="Arial" w:cs="Arial" w:eastAsia="Arial" w:hAnsi="Arial"/>
                <w:sz w:val="18"/>
                <w:szCs w:val="18"/>
                <w:color w:val="231F20"/>
              </w:rPr>
              <w:t>Less: MTAC promissory notes outstanding as of 6/30/23 and settled on the Closing Date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231F20"/>
              </w:rPr>
              <w:t>(1,573)</w:t>
            </w:r>
          </w:p>
        </w:tc>
      </w:tr>
      <w:tr>
        <w:trPr>
          <w:trHeight w:val="216"/>
        </w:trPr>
        <w:tc>
          <w:tcPr>
            <w:tcW w:w="990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Less: MTAC extension note outstanding as of 6/30/23 and settled on the Closing Date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231F20"/>
              </w:rPr>
              <w:t>(257)</w:t>
            </w:r>
          </w:p>
        </w:tc>
      </w:tr>
      <w:tr>
        <w:trPr>
          <w:trHeight w:val="216"/>
        </w:trPr>
        <w:tc>
          <w:tcPr>
            <w:tcW w:w="9900" w:type="dxa"/>
            <w:vAlign w:val="bottom"/>
          </w:tcPr>
          <w:p>
            <w:pPr>
              <w:ind w:left="180"/>
              <w:spacing w:after="0"/>
              <w:rPr>
                <w:sz w:val="20"/>
                <w:szCs w:val="20"/>
                <w:color w:val="auto"/>
              </w:rPr>
            </w:pPr>
            <w:r>
              <w:rPr>
                <w:rFonts w:ascii="Arial" w:cs="Arial" w:eastAsia="Arial" w:hAnsi="Arial"/>
                <w:sz w:val="18"/>
                <w:szCs w:val="18"/>
                <w:color w:val="231F20"/>
              </w:rPr>
              <w:t>Less: MTAC transaction costs related to Business Combination accrued as of 6/30/23 and paid on the Closing Date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231F20"/>
              </w:rPr>
              <w:t>(1,811)</w:t>
            </w:r>
          </w:p>
        </w:tc>
      </w:tr>
      <w:tr>
        <w:trPr>
          <w:trHeight w:val="216"/>
        </w:trPr>
        <w:tc>
          <w:tcPr>
            <w:tcW w:w="990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Less: MTAC transaction costs related to prior transaction accrued as of 6/30/23 and paid on the Closing Date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231F20"/>
              </w:rPr>
              <w:t>(359)</w:t>
            </w:r>
          </w:p>
        </w:tc>
      </w:tr>
      <w:tr>
        <w:trPr>
          <w:trHeight w:val="210"/>
        </w:trPr>
        <w:tc>
          <w:tcPr>
            <w:tcW w:w="9900" w:type="dxa"/>
            <w:vAlign w:val="bottom"/>
          </w:tcPr>
          <w:p>
            <w:pPr>
              <w:spacing w:after="0"/>
              <w:rPr>
                <w:sz w:val="20"/>
                <w:szCs w:val="20"/>
                <w:color w:val="auto"/>
              </w:rPr>
            </w:pPr>
            <w:r>
              <w:rPr>
                <w:rFonts w:ascii="Arial" w:cs="Arial" w:eastAsia="Arial" w:hAnsi="Arial"/>
                <w:sz w:val="18"/>
                <w:szCs w:val="18"/>
                <w:color w:val="231F20"/>
              </w:rPr>
              <w:t>MTAC transaction costs expensed on the Closing Date</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231F20"/>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4,958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231F20"/>
        </w:rPr>
        <w:t>As the MTAC transaction costs would have been initially recognized on the MTAC pre-closing balance sheet immediately prior to the Effective Time and the accumulated deficit of MTAC would be reclassified to additional paid in capital at the Effective Time (see adjustment (J)), for purpose of this adjustment, the MTAC transaction expenses are recorded directly to additional paid-in capital. The following presents the adjustment to additional paid in capital as a result of the MTAC transaction costs (in thousands):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340" w:right="2460" w:hanging="323"/>
        <w:spacing w:after="0" w:line="258" w:lineRule="auto"/>
        <w:rPr>
          <w:sz w:val="20"/>
          <w:szCs w:val="20"/>
          <w:color w:val="auto"/>
        </w:rPr>
      </w:pPr>
      <w:r>
        <w:rPr>
          <w:rFonts w:ascii="Arial" w:cs="Arial" w:eastAsia="Arial" w:hAnsi="Arial"/>
          <w:sz w:val="18"/>
          <w:szCs w:val="18"/>
          <w:color w:val="231F20"/>
        </w:rPr>
        <w:t>Sponsor non-cash contribution from payment of MTAC transaction costs on behalf of MTAC Plus: Waiver of deferred underwriting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454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231F20"/>
        </w:rPr>
        <w:t>Less: MTAC transaction costs expensed on the Closing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MTAC transaction costs – additional paid in capital adjustment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231F20"/>
        </w:rPr>
        <w:t>Amount</w:t>
      </w:r>
    </w:p>
    <w:p>
      <w:pPr>
        <w:spacing w:after="0" w:line="40" w:lineRule="exact"/>
        <w:rPr>
          <w:sz w:val="20"/>
          <w:szCs w:val="20"/>
          <w:color w:val="auto"/>
        </w:rPr>
      </w:pPr>
    </w:p>
    <w:p>
      <w:pPr>
        <w:ind w:left="820" w:hanging="817"/>
        <w:spacing w:after="0"/>
        <w:tabs>
          <w:tab w:leader="none" w:pos="820" w:val="left"/>
        </w:tabs>
        <w:numPr>
          <w:ilvl w:val="0"/>
          <w:numId w:val="222"/>
        </w:numPr>
        <w:rPr>
          <w:rFonts w:ascii="Arial" w:cs="Arial" w:eastAsia="Arial" w:hAnsi="Arial"/>
          <w:sz w:val="18"/>
          <w:szCs w:val="18"/>
          <w:color w:val="231F20"/>
        </w:rPr>
      </w:pPr>
      <w:r>
        <w:rPr>
          <w:rFonts w:ascii="Arial" w:cs="Arial" w:eastAsia="Arial" w:hAnsi="Arial"/>
          <w:sz w:val="18"/>
          <w:szCs w:val="18"/>
          <w:color w:val="231F20"/>
        </w:rPr>
        <w:t>2,958</w:t>
      </w:r>
    </w:p>
    <w:p>
      <w:pPr>
        <w:spacing w:after="0" w:line="23" w:lineRule="exact"/>
        <w:rPr>
          <w:rFonts w:ascii="Arial" w:cs="Arial" w:eastAsia="Arial" w:hAnsi="Arial"/>
          <w:sz w:val="18"/>
          <w:szCs w:val="18"/>
          <w:color w:val="231F20"/>
        </w:rPr>
      </w:pPr>
    </w:p>
    <w:p>
      <w:pPr>
        <w:ind w:left="820"/>
        <w:spacing w:after="0"/>
        <w:rPr>
          <w:rFonts w:ascii="Arial" w:cs="Arial" w:eastAsia="Arial" w:hAnsi="Arial"/>
          <w:sz w:val="18"/>
          <w:szCs w:val="18"/>
          <w:color w:val="231F20"/>
        </w:rPr>
      </w:pPr>
      <w:r>
        <w:rPr>
          <w:rFonts w:ascii="Arial" w:cs="Arial" w:eastAsia="Arial" w:hAnsi="Arial"/>
          <w:sz w:val="18"/>
          <w:szCs w:val="18"/>
          <w:color w:val="231F20"/>
        </w:rPr>
        <w:t>8,750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231F20"/>
        </w:rPr>
        <w:t>(4,958)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797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6">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5" w:lineRule="exact"/>
        <w:rPr>
          <w:sz w:val="20"/>
          <w:szCs w:val="20"/>
          <w:color w:val="auto"/>
        </w:rPr>
      </w:pPr>
    </w:p>
    <w:p>
      <w:pPr>
        <w:ind w:left="820" w:hanging="817"/>
        <w:spacing w:after="0"/>
        <w:tabs>
          <w:tab w:leader="none" w:pos="820" w:val="left"/>
        </w:tabs>
        <w:numPr>
          <w:ilvl w:val="0"/>
          <w:numId w:val="223"/>
        </w:numPr>
        <w:rPr>
          <w:rFonts w:ascii="Arial" w:cs="Arial" w:eastAsia="Arial" w:hAnsi="Arial"/>
          <w:sz w:val="18"/>
          <w:szCs w:val="18"/>
          <w:color w:val="231F20"/>
        </w:rPr>
      </w:pPr>
      <w:r>
        <w:rPr>
          <w:rFonts w:ascii="Arial" w:cs="Arial" w:eastAsia="Arial" w:hAnsi="Arial"/>
          <w:sz w:val="18"/>
          <w:szCs w:val="18"/>
          <w:color w:val="231F20"/>
        </w:rPr>
        <w:t>6,750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797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7">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7797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8">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0" w:space="720"/>
            <w:col w:w="1340"/>
          </w:cols>
          <w:pgMar w:left="320" w:top="908" w:right="339" w:bottom="1440" w:gutter="0" w:footer="0" w:header="0"/>
          <w:type w:val="continuous"/>
        </w:sectPr>
      </w:pPr>
    </w:p>
    <w:p>
      <w:pPr>
        <w:spacing w:after="0" w:line="66" w:lineRule="exact"/>
        <w:rPr>
          <w:sz w:val="20"/>
          <w:szCs w:val="20"/>
          <w:color w:val="auto"/>
        </w:rPr>
      </w:pPr>
    </w:p>
    <w:p>
      <w:pPr>
        <w:ind w:left="640" w:right="20" w:hanging="308"/>
        <w:spacing w:after="0" w:line="257" w:lineRule="auto"/>
        <w:tabs>
          <w:tab w:leader="none" w:pos="640" w:val="left"/>
        </w:tabs>
        <w:numPr>
          <w:ilvl w:val="0"/>
          <w:numId w:val="224"/>
        </w:numPr>
        <w:rPr>
          <w:rFonts w:ascii="Arial" w:cs="Arial" w:eastAsia="Arial" w:hAnsi="Arial"/>
          <w:sz w:val="18"/>
          <w:szCs w:val="18"/>
          <w:color w:val="231F20"/>
        </w:rPr>
      </w:pPr>
      <w:r>
        <w:rPr>
          <w:rFonts w:ascii="Arial" w:cs="Arial" w:eastAsia="Arial" w:hAnsi="Arial"/>
          <w:sz w:val="18"/>
          <w:szCs w:val="18"/>
          <w:color w:val="231F20"/>
        </w:rPr>
        <w:t>Represents the gain on expiration of the Series B-2 tranche liabilities and the automatic conversion of unexercised Series B-3 Warrants into Series B-3 preferred stock on a cashless basis upon consummation of the Business Combination. The expiration of the Series B-2 tranche liabilities resulted in a decrease in the Series B-2 tranche liabilities and a decrease in Accumulated deficit, for a gain on expiration, of $1.0 million. The automatic conversion of unexercised Series B-3 Warrants into Series B-3 preferred stock resulted in a decrease in the Series B-3 warrant liabilities and increase in Convertible preferred stock of $17.2 million.</w:t>
      </w:r>
    </w:p>
    <w:p>
      <w:pPr>
        <w:spacing w:after="0" w:line="187" w:lineRule="exact"/>
        <w:rPr>
          <w:rFonts w:ascii="Arial" w:cs="Arial" w:eastAsia="Arial" w:hAnsi="Arial"/>
          <w:sz w:val="18"/>
          <w:szCs w:val="18"/>
          <w:color w:val="231F20"/>
        </w:rPr>
      </w:pPr>
    </w:p>
    <w:p>
      <w:pPr>
        <w:ind w:left="640" w:right="320" w:hanging="308"/>
        <w:spacing w:after="0" w:line="263" w:lineRule="auto"/>
        <w:tabs>
          <w:tab w:leader="none" w:pos="640" w:val="left"/>
        </w:tabs>
        <w:numPr>
          <w:ilvl w:val="0"/>
          <w:numId w:val="224"/>
        </w:numPr>
        <w:rPr>
          <w:rFonts w:ascii="Arial" w:cs="Arial" w:eastAsia="Arial" w:hAnsi="Arial"/>
          <w:sz w:val="18"/>
          <w:szCs w:val="18"/>
          <w:color w:val="231F20"/>
        </w:rPr>
      </w:pPr>
      <w:r>
        <w:rPr>
          <w:rFonts w:ascii="Arial" w:cs="Arial" w:eastAsia="Arial" w:hAnsi="Arial"/>
          <w:sz w:val="18"/>
          <w:szCs w:val="18"/>
          <w:color w:val="231F20"/>
        </w:rPr>
        <w:t>Represents the issuance of 21,999,886 shares of New TriSalus Common Stock to Legacy TriSalus stockholders (including Legacy TriSalus common stockholders who received their shares upon conversion of the Legacy TriSalus Preferred Stock and automatic exercise of the Legacy TriSalus Warrants) as consideration for the reverse recapitalization.</w:t>
      </w:r>
    </w:p>
    <w:p>
      <w:pPr>
        <w:spacing w:after="0" w:line="183" w:lineRule="exact"/>
        <w:rPr>
          <w:rFonts w:ascii="Arial" w:cs="Arial" w:eastAsia="Arial" w:hAnsi="Arial"/>
          <w:sz w:val="18"/>
          <w:szCs w:val="18"/>
          <w:color w:val="231F20"/>
        </w:rPr>
      </w:pPr>
    </w:p>
    <w:p>
      <w:pPr>
        <w:ind w:left="640" w:right="100" w:hanging="308"/>
        <w:spacing w:after="0" w:line="259" w:lineRule="auto"/>
        <w:tabs>
          <w:tab w:leader="none" w:pos="640" w:val="left"/>
        </w:tabs>
        <w:numPr>
          <w:ilvl w:val="0"/>
          <w:numId w:val="224"/>
        </w:numPr>
        <w:rPr>
          <w:rFonts w:ascii="Arial" w:cs="Arial" w:eastAsia="Arial" w:hAnsi="Arial"/>
          <w:sz w:val="18"/>
          <w:szCs w:val="18"/>
          <w:color w:val="231F20"/>
        </w:rPr>
      </w:pPr>
      <w:r>
        <w:rPr>
          <w:rFonts w:ascii="Arial" w:cs="Arial" w:eastAsia="Arial" w:hAnsi="Arial"/>
          <w:sz w:val="18"/>
          <w:szCs w:val="18"/>
          <w:color w:val="231F20"/>
        </w:rPr>
        <w:t>Prior to the Effective Time, the Sponsor held 6,249,999 shares of MTAC’s Class A Common Stock and 1 share of Class B Common Stock. At the Effective Time, 2,187,500 of these shares were forfeited and cancelled; 3,125,000 became Sponsor Earnout Shares; and 937,500 were reclassified as New TriSalus Common Stock. The Sponsor Earnout Shares will be accounted for as a liability. See section “</w:t>
      </w:r>
      <w:r>
        <w:rPr>
          <w:rFonts w:ascii="Arial" w:cs="Arial" w:eastAsia="Arial" w:hAnsi="Arial"/>
          <w:sz w:val="18"/>
          <w:szCs w:val="18"/>
          <w:i w:val="1"/>
          <w:iCs w:val="1"/>
          <w:color w:val="231F20"/>
        </w:rPr>
        <w:t>Accounting for the Sponsor</w:t>
      </w:r>
      <w:r>
        <w:rPr>
          <w:rFonts w:ascii="Arial" w:cs="Arial" w:eastAsia="Arial" w:hAnsi="Arial"/>
          <w:sz w:val="18"/>
          <w:szCs w:val="18"/>
          <w:color w:val="231F20"/>
        </w:rPr>
        <w:t xml:space="preserve"> </w:t>
      </w:r>
      <w:r>
        <w:rPr>
          <w:rFonts w:ascii="Arial" w:cs="Arial" w:eastAsia="Arial" w:hAnsi="Arial"/>
          <w:sz w:val="18"/>
          <w:szCs w:val="18"/>
          <w:i w:val="1"/>
          <w:iCs w:val="1"/>
          <w:color w:val="231F20"/>
        </w:rPr>
        <w:t>Earnout Shares</w:t>
      </w:r>
      <w:r>
        <w:rPr>
          <w:rFonts w:ascii="Arial" w:cs="Arial" w:eastAsia="Arial" w:hAnsi="Arial"/>
          <w:sz w:val="18"/>
          <w:szCs w:val="18"/>
          <w:color w:val="231F20"/>
        </w:rPr>
        <w:t>” for further discussion.</w:t>
      </w:r>
    </w:p>
    <w:p>
      <w:pPr>
        <w:spacing w:after="0" w:line="186" w:lineRule="exact"/>
        <w:rPr>
          <w:rFonts w:ascii="Arial" w:cs="Arial" w:eastAsia="Arial" w:hAnsi="Arial"/>
          <w:sz w:val="18"/>
          <w:szCs w:val="18"/>
          <w:color w:val="231F20"/>
        </w:rPr>
      </w:pPr>
    </w:p>
    <w:p>
      <w:pPr>
        <w:ind w:left="660" w:right="180"/>
        <w:spacing w:after="0" w:line="259" w:lineRule="auto"/>
        <w:rPr>
          <w:rFonts w:ascii="Arial" w:cs="Arial" w:eastAsia="Arial" w:hAnsi="Arial"/>
          <w:sz w:val="18"/>
          <w:szCs w:val="18"/>
          <w:color w:val="231F20"/>
        </w:rPr>
      </w:pPr>
      <w:r>
        <w:rPr>
          <w:rFonts w:ascii="Arial" w:cs="Arial" w:eastAsia="Arial" w:hAnsi="Arial"/>
          <w:sz w:val="18"/>
          <w:szCs w:val="18"/>
          <w:color w:val="231F20"/>
        </w:rPr>
        <w:t>The preliminary estimated fair value of the Sponsor Earnout Shares is $24.5 million. The pro forma value of the Sponsor Earnout Shares was estimated using a Monte Carlo simulation model. The significant assumptions utilized in estimating the fair value of the Sponsor Earnout Shares include the following: (i) starting share value of $10.00; (ii) a dividend yield of 0.0%; (iii) a risk-free rate of 4.18%; and (iv) expected equity volatility of 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52" w:name="page353"/>
    <w:bookmarkEnd w:id="352"/>
    <w:p>
      <w:pPr>
        <w:ind w:left="640" w:hanging="308"/>
        <w:spacing w:after="0"/>
        <w:tabs>
          <w:tab w:leader="none" w:pos="640" w:val="left"/>
        </w:tabs>
        <w:numPr>
          <w:ilvl w:val="1"/>
          <w:numId w:val="225"/>
        </w:numPr>
        <w:rPr>
          <w:rFonts w:ascii="Arial" w:cs="Arial" w:eastAsia="Arial" w:hAnsi="Arial"/>
          <w:sz w:val="18"/>
          <w:szCs w:val="18"/>
          <w:color w:val="231F20"/>
        </w:rPr>
      </w:pPr>
      <w:r>
        <w:rPr>
          <w:rFonts w:ascii="Arial" w:cs="Arial" w:eastAsia="Arial" w:hAnsi="Arial"/>
          <w:sz w:val="18"/>
          <w:szCs w:val="18"/>
          <w:color w:val="231F20"/>
        </w:rPr>
        <w:t>Reflects the elimination of MTAC’s historical accumulated deficit.</w:t>
      </w:r>
    </w:p>
    <w:p>
      <w:pPr>
        <w:spacing w:after="0" w:line="225" w:lineRule="exact"/>
        <w:rPr>
          <w:rFonts w:ascii="Arial" w:cs="Arial" w:eastAsia="Arial" w:hAnsi="Arial"/>
          <w:sz w:val="18"/>
          <w:szCs w:val="18"/>
          <w:color w:val="231F20"/>
        </w:rPr>
      </w:pPr>
    </w:p>
    <w:p>
      <w:pPr>
        <w:ind w:left="640" w:hanging="308"/>
        <w:spacing w:after="0" w:line="255" w:lineRule="auto"/>
        <w:tabs>
          <w:tab w:leader="none" w:pos="640" w:val="left"/>
        </w:tabs>
        <w:numPr>
          <w:ilvl w:val="1"/>
          <w:numId w:val="225"/>
        </w:numPr>
        <w:rPr>
          <w:rFonts w:ascii="Arial" w:cs="Arial" w:eastAsia="Arial" w:hAnsi="Arial"/>
          <w:sz w:val="18"/>
          <w:szCs w:val="18"/>
          <w:color w:val="231F20"/>
        </w:rPr>
      </w:pPr>
      <w:r>
        <w:rPr>
          <w:rFonts w:ascii="Arial" w:cs="Arial" w:eastAsia="Arial" w:hAnsi="Arial"/>
          <w:sz w:val="18"/>
          <w:szCs w:val="18"/>
          <w:color w:val="231F20"/>
        </w:rPr>
        <w:t>Represents the conversion of MTAC’s related party convertible notes into MTAC Warrants (which have the same terms and conditions as the Private Placement Warrants) at the Effective Time, which was convertible at the option of the convertible note holder. Based on the outstanding balance as of June 30, 2023 of $1.5 million, the MTAC convertible notes were converted into 1,000,000 MTAC Warrants based on a $1.50 conversion price. The fair value of the 1,000,000 MTAC Warrants issued upon conversion is $42 thousand. A gain on conversion of $1.46 million of the MTAC convertible note is recorded to additional paid-in capital as a result of the elimination of MTAC’s historical accumulated deficit at the Effective Time (see adjustment (J)).</w:t>
      </w:r>
    </w:p>
    <w:p>
      <w:pPr>
        <w:spacing w:after="0" w:line="188" w:lineRule="exact"/>
        <w:rPr>
          <w:rFonts w:ascii="Arial" w:cs="Arial" w:eastAsia="Arial" w:hAnsi="Arial"/>
          <w:sz w:val="18"/>
          <w:szCs w:val="18"/>
          <w:color w:val="231F20"/>
        </w:rPr>
      </w:pPr>
    </w:p>
    <w:p>
      <w:pPr>
        <w:ind w:left="300" w:right="180" w:hanging="292"/>
        <w:spacing w:after="0" w:line="282" w:lineRule="auto"/>
        <w:tabs>
          <w:tab w:leader="none" w:pos="300" w:val="left"/>
        </w:tabs>
        <w:numPr>
          <w:ilvl w:val="0"/>
          <w:numId w:val="226"/>
        </w:numPr>
        <w:rPr>
          <w:rFonts w:ascii="Arial" w:cs="Arial" w:eastAsia="Arial" w:hAnsi="Arial"/>
          <w:sz w:val="18"/>
          <w:szCs w:val="18"/>
          <w:b w:val="1"/>
          <w:bCs w:val="1"/>
          <w:color w:val="231F20"/>
        </w:rPr>
      </w:pPr>
      <w:r>
        <w:rPr>
          <w:rFonts w:ascii="Arial" w:cs="Arial" w:eastAsia="Arial" w:hAnsi="Arial"/>
          <w:sz w:val="18"/>
          <w:szCs w:val="18"/>
          <w:b w:val="1"/>
          <w:bCs w:val="1"/>
          <w:color w:val="231F20"/>
        </w:rPr>
        <w:t>Transaction Accounting Adjustments and Assumptions to the Unaudited Pro Forma Condensed Combined Statement of Operations for the Six Months Ended June 30, 2023</w:t>
      </w:r>
    </w:p>
    <w:p>
      <w:pPr>
        <w:spacing w:after="0" w:line="16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231F20"/>
        </w:rPr>
        <w:t>The adjustments included in the unaudited pro forma condensed combined statement of operations for the six months ended June 30, 2023, are as follows:</w:t>
      </w:r>
    </w:p>
    <w:p>
      <w:pPr>
        <w:spacing w:after="0" w:line="170" w:lineRule="exact"/>
        <w:rPr>
          <w:sz w:val="20"/>
          <w:szCs w:val="20"/>
          <w:color w:val="auto"/>
        </w:rPr>
      </w:pPr>
    </w:p>
    <w:p>
      <w:pPr>
        <w:ind w:left="780" w:hanging="448"/>
        <w:spacing w:after="0"/>
        <w:tabs>
          <w:tab w:leader="none" w:pos="780" w:val="left"/>
        </w:tabs>
        <w:numPr>
          <w:ilvl w:val="0"/>
          <w:numId w:val="227"/>
        </w:numPr>
        <w:rPr>
          <w:rFonts w:ascii="Arial" w:cs="Arial" w:eastAsia="Arial" w:hAnsi="Arial"/>
          <w:sz w:val="18"/>
          <w:szCs w:val="18"/>
          <w:color w:val="231F20"/>
        </w:rPr>
      </w:pPr>
      <w:r>
        <w:rPr>
          <w:rFonts w:ascii="Arial" w:cs="Arial" w:eastAsia="Arial" w:hAnsi="Arial"/>
          <w:sz w:val="18"/>
          <w:szCs w:val="18"/>
          <w:color w:val="231F20"/>
        </w:rPr>
        <w:t>Reflects the elimination of interest earned on investments held in the Trust Account.</w:t>
      </w:r>
    </w:p>
    <w:p>
      <w:pPr>
        <w:spacing w:after="0" w:line="225" w:lineRule="exact"/>
        <w:rPr>
          <w:rFonts w:ascii="Arial" w:cs="Arial" w:eastAsia="Arial" w:hAnsi="Arial"/>
          <w:sz w:val="18"/>
          <w:szCs w:val="18"/>
          <w:color w:val="231F20"/>
        </w:rPr>
      </w:pPr>
    </w:p>
    <w:p>
      <w:pPr>
        <w:ind w:left="780" w:right="300" w:hanging="448"/>
        <w:spacing w:after="0" w:line="277" w:lineRule="auto"/>
        <w:tabs>
          <w:tab w:leader="none" w:pos="780" w:val="left"/>
        </w:tabs>
        <w:numPr>
          <w:ilvl w:val="0"/>
          <w:numId w:val="227"/>
        </w:numPr>
        <w:rPr>
          <w:rFonts w:ascii="Arial" w:cs="Arial" w:eastAsia="Arial" w:hAnsi="Arial"/>
          <w:sz w:val="18"/>
          <w:szCs w:val="18"/>
          <w:color w:val="231F20"/>
        </w:rPr>
      </w:pPr>
      <w:r>
        <w:rPr>
          <w:rFonts w:ascii="Arial" w:cs="Arial" w:eastAsia="Arial" w:hAnsi="Arial"/>
          <w:sz w:val="18"/>
          <w:szCs w:val="18"/>
          <w:color w:val="231F20"/>
        </w:rPr>
        <w:t>Reflects the elimination of the change in fair value of Legacy TriSalus Warrant liabilities as a result of the settlement of the Legacy TriSalus Warrants at or immediately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353" w:name="page354"/>
    <w:bookmarkEnd w:id="353"/>
    <w:p>
      <w:pPr>
        <w:ind w:left="300" w:right="240" w:hanging="292"/>
        <w:spacing w:after="0" w:line="282" w:lineRule="auto"/>
        <w:tabs>
          <w:tab w:leader="none" w:pos="300" w:val="left"/>
        </w:tabs>
        <w:numPr>
          <w:ilvl w:val="0"/>
          <w:numId w:val="228"/>
        </w:numPr>
        <w:rPr>
          <w:rFonts w:ascii="Arial" w:cs="Arial" w:eastAsia="Arial" w:hAnsi="Arial"/>
          <w:sz w:val="18"/>
          <w:szCs w:val="18"/>
          <w:b w:val="1"/>
          <w:bCs w:val="1"/>
          <w:color w:val="231F20"/>
        </w:rPr>
      </w:pPr>
      <w:r>
        <w:rPr>
          <w:rFonts w:ascii="Arial" w:cs="Arial" w:eastAsia="Arial" w:hAnsi="Arial"/>
          <w:sz w:val="18"/>
          <w:szCs w:val="18"/>
          <w:b w:val="1"/>
          <w:bCs w:val="1"/>
          <w:color w:val="231F20"/>
        </w:rPr>
        <w:t>Transaction Accounting Adjustments and Assumptions to the Unaudited Pro Forma Condensed Combined Statement of Operations for the Year Ended December 31, 2022</w:t>
      </w:r>
    </w:p>
    <w:p>
      <w:pPr>
        <w:spacing w:after="0" w:line="166"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231F20"/>
        </w:rPr>
        <w:t>The adjustments included in the unaudited pro forma condensed combined statement of operations for the year ended December 31, 2022, are as follows:</w:t>
      </w:r>
    </w:p>
    <w:p>
      <w:pPr>
        <w:spacing w:after="0" w:line="170" w:lineRule="exact"/>
        <w:rPr>
          <w:sz w:val="20"/>
          <w:szCs w:val="20"/>
          <w:color w:val="auto"/>
        </w:rPr>
      </w:pPr>
    </w:p>
    <w:p>
      <w:pPr>
        <w:ind w:left="780" w:hanging="448"/>
        <w:spacing w:after="0"/>
        <w:tabs>
          <w:tab w:leader="none" w:pos="780" w:val="left"/>
        </w:tabs>
        <w:numPr>
          <w:ilvl w:val="1"/>
          <w:numId w:val="229"/>
        </w:numPr>
        <w:rPr>
          <w:rFonts w:ascii="Arial" w:cs="Arial" w:eastAsia="Arial" w:hAnsi="Arial"/>
          <w:sz w:val="18"/>
          <w:szCs w:val="18"/>
          <w:color w:val="231F20"/>
        </w:rPr>
      </w:pPr>
      <w:r>
        <w:rPr>
          <w:rFonts w:ascii="Arial" w:cs="Arial" w:eastAsia="Arial" w:hAnsi="Arial"/>
          <w:sz w:val="18"/>
          <w:szCs w:val="18"/>
          <w:color w:val="231F20"/>
        </w:rPr>
        <w:t>Reflects the elimination of interest earned on investments held in the Trust Account.</w:t>
      </w:r>
    </w:p>
    <w:p>
      <w:pPr>
        <w:spacing w:after="0" w:line="225" w:lineRule="exact"/>
        <w:rPr>
          <w:rFonts w:ascii="Arial" w:cs="Arial" w:eastAsia="Arial" w:hAnsi="Arial"/>
          <w:sz w:val="18"/>
          <w:szCs w:val="18"/>
          <w:color w:val="231F20"/>
        </w:rPr>
      </w:pPr>
    </w:p>
    <w:p>
      <w:pPr>
        <w:ind w:left="780" w:right="360" w:hanging="448"/>
        <w:spacing w:after="0" w:line="277" w:lineRule="auto"/>
        <w:tabs>
          <w:tab w:leader="none" w:pos="780" w:val="left"/>
        </w:tabs>
        <w:numPr>
          <w:ilvl w:val="1"/>
          <w:numId w:val="229"/>
        </w:numPr>
        <w:rPr>
          <w:rFonts w:ascii="Arial" w:cs="Arial" w:eastAsia="Arial" w:hAnsi="Arial"/>
          <w:sz w:val="18"/>
          <w:szCs w:val="18"/>
          <w:color w:val="231F20"/>
        </w:rPr>
      </w:pPr>
      <w:r>
        <w:rPr>
          <w:rFonts w:ascii="Arial" w:cs="Arial" w:eastAsia="Arial" w:hAnsi="Arial"/>
          <w:sz w:val="18"/>
          <w:szCs w:val="18"/>
          <w:color w:val="231F20"/>
        </w:rPr>
        <w:t>Reflects the elimination of the change in fair value of Legacy TriSalus Warrant liabilities as a result of the settlement of the Legacy TriSalus Warrants at or immediately prior to the Effective Time.</w:t>
      </w:r>
    </w:p>
    <w:p>
      <w:pPr>
        <w:spacing w:after="0" w:line="170" w:lineRule="exact"/>
        <w:rPr>
          <w:rFonts w:ascii="Arial" w:cs="Arial" w:eastAsia="Arial" w:hAnsi="Arial"/>
          <w:sz w:val="18"/>
          <w:szCs w:val="18"/>
          <w:color w:val="231F20"/>
        </w:rPr>
      </w:pPr>
    </w:p>
    <w:p>
      <w:pPr>
        <w:ind w:left="780" w:right="280" w:hanging="448"/>
        <w:spacing w:after="0" w:line="277" w:lineRule="auto"/>
        <w:tabs>
          <w:tab w:leader="none" w:pos="780" w:val="left"/>
        </w:tabs>
        <w:numPr>
          <w:ilvl w:val="1"/>
          <w:numId w:val="229"/>
        </w:numPr>
        <w:rPr>
          <w:rFonts w:ascii="Arial" w:cs="Arial" w:eastAsia="Arial" w:hAnsi="Arial"/>
          <w:sz w:val="18"/>
          <w:szCs w:val="18"/>
          <w:color w:val="231F20"/>
        </w:rPr>
      </w:pPr>
      <w:r>
        <w:rPr>
          <w:rFonts w:ascii="Arial" w:cs="Arial" w:eastAsia="Arial" w:hAnsi="Arial"/>
          <w:sz w:val="18"/>
          <w:szCs w:val="18"/>
          <w:color w:val="231F20"/>
        </w:rPr>
        <w:t>Represents the pro forma adjustment to record the nonrecurring expense related to $3.3 million of Legacy TriSalus transaction costs and $5.0 million of MTAC transaction costs, discussed further at adjustments (E) and (F).</w:t>
      </w:r>
    </w:p>
    <w:p>
      <w:pPr>
        <w:spacing w:after="0" w:line="170" w:lineRule="exact"/>
        <w:rPr>
          <w:rFonts w:ascii="Arial" w:cs="Arial" w:eastAsia="Arial" w:hAnsi="Arial"/>
          <w:sz w:val="18"/>
          <w:szCs w:val="18"/>
          <w:color w:val="231F20"/>
        </w:rPr>
      </w:pPr>
    </w:p>
    <w:p>
      <w:pPr>
        <w:ind w:left="780" w:right="100" w:hanging="448"/>
        <w:spacing w:after="0" w:line="308" w:lineRule="auto"/>
        <w:tabs>
          <w:tab w:leader="none" w:pos="780" w:val="left"/>
        </w:tabs>
        <w:numPr>
          <w:ilvl w:val="1"/>
          <w:numId w:val="229"/>
        </w:numPr>
        <w:rPr>
          <w:rFonts w:ascii="Arial" w:cs="Arial" w:eastAsia="Arial" w:hAnsi="Arial"/>
          <w:sz w:val="17"/>
          <w:szCs w:val="17"/>
          <w:color w:val="231F20"/>
        </w:rPr>
      </w:pPr>
      <w:r>
        <w:rPr>
          <w:rFonts w:ascii="Arial" w:cs="Arial" w:eastAsia="Arial" w:hAnsi="Arial"/>
          <w:sz w:val="17"/>
          <w:szCs w:val="17"/>
          <w:color w:val="231F20"/>
        </w:rPr>
        <w:t>Represents the gain on conversion upon the expected conversion of MTAC convertible notes into MTAC Warrants (which would have the same terms and conditions as the Private Placement Warrants) at the Effective Time, discussed further at adjustment (K).</w:t>
      </w:r>
    </w:p>
    <w:p>
      <w:pPr>
        <w:spacing w:after="0" w:line="146" w:lineRule="exact"/>
        <w:rPr>
          <w:rFonts w:ascii="Arial" w:cs="Arial" w:eastAsia="Arial" w:hAnsi="Arial"/>
          <w:sz w:val="17"/>
          <w:szCs w:val="17"/>
          <w:color w:val="231F20"/>
        </w:rPr>
      </w:pPr>
    </w:p>
    <w:p>
      <w:pPr>
        <w:ind w:left="780" w:right="360" w:hanging="448"/>
        <w:spacing w:after="0" w:line="277" w:lineRule="auto"/>
        <w:tabs>
          <w:tab w:leader="none" w:pos="780" w:val="left"/>
        </w:tabs>
        <w:numPr>
          <w:ilvl w:val="1"/>
          <w:numId w:val="229"/>
        </w:numPr>
        <w:rPr>
          <w:rFonts w:ascii="Arial" w:cs="Arial" w:eastAsia="Arial" w:hAnsi="Arial"/>
          <w:sz w:val="18"/>
          <w:szCs w:val="18"/>
          <w:color w:val="231F20"/>
        </w:rPr>
      </w:pPr>
      <w:r>
        <w:rPr>
          <w:rFonts w:ascii="Arial" w:cs="Arial" w:eastAsia="Arial" w:hAnsi="Arial"/>
          <w:sz w:val="18"/>
          <w:szCs w:val="18"/>
          <w:color w:val="231F20"/>
        </w:rPr>
        <w:t>Represents the pro forma adjustment to record the nonrecurring expense related to the gain on expiration of the Series B-2 tranche liabilities upon the Business Combination; as discussed further at adjustment (G).</w:t>
      </w:r>
    </w:p>
    <w:p>
      <w:pPr>
        <w:spacing w:after="0" w:line="166" w:lineRule="exact"/>
        <w:rPr>
          <w:rFonts w:ascii="Arial" w:cs="Arial" w:eastAsia="Arial" w:hAnsi="Arial"/>
          <w:sz w:val="18"/>
          <w:szCs w:val="18"/>
          <w:color w:val="231F20"/>
        </w:rPr>
      </w:pPr>
    </w:p>
    <w:p>
      <w:pPr>
        <w:ind w:left="300" w:hanging="292"/>
        <w:spacing w:after="0"/>
        <w:tabs>
          <w:tab w:leader="none" w:pos="300" w:val="left"/>
        </w:tabs>
        <w:numPr>
          <w:ilvl w:val="0"/>
          <w:numId w:val="230"/>
        </w:numPr>
        <w:rPr>
          <w:rFonts w:ascii="Arial" w:cs="Arial" w:eastAsia="Arial" w:hAnsi="Arial"/>
          <w:sz w:val="18"/>
          <w:szCs w:val="18"/>
          <w:b w:val="1"/>
          <w:bCs w:val="1"/>
          <w:color w:val="231F20"/>
        </w:rPr>
      </w:pPr>
      <w:r>
        <w:rPr>
          <w:rFonts w:ascii="Arial" w:cs="Arial" w:eastAsia="Arial" w:hAnsi="Arial"/>
          <w:sz w:val="18"/>
          <w:szCs w:val="18"/>
          <w:b w:val="1"/>
          <w:bCs w:val="1"/>
          <w:color w:val="231F20"/>
        </w:rPr>
        <w:t>Net Loss per Share</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231F20"/>
        </w:rPr>
        <w:t>The pro forma weighted average shares calculations have been calculated for the six months ended June 30, 2023 using the historical weighted average shares outstanding, and the issuance of additional shares in connection with the Business Combination, assuming the Business Combination occurred on January 1, 2022. As the Business Combination is being reflected as if it had occurred at the beginning of the periods presented, the calculation of weighted average shares outstanding for both basic and diluted net loss per share assumes that the shares issuable relating to the Business Combination have been outstanding for the entire periods presented. Holders of Legacy TriSalus Common Stock received shares of New TriSalus Common Stock in an amount determined by application of the Exchange Ratio.</w:t>
      </w:r>
    </w:p>
    <w:p>
      <w:pPr>
        <w:spacing w:after="0" w:line="192"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231F20"/>
        </w:rPr>
        <w:t>The 3,125,000 Sponsor Earnout Shares are not considered outstanding from an accounting perspective. Further, due to the fact that the Sponsor Earnout Shares are contingently issuable for accounting purposes based upon New TriSalus Common Stock share price reaching specified thresholds that have not yet been achieved, the Sponsor Earnout Shares have been excluded from basic and diluted pro forma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4" w:name="page355"/>
    <w:bookmarkEnd w:id="354"/>
    <w:p>
      <w:pPr>
        <w:ind w:right="60" w:firstLine="324"/>
        <w:spacing w:after="0" w:line="263" w:lineRule="auto"/>
        <w:rPr>
          <w:sz w:val="20"/>
          <w:szCs w:val="20"/>
          <w:color w:val="auto"/>
        </w:rPr>
      </w:pPr>
      <w:r>
        <w:rPr>
          <w:rFonts w:ascii="Arial" w:cs="Arial" w:eastAsia="Arial" w:hAnsi="Arial"/>
          <w:sz w:val="18"/>
          <w:szCs w:val="18"/>
          <w:color w:val="231F20"/>
        </w:rPr>
        <w:t>The following potential outstanding securities were excluded from the computation of pro forma net loss per share, basic and diluted, because their effect would have been anti-dilutive, or issuance of such shares is contingent upon the satisfaction of certain conditions which were not satisfied by the end of the period: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231F20"/>
              </w:rPr>
              <w:t>Number of Shares</w:t>
            </w:r>
          </w:p>
        </w:tc>
      </w:tr>
      <w:tr>
        <w:trPr>
          <w:trHeight w:val="210"/>
        </w:trPr>
        <w:tc>
          <w:tcPr>
            <w:tcW w:w="9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31F20"/>
              </w:rPr>
              <w:t>Sponsor Earnout Shares</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3,125,000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231F20"/>
              </w:rPr>
              <w:t>Stock Options (formerly TriSalus Options)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231F20"/>
              </w:rPr>
              <w:t>1,759,366</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231F20"/>
              </w:rPr>
              <w:t>Restricted Stock Units (“RSU’s") (formerly TriSalus RSU’s)</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184,018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231F20"/>
              </w:rPr>
              <w:t>Public Warrants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231F20"/>
              </w:rPr>
              <w:t>8,333,272</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231F20"/>
              </w:rPr>
              <w:t>Private Placement Warrants</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4,933,333</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231F20"/>
              </w:rPr>
              <w:t>Series A Convertible Preferred Stock</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231F20"/>
              </w:rPr>
              <w:t>4,015,002</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231F20"/>
              </w:rPr>
              <w:t>Additional MTAC Warrants (adjustment (K))</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1,000,000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The unaudited pro forma condensed combined net loss per share has been prepared for the six months ended June 30, 2023 and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December 31, 2022 (in thousands, except for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231F20"/>
                <w:w w:val="91"/>
              </w:rPr>
              <w:t>For the Six Months</w:t>
            </w: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231F20"/>
                <w:w w:val="90"/>
              </w:rPr>
              <w:t>For the Year Ended</w:t>
            </w:r>
          </w:p>
        </w:tc>
      </w:tr>
      <w:tr>
        <w:trPr>
          <w:trHeight w:val="234"/>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231F20"/>
                <w:w w:val="90"/>
              </w:rPr>
              <w:t>Ended June 30, 2023</w:t>
            </w: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231F20"/>
                <w:w w:val="90"/>
              </w:rPr>
              <w:t>December 31, 2021</w:t>
            </w:r>
          </w:p>
        </w:tc>
      </w:tr>
      <w:tr>
        <w:trPr>
          <w:trHeight w:val="191"/>
        </w:trPr>
        <w:tc>
          <w:tcPr>
            <w:tcW w:w="7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231F20"/>
                <w:w w:val="90"/>
              </w:rPr>
              <w:t>Combined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231F20"/>
                <w:w w:val="90"/>
              </w:rPr>
              <w:t>Combined</w:t>
            </w:r>
          </w:p>
        </w:tc>
        <w:tc>
          <w:tcPr>
            <w:tcW w:w="100" w:type="dxa"/>
            <w:vAlign w:val="bottom"/>
          </w:tcPr>
          <w:p>
            <w:pPr>
              <w:spacing w:after="0"/>
              <w:rPr>
                <w:sz w:val="16"/>
                <w:szCs w:val="16"/>
                <w:color w:val="auto"/>
              </w:rPr>
            </w:pPr>
          </w:p>
        </w:tc>
      </w:tr>
      <w:tr>
        <w:trPr>
          <w:trHeight w:val="234"/>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231F20"/>
                <w:w w:val="93"/>
              </w:rPr>
              <w:t>Pro Forma</w:t>
            </w:r>
          </w:p>
        </w:tc>
        <w:tc>
          <w:tcPr>
            <w:tcW w:w="12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231F20"/>
                <w:w w:val="93"/>
              </w:rPr>
              <w:t>Pro Forma</w:t>
            </w:r>
          </w:p>
        </w:tc>
      </w:tr>
      <w:tr>
        <w:trPr>
          <w:trHeight w:val="209"/>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231F20"/>
              </w:rPr>
              <w:t>Numerator</w:t>
            </w:r>
          </w:p>
        </w:tc>
        <w:tc>
          <w:tcPr>
            <w:tcW w:w="1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231F20"/>
              </w:rPr>
              <w:t>Pro forma net loss – basic and diluted</w:t>
            </w:r>
          </w:p>
        </w:tc>
        <w:tc>
          <w:tcPr>
            <w:tcW w:w="10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231F20"/>
              </w:rPr>
              <w:t>(27,807)</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231F20"/>
              </w:rPr>
              <w:t>(48,330)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231F20"/>
              </w:rPr>
              <w:t>Less: Annual 8% cumulative dividend for Convertible Preferred Shareholders</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(1,606)</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231F20"/>
              </w:rPr>
              <w:t>(3,212)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231F20"/>
              </w:rPr>
              <w:t>Net loss attributable to common Stockholder</w:t>
            </w:r>
          </w:p>
        </w:tc>
        <w:tc>
          <w:tcPr>
            <w:tcW w:w="10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231F20"/>
              </w:rPr>
              <w:t>(29,413)</w:t>
            </w:r>
          </w:p>
        </w:tc>
        <w:tc>
          <w:tcPr>
            <w:tcW w:w="12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231F20"/>
              </w:rPr>
              <w:t>(51,542)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231F20"/>
              </w:rPr>
              <w:t>Denominator</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7320" w:type="dxa"/>
            <w:vAlign w:val="bottom"/>
          </w:tcPr>
          <w:p>
            <w:pPr>
              <w:spacing w:after="0" w:line="256" w:lineRule="exact"/>
              <w:rPr>
                <w:sz w:val="20"/>
                <w:szCs w:val="20"/>
                <w:color w:val="auto"/>
              </w:rPr>
            </w:pPr>
            <w:r>
              <w:rPr>
                <w:rFonts w:ascii="Arial" w:cs="Arial" w:eastAsia="Arial" w:hAnsi="Arial"/>
                <w:sz w:val="18"/>
                <w:szCs w:val="18"/>
                <w:color w:val="231F20"/>
              </w:rPr>
              <w:t xml:space="preserve">Pro forma weighted average shares of common stock outstanding – basic and diluted </w:t>
            </w:r>
            <w:r>
              <w:rPr>
                <w:rFonts w:ascii="Arial" w:cs="Arial" w:eastAsia="Arial" w:hAnsi="Arial"/>
                <w:sz w:val="29"/>
                <w:szCs w:val="29"/>
                <w:color w:val="231F20"/>
                <w:vertAlign w:val="superscript"/>
              </w:rPr>
              <w:t>(1)</w:t>
            </w:r>
          </w:p>
        </w:tc>
        <w:tc>
          <w:tcPr>
            <w:tcW w:w="100" w:type="dxa"/>
            <w:vAlign w:val="bottom"/>
          </w:tcPr>
          <w:p>
            <w:pPr>
              <w:spacing w:after="0"/>
              <w:rPr>
                <w:sz w:val="22"/>
                <w:szCs w:val="22"/>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231F20"/>
              </w:rPr>
              <w:t>23,191,681</w:t>
            </w:r>
          </w:p>
        </w:tc>
        <w:tc>
          <w:tcPr>
            <w:tcW w:w="120" w:type="dxa"/>
            <w:vAlign w:val="bottom"/>
          </w:tcPr>
          <w:p>
            <w:pPr>
              <w:spacing w:after="0"/>
              <w:rPr>
                <w:sz w:val="22"/>
                <w:szCs w:val="22"/>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231F20"/>
              </w:rPr>
              <w:t>23,191,681</w:t>
            </w:r>
          </w:p>
        </w:tc>
      </w:tr>
      <w:tr>
        <w:trPr>
          <w:trHeight w:val="256"/>
        </w:trPr>
        <w:tc>
          <w:tcPr>
            <w:tcW w:w="732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231F20"/>
              </w:rPr>
              <w:t>Pro forma basic and diluted net loss per share</w:t>
            </w:r>
            <w:r>
              <w:rPr>
                <w:rFonts w:ascii="Arial" w:cs="Arial" w:eastAsia="Arial" w:hAnsi="Arial"/>
                <w:sz w:val="29"/>
                <w:szCs w:val="29"/>
                <w:b w:val="1"/>
                <w:bCs w:val="1"/>
                <w:color w:val="231F20"/>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(1.27)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231F20"/>
              </w:rPr>
              <w:t>(2.22)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7" w:lineRule="exact"/>
        <w:rPr>
          <w:sz w:val="20"/>
          <w:szCs w:val="20"/>
          <w:color w:val="auto"/>
        </w:rPr>
      </w:pPr>
    </w:p>
    <w:p>
      <w:pPr>
        <w:ind w:left="300" w:right="160" w:hanging="292"/>
        <w:spacing w:after="0" w:line="342" w:lineRule="auto"/>
        <w:tabs>
          <w:tab w:leader="none" w:pos="300" w:val="left"/>
        </w:tabs>
        <w:numPr>
          <w:ilvl w:val="0"/>
          <w:numId w:val="231"/>
        </w:numPr>
        <w:rPr>
          <w:rFonts w:ascii="Arial" w:cs="Arial" w:eastAsia="Arial" w:hAnsi="Arial"/>
          <w:sz w:val="16"/>
          <w:szCs w:val="16"/>
          <w:color w:val="231F20"/>
        </w:rPr>
      </w:pPr>
      <w:r>
        <w:rPr>
          <w:rFonts w:ascii="Arial" w:cs="Arial" w:eastAsia="Arial" w:hAnsi="Arial"/>
          <w:sz w:val="16"/>
          <w:szCs w:val="16"/>
          <w:color w:val="231F20"/>
        </w:rPr>
        <w:t>Excludes the effects of potentially dilutive shares from Sponsor Earnout Shares, Series A Convertible Preferred Stock, stock options, public warrants, and Private Placement Warrants from the computation of diluted net loss per share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TriSalus Life Sciences Completes Merger with MedTech Acquisition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Advances TriSalus’ Platform Focused on Improving Outcomes for Patients with Liver and Pancreatic Cancer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Expected to Advance Technology Development and Sales Growth</w:t>
      </w:r>
    </w:p>
    <w:p>
      <w:pPr>
        <w:spacing w:after="0" w:line="22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Advancing SD-101 Into Phase 2 Clinical Trial in Uveal Melanoma, Phase 1 Trial in Pancreatic Cancer and Continuing Clinical Trials in HCC and Cholangiocarcinoma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Provides Cash Runway through Mid-2024 to Fund Key Milestones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TriSalus’ Common Stock Expected to Begin Trading on the Nasdaq under Symbol "TLSI" on August 11, 2023</w:t>
      </w:r>
    </w:p>
    <w:p>
      <w:pPr>
        <w:spacing w:after="0" w:line="221"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 xml:space="preserve">DENVER, Co. and FORT LAUDERDALE, Fla., August 11, 2023 </w:t>
      </w:r>
      <w:r>
        <w:rPr>
          <w:rFonts w:ascii="Arial" w:cs="Arial" w:eastAsia="Arial" w:hAnsi="Arial"/>
          <w:sz w:val="18"/>
          <w:szCs w:val="18"/>
          <w:color w:val="auto"/>
        </w:rPr>
        <w:t>– TriSalus Life Sciences® Inc., (TriSalus or the Company), an oncology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integrating its novel delivery technology with immunotherapy to transform treatment for patients with liver and pancreatic tumors, today announced the completion of its previously announced merger with MedTech Acquisition Corporation (Nasdaq: MTAC) (MedTech). TriSalus’ common stock and warrants are expected to commence trading on the Nasdaq Global Market under the ticker symbols “TLSI” and “TLSIW,” respectively, on August 11, 2023.</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“Completing our merger with MedTech marks an important milestone in our efforts to bring to market innovative approaches to treating liver and pancreatic tumors,” said Mary Szela, President and CEO of TriSalus. “Over the last several months we have advanced our device business and generated positive clinical data that supports the potential of our immunotherapeutic program. We are moving forward with the financial resources needed to grow our commercial organization and fund our key milestones through mid-2024. We believe that we are poised to create shareholder value as we continue our work to bring hope and improved treatments to the lives of patients. Finally, I want to especially thank our MTAC and TriSalus shareholders for trusting us to create value for them. I also want to thank our employees, interventional radiologists, and clinical investors and particularly our patients for their unwavering support that has been instrumental in helping us to achieve this milestone.”</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excited to complete this merger with TriSalus and support the growth of its innovative devices and treatments,” said Chris Dewey, CEO of MedTech. “We believe that TriSalus has significant near and long-term value creation opportunities through its commercialization strategy and the potential to deploy SD-101 into multiple indications across several lines of therapy. We have full confidence that Mary and the experienced TriSalus team will continue working to meet significant unmet medical needs and delivering value to shareholders.”</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Company’s new board of directors consists of Mats Wahlstrom, Mary Szela, Sean Murphy, Kerry Hicks, Dr. Anil Singhal, Dr. Andrew C. von Eschenbach, Kelly Martin, David J. Matlin and Dr. Arjun (“JJ”)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6" w:name="page357"/>
    <w:bookmarkEnd w:id="356"/>
    <w:p>
      <w:pPr>
        <w:ind w:right="40"/>
        <w:spacing w:after="0" w:line="277" w:lineRule="auto"/>
        <w:rPr>
          <w:sz w:val="20"/>
          <w:szCs w:val="20"/>
          <w:color w:val="auto"/>
        </w:rPr>
      </w:pPr>
      <w:r>
        <w:rPr>
          <w:rFonts w:ascii="Arial" w:cs="Arial" w:eastAsia="Arial" w:hAnsi="Arial"/>
          <w:sz w:val="18"/>
          <w:szCs w:val="18"/>
          <w:color w:val="auto"/>
        </w:rPr>
        <w:t>Szela continued, “We welcome Andy, Kelly, JJ and David to the Board and look forward to benefiting from their experience across the medical technology, pharmaceutical, healthcare and financial industries.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Innovative Device Technology Combined with Immunotherapeutic Platform Creates Significant Upside Potential</w:t>
      </w:r>
    </w:p>
    <w:p>
      <w:pPr>
        <w:spacing w:after="0" w:line="225" w:lineRule="exact"/>
        <w:rPr>
          <w:sz w:val="20"/>
          <w:szCs w:val="20"/>
          <w:color w:val="auto"/>
        </w:rPr>
      </w:pPr>
    </w:p>
    <w:p>
      <w:pPr>
        <w:ind w:left="660" w:right="80" w:hanging="328"/>
        <w:spacing w:after="0" w:line="294" w:lineRule="auto"/>
        <w:tabs>
          <w:tab w:leader="none" w:pos="660" w:val="left"/>
        </w:tabs>
        <w:numPr>
          <w:ilvl w:val="0"/>
          <w:numId w:val="232"/>
        </w:numPr>
        <w:rPr>
          <w:rFonts w:ascii="Arial" w:cs="Arial" w:eastAsia="Arial" w:hAnsi="Arial"/>
          <w:sz w:val="16"/>
          <w:szCs w:val="16"/>
          <w:color w:val="auto"/>
        </w:rPr>
      </w:pPr>
      <w:r>
        <w:rPr>
          <w:rFonts w:ascii="Arial" w:cs="Arial" w:eastAsia="Arial" w:hAnsi="Arial"/>
          <w:sz w:val="16"/>
          <w:szCs w:val="16"/>
          <w:b w:val="1"/>
          <w:bCs w:val="1"/>
          <w:color w:val="auto"/>
        </w:rPr>
        <w:t xml:space="preserve">Fast-Growing Core Device Business: </w:t>
      </w:r>
      <w:r>
        <w:rPr>
          <w:rFonts w:ascii="Arial" w:cs="Arial" w:eastAsia="Arial" w:hAnsi="Arial"/>
          <w:sz w:val="16"/>
          <w:szCs w:val="16"/>
          <w:color w:val="auto"/>
        </w:rPr>
        <w:t>TriSalus' commercial stage, FDA cleared TriNav® Infusion System includes the proprietary SmartValve</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SmartValve enables precision delivery of therapeutics to tumors using the Pressure-Enabled Drug Delivery™ (PEDD) approach. The PEDD approach has been shown to modulate pressure and flow, increasing therapeutic delivery to the tumor while decreasing exposure in normal tissue – an important goal for interventional radiologists focused on better outcomes with less toxicity. PEDD brings the potential to improve patient outcomes and also brings additional expansion opportunities through the delivery of a wide variety of therapeutics. TriNav achieved $8.4 million and $12.4 million in net sales in 2021 and 2022, respectively, and is on track to generate approximately $19.2 million in net sales in 2023.</w:t>
      </w:r>
    </w:p>
    <w:p>
      <w:pPr>
        <w:spacing w:after="0" w:line="159" w:lineRule="exact"/>
        <w:rPr>
          <w:rFonts w:ascii="Arial" w:cs="Arial" w:eastAsia="Arial" w:hAnsi="Arial"/>
          <w:sz w:val="16"/>
          <w:szCs w:val="16"/>
          <w:color w:val="auto"/>
        </w:rPr>
      </w:pPr>
    </w:p>
    <w:p>
      <w:pPr>
        <w:ind w:left="660" w:right="120" w:hanging="328"/>
        <w:spacing w:after="0" w:line="274" w:lineRule="auto"/>
        <w:tabs>
          <w:tab w:leader="none" w:pos="660" w:val="left"/>
        </w:tabs>
        <w:numPr>
          <w:ilvl w:val="0"/>
          <w:numId w:val="232"/>
        </w:numPr>
        <w:rPr>
          <w:rFonts w:ascii="Arial" w:cs="Arial" w:eastAsia="Arial" w:hAnsi="Arial"/>
          <w:sz w:val="17"/>
          <w:szCs w:val="17"/>
          <w:color w:val="auto"/>
        </w:rPr>
      </w:pPr>
      <w:r>
        <w:rPr>
          <w:rFonts w:ascii="Arial" w:cs="Arial" w:eastAsia="Arial" w:hAnsi="Arial"/>
          <w:sz w:val="17"/>
          <w:szCs w:val="17"/>
          <w:b w:val="1"/>
          <w:bCs w:val="1"/>
          <w:color w:val="auto"/>
        </w:rPr>
        <w:t xml:space="preserve">Robust Device Pipeline: </w:t>
      </w:r>
      <w:r>
        <w:rPr>
          <w:rFonts w:ascii="Arial" w:cs="Arial" w:eastAsia="Arial" w:hAnsi="Arial"/>
          <w:sz w:val="17"/>
          <w:szCs w:val="17"/>
          <w:color w:val="auto"/>
        </w:rPr>
        <w:t>TriSalus' technology pipeline includes a range of devices that use technology expected to substantially improve</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delivery. An FDA cleared delivery system for infusing immunotherapy into pancreatic adenocarcinoma patients is currently under study at MD Anderson Cancer Center. The pipeline also includes a full suite of devices that allows interventional radiologists to optimize therapy delivery across the broad range of solid tumor types, vessel sizes, and with greater precision using intra-procedural flow dynamic data. The first new device expected in the expanded toolkit is the TriNav LV device, designed to optimally address larger vessel sizes, which received 510(k) clearance by the FDA in May 2023 and is targeted for commercial launch in the first half of 2024.</w:t>
      </w:r>
    </w:p>
    <w:p>
      <w:pPr>
        <w:spacing w:after="0" w:line="177" w:lineRule="exact"/>
        <w:rPr>
          <w:rFonts w:ascii="Arial" w:cs="Arial" w:eastAsia="Arial" w:hAnsi="Arial"/>
          <w:sz w:val="17"/>
          <w:szCs w:val="17"/>
          <w:color w:val="auto"/>
        </w:rPr>
      </w:pPr>
    </w:p>
    <w:p>
      <w:pPr>
        <w:ind w:left="660" w:right="400"/>
        <w:spacing w:after="0" w:line="277" w:lineRule="auto"/>
        <w:rPr>
          <w:rFonts w:ascii="Arial" w:cs="Arial" w:eastAsia="Arial" w:hAnsi="Arial"/>
          <w:sz w:val="17"/>
          <w:szCs w:val="17"/>
          <w:color w:val="auto"/>
        </w:rPr>
      </w:pPr>
      <w:r>
        <w:rPr>
          <w:rFonts w:ascii="Arial" w:cs="Arial" w:eastAsia="Arial" w:hAnsi="Arial"/>
          <w:sz w:val="18"/>
          <w:szCs w:val="18"/>
          <w:color w:val="auto"/>
        </w:rPr>
        <w:t>To accelerate TriSalus’ strategy, James “Jim” Alecxih was recently appointed as President, Device Technology Business. Jim will oversee the development and expansion of the Company’s portfolio of innovative infusion technologies.</w:t>
      </w:r>
    </w:p>
    <w:p>
      <w:pPr>
        <w:spacing w:after="0" w:line="16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232"/>
        </w:numPr>
        <w:rPr>
          <w:rFonts w:ascii="Arial" w:cs="Arial" w:eastAsia="Arial" w:hAnsi="Arial"/>
          <w:sz w:val="17"/>
          <w:szCs w:val="17"/>
          <w:color w:val="auto"/>
        </w:rPr>
      </w:pPr>
      <w:r>
        <w:rPr>
          <w:rFonts w:ascii="Arial" w:cs="Arial" w:eastAsia="Arial" w:hAnsi="Arial"/>
          <w:sz w:val="17"/>
          <w:szCs w:val="17"/>
          <w:b w:val="1"/>
          <w:bCs w:val="1"/>
          <w:color w:val="auto"/>
        </w:rPr>
        <w:t xml:space="preserve">Therapeutic Platform in Clinical Development: </w:t>
      </w:r>
      <w:r>
        <w:rPr>
          <w:rFonts w:ascii="Arial" w:cs="Arial" w:eastAsia="Arial" w:hAnsi="Arial"/>
          <w:sz w:val="17"/>
          <w:szCs w:val="17"/>
          <w:color w:val="auto"/>
        </w:rPr>
        <w:t>TriSalus is developing SD-101, an investigational immunotherapeutic designed to improve</w:t>
      </w:r>
      <w:r>
        <w:rPr>
          <w:rFonts w:ascii="Arial" w:cs="Arial" w:eastAsia="Arial" w:hAnsi="Arial"/>
          <w:sz w:val="17"/>
          <w:szCs w:val="17"/>
          <w:b w:val="1"/>
          <w:bCs w:val="1"/>
          <w:color w:val="auto"/>
        </w:rPr>
        <w:t xml:space="preserve"> </w:t>
      </w:r>
      <w:r>
        <w:rPr>
          <w:rFonts w:ascii="Arial" w:cs="Arial" w:eastAsia="Arial" w:hAnsi="Arial"/>
          <w:sz w:val="17"/>
          <w:szCs w:val="17"/>
          <w:color w:val="auto"/>
        </w:rPr>
        <w:t>patient outcomes by treating the immunosuppressive environment created by many tumors – an environment that can make current immunotherapies ineffective in the liver and pancreas. SD-101 is a class C TLR9 agonist with a dual mechanism of action and a differentiated profile versus other TLR agonists. In solid tumors, the drug alters the tumor microenvironment by reducing immunosuppressive myeloid-derived suppressor cells (MDSC) while simultaneously stimulating multiple immune cell types.</w:t>
      </w:r>
    </w:p>
    <w:p>
      <w:pPr>
        <w:spacing w:after="0" w:line="171" w:lineRule="exact"/>
        <w:rPr>
          <w:rFonts w:ascii="Arial" w:cs="Arial" w:eastAsia="Arial" w:hAnsi="Arial"/>
          <w:sz w:val="17"/>
          <w:szCs w:val="17"/>
          <w:color w:val="auto"/>
        </w:rPr>
      </w:pPr>
    </w:p>
    <w:p>
      <w:pPr>
        <w:ind w:left="660"/>
        <w:spacing w:after="0" w:line="259" w:lineRule="auto"/>
        <w:rPr>
          <w:rFonts w:ascii="Arial" w:cs="Arial" w:eastAsia="Arial" w:hAnsi="Arial"/>
          <w:sz w:val="17"/>
          <w:szCs w:val="17"/>
          <w:color w:val="auto"/>
        </w:rPr>
      </w:pPr>
      <w:r>
        <w:rPr>
          <w:rFonts w:ascii="Arial" w:cs="Arial" w:eastAsia="Arial" w:hAnsi="Arial"/>
          <w:sz w:val="18"/>
          <w:szCs w:val="18"/>
          <w:color w:val="auto"/>
        </w:rPr>
        <w:t>Patient data generated during Pressure-Enabled Regional Immuno-Oncology™ (PERIO) clinical trials support the hypothesis that SD-101 delivered via PEDD may have favorable immune effects within the liver and systemically. Currently SD-101 is being studied in three clinical trials for patients with uveal melanoma with liver metastases, intrahepatic cholangiocarcinoma, hepatocellular carcinoma, and pancreatic ductal adenocarcinoma.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7" w:name="page358"/>
    <w:bookmarkEnd w:id="357"/>
    <w:p>
      <w:pPr>
        <w:ind w:left="660" w:right="40"/>
        <w:spacing w:after="0" w:line="257" w:lineRule="auto"/>
        <w:rPr>
          <w:sz w:val="20"/>
          <w:szCs w:val="20"/>
          <w:color w:val="auto"/>
        </w:rPr>
      </w:pPr>
      <w:r>
        <w:rPr>
          <w:rFonts w:ascii="Arial" w:cs="Arial" w:eastAsia="Arial" w:hAnsi="Arial"/>
          <w:sz w:val="18"/>
          <w:szCs w:val="18"/>
          <w:color w:val="auto"/>
        </w:rPr>
        <w:t>In the studies reported to date, SD-101 in combination with systemic checkpoint inhibition and delivered with PEDD, achieved high concentrations in the liver with minimal systemic exposure and was well tolerated based on a low SD-101 treatment related serious adverse event rate of 5%, and resulted in immune cell activation and natural killer cell expansion. The immune effects in liver metastases and the blood are consistent with broad tumor microenvironment modulation and the ability of SD-101 to deplete MDSCs in the liver. These findings were highlighted during an oral discussion session at ASCO 2023.</w:t>
      </w:r>
    </w:p>
    <w:p>
      <w:pPr>
        <w:spacing w:after="0" w:line="188"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Additional Phase 1 data readouts for the PERIO clinical trial program are planned in the fourth quarter of 2023 and a Phase 2 trial is scheduled to be initiated in the second half of 2023.</w:t>
      </w:r>
    </w:p>
    <w:p>
      <w:pPr>
        <w:spacing w:after="0" w:line="166" w:lineRule="exact"/>
        <w:rPr>
          <w:sz w:val="20"/>
          <w:szCs w:val="20"/>
          <w:color w:val="auto"/>
        </w:rPr>
      </w:pPr>
    </w:p>
    <w:p>
      <w:pPr>
        <w:ind w:left="660" w:right="60" w:hanging="328"/>
        <w:spacing w:after="0" w:line="266" w:lineRule="auto"/>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 xml:space="preserve">Well Positioned with Cash Runway: </w:t>
      </w:r>
      <w:r>
        <w:rPr>
          <w:rFonts w:ascii="Arial" w:cs="Arial" w:eastAsia="Arial" w:hAnsi="Arial"/>
          <w:sz w:val="18"/>
          <w:szCs w:val="18"/>
          <w:color w:val="auto"/>
        </w:rPr>
        <w:t>Proceeds raised in connection with the merger with MedTech, including proceeds from the recently closed</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placement transaction and amounts remaining in the MedTech trust account, along with cash on hand, provides a cash runway through mid-2024 to fund key milestones.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color w:val="auto"/>
        </w:rPr>
        <w:t>Cooley LLP is acting as legal counsel to TriSalus. Raymond James is acting as exclusive financial advisor to MedTech and as the sole placement agent on the convertible offering, and Paul Hastings LLP is serving as legal counsel to the placement agent. Foley &amp; Lardner LLP is acting as legal counsel to MedTech.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Patients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the clinical trial treatment protocol and enrollment, visit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http://www.periotrial.com or http://www.clinicaltrials.gov and search NCT04935229, NCT05220722, and NCT05607953.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press@trisaluslifesci.com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Aaron Palash / Allison Sobel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+1 212 355 4449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TriSalus Life Sciences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TriSalus Life Sciences® is an oncology company integrating novel delivery technology with immunotherapy to transform treatment for patients with liver and pancreatic tumors.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platform includes devices that utilize a proprietary drug delivery technology and a clinical stage investigational immunotherapy. The Company’s two FDA-cleared devices use its proprietary Pressure-Enabled Drug Delivery™ (PEDD) approach to deliver a range of therapeutics: the TriNav® Infusion System for hepatic arterial infusion of liver tumors and the Pancreatic Retrograde Venous Infusion System for pancreatic tumors. PEDD is a novel delivery approach designed to address the anatomic limitations of arterial infusion for the pancreas. The PEDD approach modulates pressure and flow in a manner that delivers more therapeutic to the tumor and is designed to reduce undesired delivery to normal tissue, bringing the potential to improve patient outcomes. SD-101, the Company’s investigational immunotherapeutic candidate, is designed to improve patient outcomes by treating the immunosuppressive environment created by many tumors and which can make current immunotherapies ineffective in the liver and pancreas. Patient data generated during Pressure-Enabled Regional Immuno-Oncology™ (PERIO) clinical trials support the hypothesis that SD-101 delivered via PEDD may have favorable immune effects within the liver and systemically.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58" w:name="page359"/>
    <w:bookmarkEnd w:id="358"/>
    <w:p>
      <w:pPr>
        <w:spacing w:after="0"/>
        <w:rPr>
          <w:sz w:val="20"/>
          <w:szCs w:val="20"/>
          <w:color w:val="auto"/>
        </w:rPr>
      </w:pPr>
      <w:r>
        <w:rPr>
          <w:rFonts w:ascii="Arial" w:cs="Arial" w:eastAsia="Arial" w:hAnsi="Arial"/>
          <w:sz w:val="16"/>
          <w:szCs w:val="16"/>
          <w:color w:val="auto"/>
        </w:rPr>
        <w:t>In partnership with leading cancer centers across the country – and by leveraging deep immuno-oncology expertise and inventive technology development</w:t>
      </w:r>
    </w:p>
    <w:p>
      <w:pPr>
        <w:spacing w:after="0" w:line="46" w:lineRule="exact"/>
        <w:rPr>
          <w:sz w:val="20"/>
          <w:szCs w:val="20"/>
          <w:color w:val="auto"/>
        </w:rPr>
      </w:pPr>
    </w:p>
    <w:p>
      <w:pPr>
        <w:ind w:right="1820"/>
        <w:spacing w:after="0" w:line="260" w:lineRule="auto"/>
        <w:rPr>
          <w:sz w:val="20"/>
          <w:szCs w:val="20"/>
          <w:color w:val="auto"/>
        </w:rPr>
      </w:pPr>
      <w:r>
        <w:rPr>
          <w:rFonts w:ascii="Arial" w:cs="Arial" w:eastAsia="Arial" w:hAnsi="Arial"/>
          <w:sz w:val="18"/>
          <w:szCs w:val="18"/>
          <w:color w:val="auto"/>
        </w:rPr>
        <w:t xml:space="preserve">– TriSalus is committed to advancing innovation that improves outcomes for patients. Learn more at </w:t>
      </w:r>
      <w:r>
        <w:rPr>
          <w:rFonts w:ascii="Arial" w:cs="Arial" w:eastAsia="Arial" w:hAnsi="Arial"/>
          <w:sz w:val="18"/>
          <w:szCs w:val="18"/>
          <w:u w:val="single" w:color="auto"/>
          <w:color w:val="auto"/>
        </w:rPr>
        <w:t>trisaluslifesci.com</w:t>
      </w:r>
      <w:r>
        <w:rPr>
          <w:rFonts w:ascii="Arial" w:cs="Arial" w:eastAsia="Arial" w:hAnsi="Arial"/>
          <w:sz w:val="18"/>
          <w:szCs w:val="18"/>
          <w:color w:val="auto"/>
        </w:rPr>
        <w:t xml:space="preserve"> and follow us on Twitter </w:t>
      </w:r>
      <w:r>
        <w:rPr>
          <w:rFonts w:ascii="Arial" w:cs="Arial" w:eastAsia="Arial" w:hAnsi="Arial"/>
          <w:sz w:val="18"/>
          <w:szCs w:val="18"/>
          <w:u w:val="single" w:color="auto"/>
          <w:color w:val="auto"/>
        </w:rPr>
        <w:t>@TriSalusLifeSci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LinkedIn</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Certain statements in this communication may be considered forward-looking statements, including but not limited to statements regarding the Company’s revenue expectations for 2023, the Company’s expectations that the proceeds from the business combination and related transactions provide a cash runway through 2024 and the potential to deploy SD-101 into multiple indications across multiple lines of therapy. Forward-looking statements generally relate to future events and can be identified by terminology such as “aim”, “may”, “should”, “could”, “might”, “plan”, “possible”, “project”, “strive”, “budget”, “forecast”, “expect”, “intend”, “will”, “estimate”, “anticipate”, “believe”, “predict”, “potential”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 These forward-looking statements are based upon estimates and assumptions that, while considered reasonable by MedTech and its management, and TriSalus and its management, as the case may be, are inherently uncertain. Factors that may cause actual results to differ materially from current expectations include, but are not limited to: the risk that the Business Combination disrupts current plans and operations of TriSalus; the outcome of any legal proceedings that may be instituted against TriSalus or MedTech related to the Merger Agreement, or the Business Combination; changes in business, market, financial, political and legal conditions; unfavorable changes in the reimbursement environment for TriSalus’ products; TriSalus’ product candidates not achieving success in preclinical or clinical trials or not being able to obtain regulatory approval, either on a timely basis or at all or subject to any conditions that negatively impact TriSalus’ ability to commercialize the applicable product candidates; TriSalus being unable to continue to grow TriNav sales; the size of the addressable markets for TriNav and SD-101, if successfully developed and approved by the applicable regulatory authorities, being less than TriSalus currently estimates; TriSalus’ ability to successfully commercialize any product candidates that it successfully develops and that are approved by applicable regulatory authorities; TriSalus’ ability to continue to fund preclinical and clinical trials for SD-101; TriSalus’ ability to partner with other companies; future economic and market conditions; the development, effects and enforcement of laws and regulations affecting TriSalus’ business or industry; TriSalus’ ability to manage future growth; TriSalus’ ability to maintain and grow its market share; the effects of competition on TriSalus’ business; the ability to implement business plans, forecasts and other expectations, and identify and realize additional opportunities; the failure to realize the anticipated benefits of the Business Combination or to realize estimated pro forma results and the underlying assumptions; and other risks and uncertainties set forth in the section entitled “Risk Factors” and “Cautionary Note Regarding Forward-Looking Statements” in the registration on Form S-4 and other documents filed by the Company from time to time with the Securities and Exchange Commission. The foregoing list of factors is not exclusive.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The Company does not give any assurance that it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9E21B5"/>
    <w:multiLevelType w:val="hybridMultilevel"/>
    <w:lvl w:ilvl="0">
      <w:lvlJc w:val="left"/>
      <w:lvlText w:val="(%1)"/>
      <w:numFmt w:val="lowerRoman"/>
      <w:start w:val="2"/>
    </w:lvl>
  </w:abstractNum>
  <w:abstractNum w:abstractNumId="1">
    <w:nsid w:val="69E373"/>
    <w:multiLevelType w:val="hybridMultilevel"/>
    <w:lvl w:ilvl="0">
      <w:lvlJc w:val="left"/>
      <w:lvlText w:val="•"/>
      <w:numFmt w:val="bullet"/>
      <w:start w:val="1"/>
    </w:lvl>
  </w:abstractNum>
  <w:abstractNum w:abstractNumId="2">
    <w:nsid w:val="2C27173B"/>
    <w:multiLevelType w:val="hybridMultilevel"/>
    <w:lvl w:ilvl="0">
      <w:lvlJc w:val="left"/>
      <w:lvlText w:val="•"/>
      <w:numFmt w:val="bullet"/>
      <w:start w:val="1"/>
    </w:lvl>
    <w:lvl w:ilvl="1">
      <w:lvlJc w:val="left"/>
      <w:lvlText w:val="o"/>
      <w:numFmt w:val="bullet"/>
      <w:start w:val="1"/>
    </w:lvl>
  </w:abstractNum>
  <w:abstractNum w:abstractNumId="3">
    <w:nsid w:val="4C9B0904"/>
    <w:multiLevelType w:val="hybridMultilevel"/>
    <w:lvl w:ilvl="0">
      <w:lvlJc w:val="left"/>
      <w:lvlText w:val="•"/>
      <w:numFmt w:val="bullet"/>
      <w:start w:val="1"/>
    </w:lvl>
  </w:abstractNum>
  <w:abstractNum w:abstractNumId="4">
    <w:nsid w:val="6AA7B75C"/>
    <w:multiLevelType w:val="hybridMultilevel"/>
    <w:lvl w:ilvl="0">
      <w:lvlJc w:val="left"/>
      <w:lvlText w:val="*"/>
      <w:numFmt w:val="bullet"/>
      <w:start w:val="1"/>
    </w:lvl>
    <w:lvl w:ilvl="1">
      <w:lvlJc w:val="left"/>
      <w:lvlText w:val="(%2)"/>
      <w:numFmt w:val="decimal"/>
      <w:start w:val="1"/>
    </w:lvl>
  </w:abstractNum>
  <w:abstractNum w:abstractNumId="5">
    <w:nsid w:val="1DF029D3"/>
    <w:multiLevelType w:val="hybridMultilevel"/>
    <w:lvl w:ilvl="0">
      <w:lvlJc w:val="left"/>
      <w:lvlText w:val="(%1)"/>
      <w:numFmt w:val="decimal"/>
      <w:start w:val="9"/>
    </w:lvl>
    <w:lvl w:ilvl="1">
      <w:lvlJc w:val="left"/>
      <w:lvlText w:val="(%2)"/>
      <w:numFmt w:val="lowerRoman"/>
      <w:start w:val="4"/>
    </w:lvl>
  </w:abstractNum>
  <w:abstractNum w:abstractNumId="6">
    <w:nsid w:val="5675FF36"/>
    <w:multiLevelType w:val="hybridMultilevel"/>
    <w:lvl w:ilvl="0">
      <w:lvlJc w:val="left"/>
      <w:lvlText w:val="%1"/>
      <w:numFmt w:val="decimal"/>
      <w:start w:val="1"/>
    </w:lvl>
    <w:lvl w:ilvl="1">
      <w:lvlJc w:val="left"/>
      <w:lvlText w:val="(%2)"/>
      <w:numFmt w:val="lowerRoman"/>
      <w:start w:val="5"/>
    </w:lvl>
  </w:abstractNum>
  <w:abstractNum w:abstractNumId="7">
    <w:nsid w:val="3DD15094"/>
    <w:multiLevelType w:val="hybridMultilevel"/>
    <w:lvl w:ilvl="0">
      <w:lvlJc w:val="left"/>
      <w:lvlText w:val="+"/>
      <w:numFmt w:val="bullet"/>
      <w:start w:val="1"/>
    </w:lvl>
  </w:abstractNum>
  <w:abstractNum w:abstractNumId="8">
    <w:nsid w:val="3DB012B3"/>
    <w:multiLevelType w:val="hybridMultilevel"/>
    <w:lvl w:ilvl="0">
      <w:lvlJc w:val="left"/>
      <w:lvlText w:val="#"/>
      <w:numFmt w:val="bullet"/>
      <w:start w:val="1"/>
    </w:lvl>
  </w:abstractNum>
  <w:abstractNum w:abstractNumId="9">
    <w:nsid w:val="2708C9AF"/>
    <w:multiLevelType w:val="hybridMultilevel"/>
    <w:lvl w:ilvl="0">
      <w:lvlJc w:val="left"/>
      <w:lvlText w:val="*"/>
      <w:numFmt w:val="bullet"/>
      <w:start w:val="1"/>
    </w:lvl>
  </w:abstractNum>
  <w:abstractNum w:abstractNumId="10">
    <w:nsid w:val="5B25ACE2"/>
    <w:multiLevelType w:val="hybridMultilevel"/>
    <w:lvl w:ilvl="0">
      <w:lvlJc w:val="left"/>
      <w:lvlText w:val="%1."/>
      <w:numFmt w:val="decimal"/>
      <w:start w:val="1"/>
    </w:lvl>
  </w:abstractNum>
  <w:abstractNum w:abstractNumId="11">
    <w:nsid w:val="175DFCF0"/>
    <w:multiLevelType w:val="hybridMultilevel"/>
    <w:lvl w:ilvl="0">
      <w:lvlJc w:val="left"/>
      <w:lvlText w:val="%1."/>
      <w:numFmt w:val="upperLetter"/>
      <w:start w:val="1"/>
    </w:lvl>
  </w:abstractNum>
  <w:abstractNum w:abstractNumId="12">
    <w:nsid w:val="4F97E3E4"/>
    <w:multiLevelType w:val="hybridMultilevel"/>
    <w:lvl w:ilvl="0">
      <w:lvlJc w:val="left"/>
      <w:lvlText w:val="%1."/>
      <w:numFmt w:val="upperLetter"/>
      <w:start w:val="2"/>
    </w:lvl>
  </w:abstractNum>
  <w:abstractNum w:abstractNumId="13">
    <w:nsid w:val="53B0A9E"/>
    <w:multiLevelType w:val="hybridMultilevel"/>
    <w:lvl w:ilvl="0">
      <w:lvlJc w:val="left"/>
      <w:lvlText w:val="%1."/>
      <w:numFmt w:val="upperLetter"/>
      <w:start w:val="3"/>
    </w:lvl>
    <w:lvl w:ilvl="1">
      <w:lvlJc w:val="left"/>
      <w:lvlText w:val="%2."/>
      <w:numFmt w:val="decimal"/>
      <w:start w:val="1"/>
    </w:lvl>
  </w:abstractNum>
  <w:abstractNum w:abstractNumId="14">
    <w:nsid w:val="34FD6B4F"/>
    <w:multiLevelType w:val="hybridMultilevel"/>
    <w:lvl w:ilvl="0">
      <w:lvlJc w:val="left"/>
      <w:lvlText w:val="%1."/>
      <w:numFmt w:val="upperLetter"/>
      <w:start w:val="7"/>
    </w:lvl>
    <w:lvl w:ilvl="1">
      <w:lvlJc w:val="left"/>
      <w:lvlText w:val="%2."/>
      <w:numFmt w:val="decimal"/>
      <w:start w:val="1"/>
    </w:lvl>
  </w:abstractNum>
  <w:abstractNum w:abstractNumId="15">
    <w:nsid w:val="5915FF32"/>
    <w:multiLevelType w:val="hybridMultilevel"/>
    <w:lvl w:ilvl="0">
      <w:lvlJc w:val="left"/>
      <w:lvlText w:val="%1."/>
      <w:numFmt w:val="upperLetter"/>
      <w:start w:val="1"/>
    </w:lvl>
  </w:abstractNum>
  <w:abstractNum w:abstractNumId="16">
    <w:nsid w:val="56438D15"/>
    <w:multiLevelType w:val="hybridMultilevel"/>
    <w:lvl w:ilvl="0">
      <w:lvlJc w:val="left"/>
      <w:lvlText w:val="%1."/>
      <w:numFmt w:val="upperLetter"/>
      <w:start w:val="2"/>
    </w:lvl>
  </w:abstractNum>
  <w:abstractNum w:abstractNumId="17">
    <w:nsid w:val="519E3149"/>
    <w:multiLevelType w:val="hybridMultilevel"/>
    <w:lvl w:ilvl="0">
      <w:lvlJc w:val="left"/>
      <w:lvlText w:val="%1."/>
      <w:numFmt w:val="upperLetter"/>
      <w:start w:val="1"/>
    </w:lvl>
  </w:abstractNum>
  <w:abstractNum w:abstractNumId="18">
    <w:nsid w:val="2C6E4AFD"/>
    <w:multiLevelType w:val="hybridMultilevel"/>
    <w:lvl w:ilvl="0">
      <w:lvlJc w:val="left"/>
      <w:lvlText w:val="%1."/>
      <w:numFmt w:val="upperLetter"/>
      <w:start w:val="1"/>
    </w:lvl>
  </w:abstractNum>
  <w:abstractNum w:abstractNumId="19">
    <w:nsid w:val="17A1B582"/>
    <w:multiLevelType w:val="hybridMultilevel"/>
    <w:lvl w:ilvl="0">
      <w:lvlJc w:val="left"/>
      <w:lvlText w:val="(%1)"/>
      <w:numFmt w:val="upperLetter"/>
      <w:start w:val="7"/>
    </w:lvl>
  </w:abstractNum>
  <w:abstractNum w:abstractNumId="20">
    <w:nsid w:val="4DF72E4E"/>
    <w:multiLevelType w:val="hybridMultilevel"/>
    <w:lvl w:ilvl="0">
      <w:lvlJc w:val="left"/>
      <w:lvlText w:val="(%1)"/>
      <w:numFmt w:val="lowerRoman"/>
      <w:start w:val="3"/>
    </w:lvl>
  </w:abstractNum>
  <w:abstractNum w:abstractNumId="21">
    <w:nsid w:val="5046B5A9"/>
    <w:multiLevelType w:val="hybridMultilevel"/>
    <w:lvl w:ilvl="0">
      <w:lvlJc w:val="left"/>
      <w:lvlText w:val="(%1)"/>
      <w:numFmt w:val="upperLetter"/>
      <w:start w:val="1"/>
    </w:lvl>
  </w:abstractNum>
  <w:abstractNum w:abstractNumId="22">
    <w:nsid w:val="5D888A08"/>
    <w:multiLevelType w:val="hybridMultilevel"/>
    <w:lvl w:ilvl="0">
      <w:lvlJc w:val="left"/>
      <w:lvlText w:val="(%1)"/>
      <w:numFmt w:val="lowerLetter"/>
      <w:start w:val="1"/>
    </w:lvl>
  </w:abstractNum>
  <w:abstractNum w:abstractNumId="23">
    <w:nsid w:val="2A082C70"/>
    <w:multiLevelType w:val="hybridMultilevel"/>
    <w:lvl w:ilvl="0">
      <w:lvlJc w:val="left"/>
      <w:lvlText w:val="(%1)"/>
      <w:numFmt w:val="lowerRoman"/>
      <w:start w:val="1"/>
    </w:lvl>
  </w:abstractNum>
  <w:abstractNum w:abstractNumId="24">
    <w:nsid w:val="5EC6AFD4"/>
    <w:multiLevelType w:val="hybridMultilevel"/>
    <w:lvl w:ilvl="0">
      <w:lvlJc w:val="left"/>
      <w:lvlText w:val="(%1)"/>
      <w:numFmt w:val="lowerLetter"/>
      <w:start w:val="1"/>
    </w:lvl>
  </w:abstractNum>
  <w:abstractNum w:abstractNumId="25">
    <w:nsid w:val="19E21BB2"/>
    <w:multiLevelType w:val="hybridMultilevel"/>
    <w:lvl w:ilvl="0">
      <w:lvlJc w:val="left"/>
      <w:lvlText w:val="(%1)"/>
      <w:numFmt w:val="lowerLetter"/>
      <w:start w:val="2"/>
    </w:lvl>
    <w:lvl w:ilvl="1">
      <w:lvlJc w:val="left"/>
      <w:lvlText w:val="(%2)"/>
      <w:numFmt w:val="lowerRoman"/>
      <w:start w:val="1"/>
    </w:lvl>
  </w:abstractNum>
  <w:abstractNum w:abstractNumId="26">
    <w:nsid w:val="75E0858A"/>
    <w:multiLevelType w:val="hybridMultilevel"/>
    <w:lvl w:ilvl="0">
      <w:lvlJc w:val="left"/>
      <w:lvlText w:val="(%1)"/>
      <w:numFmt w:val="lowerLetter"/>
      <w:start w:val="1"/>
    </w:lvl>
    <w:lvl w:ilvl="1">
      <w:lvlJc w:val="left"/>
      <w:lvlText w:val="(%2)"/>
      <w:numFmt w:val="lowerRoman"/>
      <w:start w:val="1"/>
    </w:lvl>
  </w:abstractNum>
  <w:abstractNum w:abstractNumId="27">
    <w:nsid w:val="57A61A29"/>
    <w:multiLevelType w:val="hybridMultilevel"/>
    <w:lvl w:ilvl="0">
      <w:lvlJc w:val="left"/>
      <w:lvlText w:val="%1"/>
      <w:numFmt w:val="lowerLetter"/>
      <w:start w:val="1"/>
    </w:lvl>
    <w:lvl w:ilvl="1">
      <w:lvlJc w:val="left"/>
      <w:lvlText w:val="(%2)"/>
      <w:numFmt w:val="lowerRoman"/>
      <w:start w:val="3"/>
    </w:lvl>
  </w:abstractNum>
  <w:abstractNum w:abstractNumId="28">
    <w:nsid w:val="5399C654"/>
    <w:multiLevelType w:val="hybridMultilevel"/>
    <w:lvl w:ilvl="0">
      <w:lvlJc w:val="left"/>
      <w:lvlText w:val="(%1)"/>
      <w:numFmt w:val="lowerLetter"/>
      <w:start w:val="2"/>
    </w:lvl>
    <w:lvl w:ilvl="1">
      <w:lvlJc w:val="left"/>
      <w:lvlText w:val="%2"/>
      <w:numFmt w:val="lowerRoman"/>
      <w:start w:val="1"/>
    </w:lvl>
  </w:abstractNum>
  <w:abstractNum w:abstractNumId="29">
    <w:nsid w:val="20EE1348"/>
    <w:multiLevelType w:val="hybridMultilevel"/>
    <w:lvl w:ilvl="0">
      <w:lvlJc w:val="left"/>
      <w:lvlText w:val="(%1)"/>
      <w:numFmt w:val="lowerLetter"/>
      <w:start w:val="1"/>
    </w:lvl>
  </w:abstractNum>
  <w:abstractNum w:abstractNumId="30">
    <w:nsid w:val="4427069A"/>
    <w:multiLevelType w:val="hybridMultilevel"/>
    <w:lvl w:ilvl="0">
      <w:lvlJc w:val="left"/>
      <w:lvlText w:val="(%1)"/>
      <w:numFmt w:val="lowerLetter"/>
      <w:start w:val="1"/>
    </w:lvl>
    <w:lvl w:ilvl="1">
      <w:lvlJc w:val="left"/>
      <w:lvlText w:val="(%2)"/>
      <w:numFmt w:val="lowerRoman"/>
      <w:start w:val="1"/>
    </w:lvl>
  </w:abstractNum>
  <w:abstractNum w:abstractNumId="31">
    <w:nsid w:val="B37E80A"/>
    <w:multiLevelType w:val="hybridMultilevel"/>
    <w:lvl w:ilvl="0">
      <w:lvlJc w:val="left"/>
      <w:lvlText w:val="%1"/>
      <w:numFmt w:val="lowerLetter"/>
      <w:start w:val="1"/>
    </w:lvl>
    <w:lvl w:ilvl="1">
      <w:lvlJc w:val="left"/>
      <w:lvlText w:val="(%2)"/>
      <w:numFmt w:val="lowerRoman"/>
      <w:start w:val="4"/>
    </w:lvl>
  </w:abstractNum>
  <w:abstractNum w:abstractNumId="32">
    <w:nsid w:val="2157F6BC"/>
    <w:multiLevelType w:val="hybridMultilevel"/>
    <w:lvl w:ilvl="0">
      <w:lvlJc w:val="left"/>
      <w:lvlText w:val="(%1)"/>
      <w:numFmt w:val="lowerLetter"/>
      <w:start w:val="2"/>
    </w:lvl>
    <w:lvl w:ilvl="1">
      <w:lvlJc w:val="left"/>
      <w:lvlText w:val="(%2)"/>
      <w:numFmt w:val="lowerRoman"/>
      <w:start w:val="1"/>
    </w:lvl>
  </w:abstractNum>
  <w:abstractNum w:abstractNumId="33">
    <w:nsid w:val="704E1DD5"/>
    <w:multiLevelType w:val="hybridMultilevel"/>
    <w:lvl w:ilvl="0">
      <w:lvlJc w:val="left"/>
      <w:lvlText w:val="(%1)."/>
      <w:numFmt w:val="lowerLetter"/>
      <w:start w:val="61"/>
    </w:lvl>
    <w:lvl w:ilvl="1">
      <w:lvlJc w:val="left"/>
      <w:lvlText w:val="(%2)"/>
      <w:numFmt w:val="lowerRoman"/>
      <w:start w:val="3"/>
    </w:lvl>
  </w:abstractNum>
  <w:abstractNum w:abstractNumId="34">
    <w:nsid w:val="57D2F10E"/>
    <w:multiLevelType w:val="hybridMultilevel"/>
    <w:lvl w:ilvl="0">
      <w:lvlJc w:val="left"/>
      <w:lvlText w:val="%1"/>
      <w:numFmt w:val="lowerRoman"/>
      <w:start w:val="1"/>
    </w:lvl>
    <w:lvl w:ilvl="1">
      <w:lvlJc w:val="left"/>
      <w:lvlText w:val="(%2)"/>
      <w:numFmt w:val="lowerRoman"/>
      <w:start w:val="6"/>
    </w:lvl>
  </w:abstractNum>
  <w:abstractNum w:abstractNumId="35">
    <w:nsid w:val="BFFAE18"/>
    <w:multiLevelType w:val="hybridMultilevel"/>
    <w:lvl w:ilvl="0">
      <w:lvlJc w:val="left"/>
      <w:lvlText w:val="(%1)"/>
      <w:numFmt w:val="lowerRoman"/>
      <w:start w:val="2"/>
    </w:lvl>
    <w:lvl w:ilvl="1">
      <w:lvlJc w:val="left"/>
      <w:lvlText w:val="%2"/>
      <w:numFmt w:val="lowerRoman"/>
      <w:start w:val="1"/>
    </w:lvl>
  </w:abstractNum>
  <w:abstractNum w:abstractNumId="36">
    <w:nsid w:val="E3E47A8"/>
    <w:multiLevelType w:val="hybridMultilevel"/>
    <w:lvl w:ilvl="0">
      <w:lvlJc w:val="left"/>
      <w:lvlText w:val="(%1)"/>
      <w:numFmt w:val="lowerLetter"/>
      <w:start w:val="3"/>
    </w:lvl>
  </w:abstractNum>
  <w:abstractNum w:abstractNumId="37">
    <w:nsid w:val="2E48F044"/>
    <w:multiLevelType w:val="hybridMultilevel"/>
    <w:lvl w:ilvl="0">
      <w:lvlJc w:val="left"/>
      <w:lvlText w:val="(%1)"/>
      <w:numFmt w:val="lowerLetter"/>
      <w:start w:val="1"/>
    </w:lvl>
    <w:lvl w:ilvl="1">
      <w:lvlJc w:val="left"/>
      <w:lvlText w:val="(%2)"/>
      <w:numFmt w:val="lowerLetter"/>
      <w:start w:val="9"/>
    </w:lvl>
  </w:abstractNum>
  <w:abstractNum w:abstractNumId="38">
    <w:nsid w:val="49D0FEAC"/>
    <w:multiLevelType w:val="hybridMultilevel"/>
    <w:lvl w:ilvl="0">
      <w:lvlJc w:val="left"/>
      <w:lvlText w:val="(%1)"/>
      <w:numFmt w:val="lowerRoman"/>
      <w:start w:val="2"/>
    </w:lvl>
  </w:abstractNum>
  <w:abstractNum w:abstractNumId="39">
    <w:nsid w:val="4BEE5A5B"/>
    <w:multiLevelType w:val="hybridMultilevel"/>
    <w:lvl w:ilvl="0">
      <w:lvlJc w:val="left"/>
      <w:lvlText w:val="(%1)"/>
      <w:numFmt w:val="lowerRoman"/>
      <w:start w:val="3"/>
    </w:lvl>
  </w:abstractNum>
  <w:abstractNum w:abstractNumId="40">
    <w:nsid w:val="5551B9F3"/>
    <w:multiLevelType w:val="hybridMultilevel"/>
    <w:lvl w:ilvl="0">
      <w:lvlJc w:val="left"/>
      <w:lvlText w:val="%1"/>
      <w:numFmt w:val="lowerLetter"/>
      <w:start w:val="1"/>
    </w:lvl>
    <w:lvl w:ilvl="1">
      <w:lvlJc w:val="left"/>
      <w:lvlText w:val="(%2)"/>
      <w:numFmt w:val="lowerRoman"/>
      <w:start w:val="4"/>
    </w:lvl>
  </w:abstractNum>
  <w:abstractNum w:abstractNumId="41">
    <w:nsid w:val="24F6AB8E"/>
    <w:multiLevelType w:val="hybridMultilevel"/>
    <w:lvl w:ilvl="0">
      <w:lvlJc w:val="left"/>
      <w:lvlText w:val="(%1)"/>
      <w:numFmt w:val="lowerLetter"/>
      <w:start w:val="2"/>
    </w:lvl>
    <w:lvl w:ilvl="1">
      <w:lvlJc w:val="left"/>
      <w:lvlText w:val="(%2)"/>
      <w:numFmt w:val="lowerRoman"/>
      <w:start w:val="1"/>
    </w:lvl>
  </w:abstractNum>
  <w:abstractNum w:abstractNumId="42">
    <w:nsid w:val="634C574C"/>
    <w:multiLevelType w:val="hybridMultilevel"/>
    <w:lvl w:ilvl="0">
      <w:lvlJc w:val="left"/>
      <w:lvlText w:val="(%1)"/>
      <w:numFmt w:val="lowerLetter"/>
      <w:start w:val="4"/>
    </w:lvl>
    <w:lvl w:ilvl="1">
      <w:lvlJc w:val="left"/>
      <w:lvlText w:val="(%2)"/>
      <w:numFmt w:val="lowerLetter"/>
      <w:start w:val="9"/>
    </w:lvl>
  </w:abstractNum>
  <w:abstractNum w:abstractNumId="43">
    <w:nsid w:val="24E99DD7"/>
    <w:multiLevelType w:val="hybridMultilevel"/>
    <w:lvl w:ilvl="0">
      <w:lvlJc w:val="left"/>
      <w:lvlText w:val="(%1)"/>
      <w:numFmt w:val="lowerLetter"/>
      <w:start w:val="9"/>
    </w:lvl>
    <w:lvl w:ilvl="1">
      <w:lvlJc w:val="left"/>
      <w:lvlText w:val="%2"/>
      <w:numFmt w:val="lowerLetter"/>
      <w:start w:val="1"/>
    </w:lvl>
  </w:abstractNum>
  <w:abstractNum w:abstractNumId="44">
    <w:nsid w:val="2A31B62D"/>
    <w:multiLevelType w:val="hybridMultilevel"/>
    <w:lvl w:ilvl="0">
      <w:lvlJc w:val="left"/>
      <w:lvlText w:val="(%1)"/>
      <w:numFmt w:val="lowerLetter"/>
      <w:start w:val="1"/>
    </w:lvl>
    <w:lvl w:ilvl="1">
      <w:lvlJc w:val="left"/>
      <w:lvlText w:val="(%2)"/>
      <w:numFmt w:val="lowerLetter"/>
      <w:start w:val="9"/>
    </w:lvl>
  </w:abstractNum>
  <w:abstractNum w:abstractNumId="45">
    <w:nsid w:val="1849C29B"/>
    <w:multiLevelType w:val="hybridMultilevel"/>
    <w:lvl w:ilvl="0">
      <w:lvlJc w:val="left"/>
      <w:lvlText w:val="(%1)"/>
      <w:numFmt w:val="lowerRoman"/>
      <w:start w:val="2"/>
    </w:lvl>
  </w:abstractNum>
  <w:abstractNum w:abstractNumId="46">
    <w:nsid w:val="7DFF9D09"/>
    <w:multiLevelType w:val="hybridMultilevel"/>
    <w:lvl w:ilvl="0">
      <w:lvlJc w:val="left"/>
      <w:lvlText w:val="(%1)"/>
      <w:numFmt w:val="lowerLetter"/>
      <w:start w:val="3"/>
    </w:lvl>
  </w:abstractNum>
  <w:abstractNum w:abstractNumId="47">
    <w:nsid w:val="754342"/>
    <w:multiLevelType w:val="hybridMultilevel"/>
    <w:lvl w:ilvl="0">
      <w:lvlJc w:val="left"/>
      <w:lvlText w:val="(%1)"/>
      <w:numFmt w:val="lowerLetter"/>
      <w:start w:val="1"/>
    </w:lvl>
  </w:abstractNum>
  <w:abstractNum w:abstractNumId="48">
    <w:nsid w:val="69E7F3E5"/>
    <w:multiLevelType w:val="hybridMultilevel"/>
    <w:lvl w:ilvl="0">
      <w:lvlJc w:val="left"/>
      <w:lvlText w:val="(%1)"/>
      <w:numFmt w:val="lowerLetter"/>
      <w:start w:val="5"/>
    </w:lvl>
  </w:abstractNum>
  <w:abstractNum w:abstractNumId="49">
    <w:nsid w:val="2A6DE806"/>
    <w:multiLevelType w:val="hybridMultilevel"/>
    <w:lvl w:ilvl="0">
      <w:lvlJc w:val="left"/>
      <w:lvlText w:val="(%1)"/>
      <w:numFmt w:val="lowerRoman"/>
      <w:start w:val="1"/>
    </w:lvl>
  </w:abstractNum>
  <w:abstractNum w:abstractNumId="50">
    <w:nsid w:val="1816F8C4"/>
    <w:multiLevelType w:val="hybridMultilevel"/>
    <w:lvl w:ilvl="0">
      <w:lvlJc w:val="left"/>
      <w:lvlText w:val="•"/>
      <w:numFmt w:val="bullet"/>
      <w:start w:val="1"/>
    </w:lvl>
  </w:abstractNum>
  <w:abstractNum w:abstractNumId="51">
    <w:nsid w:val="37DF2233"/>
    <w:multiLevelType w:val="hybridMultilevel"/>
    <w:lvl w:ilvl="0">
      <w:lvlJc w:val="left"/>
      <w:lvlText w:val="•"/>
      <w:numFmt w:val="bullet"/>
      <w:start w:val="1"/>
    </w:lvl>
  </w:abstractNum>
  <w:abstractNum w:abstractNumId="52">
    <w:nsid w:val="7AB49DAF"/>
    <w:multiLevelType w:val="hybridMultilevel"/>
    <w:lvl w:ilvl="0">
      <w:lvlJc w:val="left"/>
      <w:lvlText w:val="(%1)"/>
      <w:numFmt w:val="lowerRoman"/>
      <w:start w:val="3"/>
    </w:lvl>
  </w:abstractNum>
  <w:abstractNum w:abstractNumId="53">
    <w:nsid w:val="759F82CD"/>
    <w:multiLevelType w:val="hybridMultilevel"/>
    <w:lvl w:ilvl="0">
      <w:lvlJc w:val="left"/>
      <w:lvlText w:val="(%1)"/>
      <w:numFmt w:val="upperLetter"/>
      <w:start w:val="1"/>
    </w:lvl>
  </w:abstractNum>
  <w:abstractNum w:abstractNumId="54">
    <w:nsid w:val="61E74EA3"/>
    <w:multiLevelType w:val="hybridMultilevel"/>
    <w:lvl w:ilvl="0">
      <w:lvlJc w:val="left"/>
      <w:lvlText w:val="(%1)"/>
      <w:numFmt w:val="lowerRoman"/>
      <w:start w:val="3"/>
    </w:lvl>
  </w:abstractNum>
  <w:abstractNum w:abstractNumId="55">
    <w:nsid w:val="597B4D84"/>
    <w:multiLevelType w:val="hybridMultilevel"/>
    <w:lvl w:ilvl="0">
      <w:lvlJc w:val="left"/>
      <w:lvlText w:val="%1"/>
      <w:numFmt w:val="lowerLetter"/>
      <w:start w:val="1"/>
    </w:lvl>
    <w:lvl w:ilvl="1">
      <w:lvlJc w:val="left"/>
      <w:lvlText w:val="(%2)"/>
      <w:numFmt w:val="lowerLetter"/>
      <w:start w:val="1"/>
    </w:lvl>
  </w:abstractNum>
  <w:abstractNum w:abstractNumId="56">
    <w:nsid w:val="F819E7F"/>
    <w:multiLevelType w:val="hybridMultilevel"/>
    <w:lvl w:ilvl="0">
      <w:lvlJc w:val="left"/>
      <w:lvlText w:val="(%1)"/>
      <w:numFmt w:val="lowerLetter"/>
      <w:start w:val="61"/>
    </w:lvl>
    <w:lvl w:ilvl="1">
      <w:lvlJc w:val="left"/>
      <w:lvlText w:val="%2"/>
      <w:numFmt w:val="lowerLetter"/>
      <w:start w:val="1"/>
    </w:lvl>
  </w:abstractNum>
  <w:abstractNum w:abstractNumId="57">
    <w:nsid w:val="57C7D42D"/>
    <w:multiLevelType w:val="hybridMultilevel"/>
    <w:lvl w:ilvl="0">
      <w:lvlJc w:val="left"/>
      <w:lvlText w:val="(%1)"/>
      <w:numFmt w:val="lowerRoman"/>
      <w:start w:val="10"/>
    </w:lvl>
  </w:abstractNum>
  <w:abstractNum w:abstractNumId="58">
    <w:nsid w:val="312167AD"/>
    <w:multiLevelType w:val="hybridMultilevel"/>
    <w:lvl w:ilvl="0">
      <w:lvlJc w:val="left"/>
      <w:lvlText w:val="(%1)"/>
      <w:numFmt w:val="decimal"/>
      <w:start w:val="12"/>
    </w:lvl>
  </w:abstractNum>
  <w:abstractNum w:abstractNumId="59">
    <w:nsid w:val="631B64D4"/>
    <w:multiLevelType w:val="hybridMultilevel"/>
    <w:lvl w:ilvl="0">
      <w:lvlJc w:val="left"/>
      <w:lvlText w:val="(%1)"/>
      <w:numFmt w:val="decimal"/>
      <w:start w:val="12"/>
    </w:lvl>
  </w:abstractNum>
  <w:abstractNum w:abstractNumId="60">
    <w:nsid w:val="78B5E776"/>
    <w:multiLevelType w:val="hybridMultilevel"/>
    <w:lvl w:ilvl="0">
      <w:lvlJc w:val="left"/>
      <w:lvlText w:val="["/>
      <w:numFmt w:val="bullet"/>
      <w:start w:val="1"/>
    </w:lvl>
  </w:abstractNum>
  <w:abstractNum w:abstractNumId="61">
    <w:nsid w:val="75486E47"/>
    <w:multiLevelType w:val="hybridMultilevel"/>
    <w:lvl w:ilvl="0">
      <w:lvlJc w:val="left"/>
      <w:lvlText w:val="%1."/>
      <w:numFmt w:val="decimal"/>
      <w:start w:val="1"/>
    </w:lvl>
  </w:abstractNum>
  <w:abstractNum w:abstractNumId="62">
    <w:nsid w:val="6E534CDE"/>
    <w:multiLevelType w:val="hybridMultilevel"/>
    <w:lvl w:ilvl="0">
      <w:lvlJc w:val="left"/>
      <w:lvlText w:val="%1."/>
      <w:numFmt w:val="decimal"/>
      <w:start w:val="2"/>
    </w:lvl>
    <w:lvl w:ilvl="1">
      <w:lvlJc w:val="left"/>
      <w:lvlText w:val="%2."/>
      <w:numFmt w:val="upperLetter"/>
      <w:start w:val="1"/>
    </w:lvl>
  </w:abstractNum>
  <w:abstractNum w:abstractNumId="63">
    <w:nsid w:val="1A0DDE32"/>
    <w:multiLevelType w:val="hybridMultilevel"/>
    <w:lvl w:ilvl="0">
      <w:lvlJc w:val="left"/>
      <w:lvlText w:val="%1"/>
      <w:numFmt w:val="decimal"/>
      <w:start w:val="1"/>
    </w:lvl>
    <w:lvl w:ilvl="1">
      <w:lvlJc w:val="left"/>
      <w:lvlText w:val="%2."/>
      <w:numFmt w:val="upperLetter"/>
      <w:start w:val="4"/>
    </w:lvl>
  </w:abstractNum>
  <w:abstractNum w:abstractNumId="64">
    <w:nsid w:val="65968C1C"/>
    <w:multiLevelType w:val="hybridMultilevel"/>
    <w:lvl w:ilvl="0">
      <w:lvlJc w:val="left"/>
      <w:lvlText w:val="%1."/>
      <w:numFmt w:val="decimal"/>
      <w:start w:val="3"/>
    </w:lvl>
    <w:lvl w:ilvl="1">
      <w:lvlJc w:val="left"/>
      <w:lvlText w:val="%2."/>
      <w:numFmt w:val="upperLetter"/>
      <w:start w:val="1"/>
    </w:lvl>
  </w:abstractNum>
  <w:abstractNum w:abstractNumId="65">
    <w:nsid w:val="46263DEC"/>
    <w:multiLevelType w:val="hybridMultilevel"/>
    <w:lvl w:ilvl="0">
      <w:lvlJc w:val="left"/>
      <w:lvlText w:val="%1."/>
      <w:numFmt w:val="upperLetter"/>
      <w:start w:val="3"/>
    </w:lvl>
  </w:abstractNum>
  <w:abstractNum w:abstractNumId="66">
    <w:nsid w:val="260D8C4A"/>
    <w:multiLevelType w:val="hybridMultilevel"/>
    <w:lvl w:ilvl="0">
      <w:lvlJc w:val="left"/>
      <w:lvlText w:val="%1."/>
      <w:numFmt w:val="decimal"/>
      <w:start w:val="4"/>
    </w:lvl>
    <w:lvl w:ilvl="1">
      <w:lvlJc w:val="left"/>
      <w:lvlText w:val="%2."/>
      <w:numFmt w:val="upperLetter"/>
      <w:start w:val="1"/>
    </w:lvl>
  </w:abstractNum>
  <w:abstractNum w:abstractNumId="67">
    <w:nsid w:val="73D4D3C4"/>
    <w:multiLevelType w:val="hybridMultilevel"/>
    <w:lvl w:ilvl="0">
      <w:lvlJc w:val="left"/>
      <w:lvlText w:val="%1."/>
      <w:numFmt w:val="upperLetter"/>
      <w:start w:val="4"/>
    </w:lvl>
  </w:abstractNum>
  <w:abstractNum w:abstractNumId="68">
    <w:nsid w:val="746F2E30"/>
    <w:multiLevelType w:val="hybridMultilevel"/>
    <w:lvl w:ilvl="0">
      <w:lvlJc w:val="left"/>
      <w:lvlText w:val="%1."/>
      <w:numFmt w:val="decimal"/>
      <w:start w:val="6"/>
    </w:lvl>
  </w:abstractNum>
  <w:abstractNum w:abstractNumId="69">
    <w:nsid w:val="6FDE8AF6"/>
    <w:multiLevelType w:val="hybridMultilevel"/>
    <w:lvl w:ilvl="0">
      <w:lvlJc w:val="left"/>
      <w:lvlText w:val="%1."/>
      <w:numFmt w:val="decimal"/>
      <w:start w:val="7"/>
    </w:lvl>
  </w:abstractNum>
  <w:abstractNum w:abstractNumId="70">
    <w:nsid w:val="3FC32E20"/>
    <w:multiLevelType w:val="hybridMultilevel"/>
    <w:lvl w:ilvl="0">
      <w:lvlJc w:val="left"/>
      <w:lvlText w:val="%1"/>
      <w:numFmt w:val="lowerRoman"/>
      <w:start w:val="1"/>
    </w:lvl>
    <w:lvl w:ilvl="1">
      <w:lvlJc w:val="left"/>
      <w:lvlText w:val="%2."/>
      <w:numFmt w:val="decimal"/>
      <w:start w:val="8"/>
    </w:lvl>
  </w:abstractNum>
  <w:abstractNum w:abstractNumId="71">
    <w:nsid w:val="49C0E823"/>
    <w:multiLevelType w:val="hybridMultilevel"/>
    <w:lvl w:ilvl="0">
      <w:lvlJc w:val="left"/>
      <w:lvlText w:val="(%1)"/>
      <w:numFmt w:val="lowerRoman"/>
      <w:start w:val="3"/>
    </w:lvl>
    <w:lvl w:ilvl="1">
      <w:lvlJc w:val="left"/>
      <w:lvlText w:val="%2"/>
      <w:numFmt w:val="decimal"/>
      <w:start w:val="1"/>
    </w:lvl>
  </w:abstractNum>
  <w:abstractNum w:abstractNumId="72">
    <w:nsid w:val="14D53685"/>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73">
    <w:nsid w:val="230F856C"/>
    <w:multiLevelType w:val="hybridMultilevel"/>
    <w:lvl w:ilvl="0">
      <w:lvlJc w:val="left"/>
      <w:lvlText w:val="%1"/>
      <w:numFmt w:val="upperLetter"/>
      <w:start w:val="1"/>
    </w:lvl>
    <w:lvl w:ilvl="1">
      <w:lvlJc w:val="left"/>
      <w:lvlText w:val="(%2)"/>
      <w:numFmt w:val="decimal"/>
      <w:start w:val="2"/>
    </w:lvl>
  </w:abstractNum>
  <w:abstractNum w:abstractNumId="74">
    <w:nsid w:val="6EAA85FB"/>
    <w:multiLevelType w:val="hybridMultilevel"/>
    <w:lvl w:ilvl="0">
      <w:lvlJc w:val="left"/>
      <w:lvlText w:val="%1."/>
      <w:numFmt w:val="upperLetter"/>
      <w:start w:val="3"/>
    </w:lvl>
    <w:lvl w:ilvl="1">
      <w:lvlJc w:val="left"/>
      <w:lvlText w:val="%2"/>
      <w:numFmt w:val="decimal"/>
      <w:start w:val="1"/>
    </w:lvl>
  </w:abstractNum>
  <w:abstractNum w:abstractNumId="75">
    <w:nsid w:val="3F06ECB2"/>
    <w:multiLevelType w:val="hybridMultilevel"/>
    <w:lvl w:ilvl="0">
      <w:lvlJc w:val="left"/>
      <w:lvlText w:val="%1"/>
      <w:numFmt w:val="decimal"/>
      <w:start w:val="1"/>
    </w:lvl>
    <w:lvl w:ilvl="1">
      <w:lvlJc w:val="left"/>
      <w:lvlText w:val="%2."/>
      <w:numFmt w:val="upperLetter"/>
      <w:start w:val="4"/>
    </w:lvl>
  </w:abstractNum>
  <w:abstractNum w:abstractNumId="76">
    <w:nsid w:val="3B594807"/>
    <w:multiLevelType w:val="hybridMultilevel"/>
    <w:lvl w:ilvl="0">
      <w:lvlJc w:val="left"/>
      <w:lvlText w:val="%1."/>
      <w:numFmt w:val="decimal"/>
      <w:start w:val="9"/>
    </w:lvl>
    <w:lvl w:ilvl="1">
      <w:lvlJc w:val="left"/>
      <w:lvlText w:val="%2"/>
      <w:numFmt w:val="upperLetter"/>
      <w:start w:val="1"/>
    </w:lvl>
  </w:abstractNum>
  <w:abstractNum w:abstractNumId="77">
    <w:nsid w:val="6CAA2304"/>
    <w:multiLevelType w:val="hybridMultilevel"/>
    <w:lvl w:ilvl="0">
      <w:lvlJc w:val="left"/>
      <w:lvlText w:val="%1."/>
      <w:numFmt w:val="decimal"/>
      <w:start w:val="10"/>
    </w:lvl>
  </w:abstractNum>
  <w:abstractNum w:abstractNumId="78">
    <w:nsid w:val="3F7C2FF4"/>
    <w:multiLevelType w:val="hybridMultilevel"/>
    <w:lvl w:ilvl="0">
      <w:lvlJc w:val="left"/>
      <w:lvlText w:val="%1."/>
      <w:numFmt w:val="decimal"/>
      <w:start w:val="11"/>
    </w:lvl>
  </w:abstractNum>
  <w:abstractNum w:abstractNumId="79">
    <w:nsid w:val="25413BEC"/>
    <w:multiLevelType w:val="hybridMultilevel"/>
    <w:lvl w:ilvl="0">
      <w:lvlJc w:val="left"/>
      <w:lvlText w:val="%1."/>
      <w:numFmt w:val="decimal"/>
      <w:start w:val="12"/>
    </w:lvl>
    <w:lvl w:ilvl="1">
      <w:lvlJc w:val="left"/>
      <w:lvlText w:val="%2"/>
      <w:numFmt w:val="upperLetter"/>
      <w:start w:val="1"/>
    </w:lvl>
  </w:abstractNum>
  <w:abstractNum w:abstractNumId="80">
    <w:nsid w:val="17180B0B"/>
    <w:multiLevelType w:val="hybridMultilevel"/>
    <w:lvl w:ilvl="0">
      <w:lvlJc w:val="left"/>
      <w:lvlText w:val="%1."/>
      <w:numFmt w:val="upperLetter"/>
      <w:start w:val="2"/>
    </w:lvl>
  </w:abstractNum>
  <w:abstractNum w:abstractNumId="81">
    <w:nsid w:val="579328B9"/>
    <w:multiLevelType w:val="hybridMultilevel"/>
    <w:lvl w:ilvl="0">
      <w:lvlJc w:val="left"/>
      <w:lvlText w:val="%1."/>
      <w:numFmt w:val="decimal"/>
      <w:start w:val="13"/>
    </w:lvl>
    <w:lvl w:ilvl="1">
      <w:lvlJc w:val="left"/>
      <w:lvlText w:val="%2."/>
      <w:numFmt w:val="upperLetter"/>
      <w:start w:val="1"/>
    </w:lvl>
  </w:abstractNum>
  <w:abstractNum w:abstractNumId="82">
    <w:nsid w:val="5D205E20"/>
    <w:multiLevelType w:val="hybridMultilevel"/>
    <w:lvl w:ilvl="0">
      <w:lvlJc w:val="left"/>
      <w:lvlText w:val="%1."/>
      <w:numFmt w:val="decimal"/>
      <w:start w:val="14"/>
    </w:lvl>
  </w:abstractNum>
  <w:abstractNum w:abstractNumId="83">
    <w:nsid w:val="11CCA8BA"/>
    <w:multiLevelType w:val="hybridMultilevel"/>
    <w:lvl w:ilvl="0">
      <w:lvlJc w:val="left"/>
      <w:lvlText w:val="\ldblquote"/>
      <w:numFmt w:val="bullet"/>
      <w:start w:val="1"/>
    </w:lvl>
  </w:abstractNum>
  <w:abstractNum w:abstractNumId="84">
    <w:nsid w:val="4D32AB86"/>
    <w:multiLevelType w:val="hybridMultilevel"/>
    <w:lvl w:ilvl="0">
      <w:lvlJc w:val="left"/>
      <w:lvlText w:val="%1."/>
      <w:numFmt w:val="decimal"/>
      <w:start w:val="1"/>
    </w:lvl>
  </w:abstractNum>
  <w:abstractNum w:abstractNumId="85">
    <w:nsid w:val="3F07ACC3"/>
    <w:multiLevelType w:val="hybridMultilevel"/>
    <w:lvl w:ilvl="0">
      <w:lvlJc w:val="left"/>
      <w:lvlText w:val="%1."/>
      <w:numFmt w:val="decimal"/>
      <w:start w:val="1"/>
    </w:lvl>
    <w:lvl w:ilvl="1">
      <w:lvlJc w:val="left"/>
      <w:lvlText w:val="●"/>
      <w:numFmt w:val="bullet"/>
      <w:start w:val="1"/>
    </w:lvl>
  </w:abstractNum>
  <w:abstractNum w:abstractNumId="86">
    <w:nsid w:val="6B47F63E"/>
    <w:multiLevelType w:val="hybridMultilevel"/>
    <w:lvl w:ilvl="0">
      <w:lvlJc w:val="left"/>
      <w:lvlText w:val="%1."/>
      <w:numFmt w:val="decimal"/>
      <w:start w:val="2"/>
    </w:lvl>
  </w:abstractNum>
  <w:abstractNum w:abstractNumId="87">
    <w:nsid w:val="5CB44A05"/>
    <w:multiLevelType w:val="hybridMultilevel"/>
    <w:lvl w:ilvl="0">
      <w:lvlJc w:val="left"/>
      <w:lvlText w:val="(%1)"/>
      <w:numFmt w:val="lowerLetter"/>
      <w:start w:val="5"/>
    </w:lvl>
  </w:abstractNum>
  <w:abstractNum w:abstractNumId="88">
    <w:nsid w:val="16CF80F1"/>
    <w:multiLevelType w:val="hybridMultilevel"/>
    <w:lvl w:ilvl="0">
      <w:lvlJc w:val="left"/>
      <w:lvlText w:val="(%1)"/>
      <w:numFmt w:val="lowerLetter"/>
      <w:start w:val="9"/>
    </w:lvl>
    <w:lvl w:ilvl="1">
      <w:lvlJc w:val="left"/>
      <w:lvlText w:val="(%2)"/>
      <w:numFmt w:val="lowerLetter"/>
      <w:start w:val="10"/>
    </w:lvl>
  </w:abstractNum>
  <w:abstractNum w:abstractNumId="89">
    <w:nsid w:val="1C695DEC"/>
    <w:multiLevelType w:val="hybridMultilevel"/>
    <w:lvl w:ilvl="0">
      <w:lvlJc w:val="left"/>
      <w:lvlText w:val="(%1)"/>
      <w:numFmt w:val="lowerLetter"/>
      <w:start w:val="12"/>
    </w:lvl>
  </w:abstractNum>
  <w:abstractNum w:abstractNumId="90">
    <w:nsid w:val="3FCFAED9"/>
    <w:multiLevelType w:val="hybridMultilevel"/>
    <w:lvl w:ilvl="0">
      <w:lvlJc w:val="left"/>
      <w:lvlText w:val="(%1)"/>
      <w:numFmt w:val="lowerLetter"/>
      <w:start w:val="15"/>
    </w:lvl>
  </w:abstractNum>
  <w:abstractNum w:abstractNumId="91">
    <w:nsid w:val="F856867"/>
    <w:multiLevelType w:val="hybridMultilevel"/>
    <w:lvl w:ilvl="0">
      <w:lvlJc w:val="left"/>
      <w:lvlText w:val="(%1)"/>
      <w:numFmt w:val="lowerLetter"/>
      <w:start w:val="20"/>
    </w:lvl>
  </w:abstractNum>
  <w:abstractNum w:abstractNumId="92">
    <w:nsid w:val="11B1CC33"/>
    <w:multiLevelType w:val="hybridMultilevel"/>
    <w:lvl w:ilvl="0">
      <w:lvlJc w:val="left"/>
      <w:lvlText w:val="(%1)"/>
      <w:numFmt w:val="lowerRoman"/>
      <w:start w:val="5"/>
    </w:lvl>
  </w:abstractNum>
  <w:abstractNum w:abstractNumId="93">
    <w:nsid w:val="2E22FBB7"/>
    <w:multiLevelType w:val="hybridMultilevel"/>
    <w:lvl w:ilvl="0">
      <w:lvlJc w:val="left"/>
      <w:lvlText w:val="(%1)"/>
      <w:numFmt w:val="lowerRoman"/>
      <w:start w:val="10"/>
    </w:lvl>
  </w:abstractNum>
  <w:abstractNum w:abstractNumId="94">
    <w:nsid w:val="29934699"/>
    <w:multiLevelType w:val="hybridMultilevel"/>
    <w:lvl w:ilvl="0">
      <w:lvlJc w:val="left"/>
      <w:lvlText w:val="%1"/>
      <w:numFmt w:val="decimal"/>
      <w:start w:val="1"/>
    </w:lvl>
    <w:lvl w:ilvl="1">
      <w:lvlJc w:val="left"/>
      <w:lvlText w:val="(%2)"/>
      <w:numFmt w:val="lowerLetter"/>
      <w:start w:val="27"/>
    </w:lvl>
  </w:abstractNum>
  <w:abstractNum w:abstractNumId="95">
    <w:nsid w:val="77485850"/>
    <w:multiLevelType w:val="hybridMultilevel"/>
    <w:lvl w:ilvl="0">
      <w:lvlJc w:val="left"/>
      <w:lvlText w:val="%1."/>
      <w:numFmt w:val="decimal"/>
      <w:start w:val="3"/>
    </w:lvl>
    <w:lvl w:ilvl="1">
      <w:lvlJc w:val="left"/>
      <w:lvlText w:val="%2"/>
      <w:numFmt w:val="lowerLetter"/>
      <w:start w:val="1"/>
    </w:lvl>
  </w:abstractNum>
  <w:abstractNum w:abstractNumId="96">
    <w:nsid w:val="744939A3"/>
    <w:multiLevelType w:val="hybridMultilevel"/>
    <w:lvl w:ilvl="0">
      <w:lvlJc w:val="left"/>
      <w:lvlText w:val="%1."/>
      <w:numFmt w:val="decimal"/>
      <w:start w:val="4"/>
    </w:lvl>
    <w:lvl w:ilvl="1">
      <w:lvlJc w:val="left"/>
      <w:lvlText w:val="(%2)"/>
      <w:numFmt w:val="lowerLetter"/>
      <w:start w:val="1"/>
    </w:lvl>
  </w:abstractNum>
  <w:abstractNum w:abstractNumId="97">
    <w:nsid w:val="4FA0D2E3"/>
    <w:multiLevelType w:val="hybridMultilevel"/>
    <w:lvl w:ilvl="0">
      <w:lvlJc w:val="left"/>
      <w:lvlText w:val="(%1)"/>
      <w:numFmt w:val="lowerRoman"/>
      <w:start w:val="1"/>
    </w:lvl>
  </w:abstractNum>
  <w:abstractNum w:abstractNumId="98">
    <w:nsid w:val="6B1D2C14"/>
    <w:multiLevelType w:val="hybridMultilevel"/>
    <w:lvl w:ilvl="0">
      <w:lvlJc w:val="left"/>
      <w:lvlText w:val="%1."/>
      <w:numFmt w:val="decimal"/>
      <w:start w:val="6"/>
    </w:lvl>
  </w:abstractNum>
  <w:abstractNum w:abstractNumId="99">
    <w:nsid w:val="68B867D3"/>
    <w:multiLevelType w:val="hybridMultilevel"/>
    <w:lvl w:ilvl="0">
      <w:lvlJc w:val="left"/>
      <w:lvlText w:val="(%1)"/>
      <w:numFmt w:val="lowerLetter"/>
      <w:start w:val="5"/>
    </w:lvl>
  </w:abstractNum>
  <w:abstractNum w:abstractNumId="100">
    <w:nsid w:val="3F7F5DD9"/>
    <w:multiLevelType w:val="hybridMultilevel"/>
    <w:lvl w:ilvl="0">
      <w:lvlJc w:val="left"/>
      <w:lvlText w:val="(%1)"/>
      <w:numFmt w:val="decimal"/>
      <w:start w:val="4"/>
    </w:lvl>
    <w:lvl w:ilvl="1">
      <w:lvlJc w:val="left"/>
      <w:lvlText w:val="(%2)"/>
      <w:numFmt w:val="lowerLetter"/>
      <w:start w:val="6"/>
    </w:lvl>
  </w:abstractNum>
  <w:abstractNum w:abstractNumId="101">
    <w:nsid w:val="2AE05A34"/>
    <w:multiLevelType w:val="hybridMultilevel"/>
    <w:lvl w:ilvl="0">
      <w:lvlJc w:val="left"/>
      <w:lvlText w:val="%1."/>
      <w:numFmt w:val="decimal"/>
      <w:start w:val="7"/>
    </w:lvl>
  </w:abstractNum>
  <w:abstractNum w:abstractNumId="102">
    <w:nsid w:val="32794FF7"/>
    <w:multiLevelType w:val="hybridMultilevel"/>
    <w:lvl w:ilvl="0">
      <w:lvlJc w:val="left"/>
      <w:lvlText w:val="(%1)"/>
      <w:numFmt w:val="lowerRoman"/>
      <w:start w:val="2"/>
    </w:lvl>
  </w:abstractNum>
  <w:abstractNum w:abstractNumId="103">
    <w:nsid w:val="5454945E"/>
    <w:multiLevelType w:val="hybridMultilevel"/>
    <w:lvl w:ilvl="0">
      <w:lvlJc w:val="left"/>
      <w:lvlText w:val="%1."/>
      <w:numFmt w:val="decimal"/>
      <w:start w:val="8"/>
    </w:lvl>
  </w:abstractNum>
  <w:abstractNum w:abstractNumId="104">
    <w:nsid w:val="4DEFDFA0"/>
    <w:multiLevelType w:val="hybridMultilevel"/>
    <w:lvl w:ilvl="0">
      <w:lvlJc w:val="left"/>
      <w:lvlText w:val="%1."/>
      <w:numFmt w:val="decimal"/>
      <w:start w:val="9"/>
    </w:lvl>
  </w:abstractNum>
  <w:abstractNum w:abstractNumId="105">
    <w:nsid w:val="2123D5F2"/>
    <w:multiLevelType w:val="hybridMultilevel"/>
    <w:lvl w:ilvl="0">
      <w:lvlJc w:val="left"/>
      <w:lvlText w:val="%1."/>
      <w:numFmt w:val="decimal"/>
      <w:start w:val="12"/>
    </w:lvl>
  </w:abstractNum>
  <w:abstractNum w:abstractNumId="106">
    <w:nsid w:val="135B8110"/>
    <w:multiLevelType w:val="hybridMultilevel"/>
    <w:lvl w:ilvl="0">
      <w:lvlJc w:val="left"/>
      <w:lvlText w:val="%1."/>
      <w:numFmt w:val="decimal"/>
      <w:start w:val="13"/>
    </w:lvl>
  </w:abstractNum>
  <w:abstractNum w:abstractNumId="107">
    <w:nsid w:val="94927A8"/>
    <w:multiLevelType w:val="hybridMultilevel"/>
    <w:lvl w:ilvl="0">
      <w:lvlJc w:val="left"/>
      <w:lvlText w:val="%1."/>
      <w:numFmt w:val="decimal"/>
      <w:start w:val="14"/>
    </w:lvl>
  </w:abstractNum>
  <w:abstractNum w:abstractNumId="108">
    <w:nsid w:val="DCDF8F6"/>
    <w:multiLevelType w:val="hybridMultilevel"/>
    <w:lvl w:ilvl="0">
      <w:lvlJc w:val="left"/>
      <w:lvlText w:val="(%1)"/>
      <w:numFmt w:val="lowerRoman"/>
      <w:start w:val="3"/>
    </w:lvl>
  </w:abstractNum>
  <w:abstractNum w:abstractNumId="109">
    <w:nsid w:val="52D7B105"/>
    <w:multiLevelType w:val="hybridMultilevel"/>
    <w:lvl w:ilvl="0">
      <w:lvlJc w:val="left"/>
      <w:lvlText w:val="%1."/>
      <w:numFmt w:val="decimal"/>
      <w:start w:val="18"/>
    </w:lvl>
  </w:abstractNum>
  <w:abstractNum w:abstractNumId="110">
    <w:nsid w:val="2E8A6394"/>
    <w:multiLevelType w:val="hybridMultilevel"/>
    <w:lvl w:ilvl="0">
      <w:lvlJc w:val="left"/>
      <w:lvlText w:val="%1."/>
      <w:numFmt w:val="decimal"/>
      <w:start w:val="19"/>
    </w:lvl>
  </w:abstractNum>
  <w:abstractNum w:abstractNumId="111">
    <w:nsid w:val="24E60401"/>
    <w:multiLevelType w:val="hybridMultilevel"/>
    <w:lvl w:ilvl="0">
      <w:lvlJc w:val="left"/>
      <w:lvlText w:val="(%1)"/>
      <w:numFmt w:val="decimal"/>
      <w:start w:val="6"/>
    </w:lvl>
  </w:abstractNum>
  <w:abstractNum w:abstractNumId="112">
    <w:nsid w:val="2A6AD9BE"/>
    <w:multiLevelType w:val="hybridMultilevel"/>
    <w:lvl w:ilvl="0">
      <w:lvlJc w:val="left"/>
      <w:lvlText w:val="%1."/>
      <w:numFmt w:val="upperLetter"/>
      <w:start w:val="9"/>
    </w:lvl>
  </w:abstractNum>
  <w:abstractNum w:abstractNumId="113">
    <w:nsid w:val="BAAC1B4"/>
    <w:multiLevelType w:val="hybridMultilevel"/>
    <w:lvl w:ilvl="0">
      <w:lvlJc w:val="left"/>
      <w:lvlText w:val="(%1)"/>
      <w:numFmt w:val="lowerRoman"/>
      <w:start w:val="1"/>
    </w:lvl>
  </w:abstractNum>
  <w:abstractNum w:abstractNumId="114">
    <w:nsid w:val="36B2ACBC"/>
    <w:multiLevelType w:val="hybridMultilevel"/>
    <w:lvl w:ilvl="0">
      <w:lvlJc w:val="left"/>
      <w:lvlText w:val="%1."/>
      <w:numFmt w:val="upperLetter"/>
      <w:start w:val="35"/>
    </w:lvl>
    <w:lvl w:ilvl="1">
      <w:lvlJc w:val="left"/>
      <w:lvlText w:val="%2."/>
      <w:numFmt w:val="decimal"/>
      <w:start w:val="1"/>
    </w:lvl>
  </w:abstractNum>
  <w:abstractNum w:abstractNumId="115">
    <w:nsid w:val="779D8544"/>
    <w:multiLevelType w:val="hybridMultilevel"/>
    <w:lvl w:ilvl="0">
      <w:lvlJc w:val="left"/>
      <w:lvlText w:val="%1."/>
      <w:numFmt w:val="decimal"/>
      <w:start w:val="2"/>
    </w:lvl>
    <w:lvl w:ilvl="1">
      <w:lvlJc w:val="left"/>
      <w:lvlText w:val="(%2)"/>
      <w:numFmt w:val="lowerLetter"/>
      <w:start w:val="1"/>
    </w:lvl>
  </w:abstractNum>
  <w:abstractNum w:abstractNumId="116">
    <w:nsid w:val="4AB26E78"/>
    <w:multiLevelType w:val="hybridMultilevel"/>
    <w:lvl w:ilvl="0">
      <w:lvlJc w:val="left"/>
      <w:lvlText w:val="%1."/>
      <w:numFmt w:val="decimal"/>
      <w:start w:val="3"/>
    </w:lvl>
  </w:abstractNum>
  <w:abstractNum w:abstractNumId="117">
    <w:nsid w:val="21FAA2FA"/>
    <w:multiLevelType w:val="hybridMultilevel"/>
    <w:lvl w:ilvl="0">
      <w:lvlJc w:val="left"/>
      <w:lvlText w:val="%1."/>
      <w:numFmt w:val="decimal"/>
      <w:start w:val="5"/>
    </w:lvl>
    <w:lvl w:ilvl="1">
      <w:lvlJc w:val="left"/>
      <w:lvlText w:val="(%2)"/>
      <w:numFmt w:val="lowerLetter"/>
      <w:start w:val="1"/>
    </w:lvl>
  </w:abstractNum>
  <w:abstractNum w:abstractNumId="118">
    <w:nsid w:val="5451CF49"/>
    <w:multiLevelType w:val="hybridMultilevel"/>
    <w:lvl w:ilvl="0">
      <w:lvlJc w:val="left"/>
      <w:lvlText w:val="%1."/>
      <w:numFmt w:val="decimal"/>
      <w:start w:val="6"/>
    </w:lvl>
  </w:abstractNum>
  <w:abstractNum w:abstractNumId="119">
    <w:nsid w:val="6181EF69"/>
    <w:multiLevelType w:val="hybridMultilevel"/>
    <w:lvl w:ilvl="0">
      <w:lvlJc w:val="left"/>
      <w:lvlText w:val="(%1)"/>
      <w:numFmt w:val="lowerRoman"/>
      <w:start w:val="2"/>
    </w:lvl>
    <w:lvl w:ilvl="1">
      <w:lvlJc w:val="left"/>
      <w:lvlText w:val="%2."/>
      <w:numFmt w:val="decimal"/>
      <w:start w:val="8"/>
    </w:lvl>
  </w:abstractNum>
  <w:abstractNum w:abstractNumId="120">
    <w:nsid w:val="3E6400E6"/>
    <w:multiLevelType w:val="hybridMultilevel"/>
    <w:lvl w:ilvl="0">
      <w:lvlJc w:val="left"/>
      <w:lvlText w:val="%1."/>
      <w:numFmt w:val="decimal"/>
      <w:start w:val="9"/>
    </w:lvl>
    <w:lvl w:ilvl="1">
      <w:lvlJc w:val="left"/>
      <w:lvlText w:val="(%2)"/>
      <w:numFmt w:val="lowerLetter"/>
      <w:start w:val="1"/>
    </w:lvl>
  </w:abstractNum>
  <w:abstractNum w:abstractNumId="121">
    <w:nsid w:val="14217E23"/>
    <w:multiLevelType w:val="hybridMultilevel"/>
    <w:lvl w:ilvl="0">
      <w:lvlJc w:val="left"/>
      <w:lvlText w:val="(%1)"/>
      <w:numFmt w:val="lowerRoman"/>
      <w:start w:val="2"/>
    </w:lvl>
  </w:abstractNum>
  <w:abstractNum w:abstractNumId="122">
    <w:nsid w:val="710757D0"/>
    <w:multiLevelType w:val="hybridMultilevel"/>
    <w:lvl w:ilvl="0">
      <w:lvlJc w:val="left"/>
      <w:lvlText w:val="%1."/>
      <w:numFmt w:val="upperLetter"/>
      <w:start w:val="9"/>
    </w:lvl>
  </w:abstractNum>
  <w:abstractNum w:abstractNumId="123">
    <w:nsid w:val="5015CD1A"/>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124">
    <w:nsid w:val="424479DA"/>
    <w:multiLevelType w:val="hybridMultilevel"/>
    <w:lvl w:ilvl="0">
      <w:lvlJc w:val="left"/>
      <w:lvlText w:val="(%1)"/>
      <w:numFmt w:val="lowerLetter"/>
      <w:start w:val="3"/>
    </w:lvl>
  </w:abstractNum>
  <w:abstractNum w:abstractNumId="125">
    <w:nsid w:val="1A9A9E69"/>
    <w:multiLevelType w:val="hybridMultilevel"/>
    <w:lvl w:ilvl="0">
      <w:lvlJc w:val="left"/>
      <w:lvlText w:val="%1."/>
      <w:numFmt w:val="decimal"/>
      <w:start w:val="3"/>
    </w:lvl>
  </w:abstractNum>
  <w:abstractNum w:abstractNumId="126">
    <w:nsid w:val="475E256A"/>
    <w:multiLevelType w:val="hybridMultilevel"/>
    <w:lvl w:ilvl="0">
      <w:lvlJc w:val="left"/>
      <w:lvlText w:val="%1."/>
      <w:numFmt w:val="decimal"/>
      <w:start w:val="4"/>
    </w:lvl>
  </w:abstractNum>
  <w:abstractNum w:abstractNumId="127">
    <w:nsid w:val="368DB37E"/>
    <w:multiLevelType w:val="hybridMultilevel"/>
    <w:lvl w:ilvl="0">
      <w:lvlJc w:val="left"/>
      <w:lvlText w:val="%1."/>
      <w:numFmt w:val="decimal"/>
      <w:start w:val="6"/>
    </w:lvl>
    <w:lvl w:ilvl="1">
      <w:lvlJc w:val="left"/>
      <w:lvlText w:val="(%2)"/>
      <w:numFmt w:val="lowerLetter"/>
      <w:start w:val="1"/>
    </w:lvl>
  </w:abstractNum>
  <w:abstractNum w:abstractNumId="128">
    <w:nsid w:val="6A3B714C"/>
    <w:multiLevelType w:val="hybridMultilevel"/>
    <w:lvl w:ilvl="0">
      <w:lvlJc w:val="left"/>
      <w:lvlText w:val="%1."/>
      <w:numFmt w:val="decimal"/>
      <w:start w:val="7"/>
    </w:lvl>
  </w:abstractNum>
  <w:abstractNum w:abstractNumId="129">
    <w:nsid w:val="327B517E"/>
    <w:multiLevelType w:val="hybridMultilevel"/>
    <w:lvl w:ilvl="0">
      <w:lvlJc w:val="left"/>
      <w:lvlText w:val="%1."/>
      <w:numFmt w:val="decimal"/>
      <w:start w:val="9"/>
    </w:lvl>
  </w:abstractNum>
  <w:abstractNum w:abstractNumId="130">
    <w:nsid w:val="1F461B51"/>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31">
    <w:nsid w:val="29BACF25"/>
    <w:multiLevelType w:val="hybridMultilevel"/>
    <w:lvl w:ilvl="0">
      <w:lvlJc w:val="left"/>
      <w:lvlText w:val="(%1)"/>
      <w:numFmt w:val="lowerLetter"/>
      <w:start w:val="35"/>
    </w:lvl>
    <w:lvl w:ilvl="1">
      <w:lvlJc w:val="left"/>
      <w:lvlText w:val="%2."/>
      <w:numFmt w:val="decimal"/>
      <w:start w:val="11"/>
    </w:lvl>
    <w:lvl w:ilvl="2">
      <w:lvlJc w:val="left"/>
      <w:lvlText w:val="%3"/>
      <w:numFmt w:val="lowerLetter"/>
      <w:start w:val="1"/>
    </w:lvl>
  </w:abstractNum>
  <w:abstractNum w:abstractNumId="132">
    <w:nsid w:val="5D5BABB3"/>
    <w:multiLevelType w:val="hybridMultilevel"/>
    <w:lvl w:ilvl="0">
      <w:lvlJc w:val="left"/>
      <w:lvlText w:val="(%1)"/>
      <w:numFmt w:val="lowerRoman"/>
      <w:start w:val="2"/>
    </w:lvl>
  </w:abstractNum>
  <w:abstractNum w:abstractNumId="133">
    <w:nsid w:val="51BF6B48"/>
    <w:multiLevelType w:val="hybridMultilevel"/>
    <w:lvl w:ilvl="0">
      <w:lvlJc w:val="left"/>
      <w:lvlText w:val="%1."/>
      <w:numFmt w:val="decimal"/>
      <w:start w:val="1"/>
    </w:lvl>
  </w:abstractNum>
  <w:abstractNum w:abstractNumId="134">
    <w:nsid w:val="7E0F6384"/>
    <w:multiLevelType w:val="hybridMultilevel"/>
    <w:lvl w:ilvl="0">
      <w:lvlJc w:val="left"/>
      <w:lvlText w:val="%1."/>
      <w:numFmt w:val="decimal"/>
      <w:start w:val="15"/>
    </w:lvl>
  </w:abstractNum>
  <w:abstractNum w:abstractNumId="135">
    <w:nsid w:val="2B4B8B53"/>
    <w:multiLevelType w:val="hybridMultilevel"/>
    <w:lvl w:ilvl="0">
      <w:lvlJc w:val="left"/>
      <w:lvlText w:val="%1:"/>
      <w:numFmt w:val="lowerLetter"/>
      <w:start w:val="29"/>
    </w:lvl>
  </w:abstractNum>
  <w:abstractNum w:abstractNumId="136">
    <w:nsid w:val="72E3413A"/>
    <w:multiLevelType w:val="hybridMultilevel"/>
    <w:lvl w:ilvl="0">
      <w:lvlJc w:val="left"/>
      <w:lvlText w:val="%1."/>
      <w:numFmt w:val="upperLetter"/>
      <w:start w:val="9"/>
    </w:lvl>
  </w:abstractNum>
  <w:abstractNum w:abstractNumId="137">
    <w:nsid w:val="116AE494"/>
    <w:multiLevelType w:val="hybridMultilevel"/>
    <w:lvl w:ilvl="0">
      <w:lvlJc w:val="left"/>
      <w:lvlText w:val="(%1)"/>
      <w:numFmt w:val="lowerRoman"/>
      <w:start w:val="1"/>
    </w:lvl>
  </w:abstractNum>
  <w:abstractNum w:abstractNumId="138">
    <w:nsid w:val="3494B2FB"/>
    <w:multiLevelType w:val="hybridMultilevel"/>
    <w:lvl w:ilvl="0">
      <w:lvlJc w:val="left"/>
      <w:lvlText w:val="%1."/>
      <w:numFmt w:val="upperLetter"/>
      <w:start w:val="35"/>
    </w:lvl>
    <w:lvl w:ilvl="1">
      <w:lvlJc w:val="left"/>
      <w:lvlText w:val="%2."/>
      <w:numFmt w:val="decimal"/>
      <w:start w:val="1"/>
    </w:lvl>
  </w:abstractNum>
  <w:abstractNum w:abstractNumId="139">
    <w:nsid w:val="B13A31"/>
    <w:multiLevelType w:val="hybridMultilevel"/>
    <w:lvl w:ilvl="0">
      <w:lvlJc w:val="left"/>
      <w:lvlText w:val="%1."/>
      <w:numFmt w:val="decimal"/>
      <w:start w:val="2"/>
    </w:lvl>
    <w:lvl w:ilvl="1">
      <w:lvlJc w:val="left"/>
      <w:lvlText w:val="(%2)"/>
      <w:numFmt w:val="lowerLetter"/>
      <w:start w:val="1"/>
    </w:lvl>
  </w:abstractNum>
  <w:abstractNum w:abstractNumId="140">
    <w:nsid w:val="64429599"/>
    <w:multiLevelType w:val="hybridMultilevel"/>
    <w:lvl w:ilvl="0">
      <w:lvlJc w:val="left"/>
      <w:lvlText w:val="%1."/>
      <w:numFmt w:val="decimal"/>
      <w:start w:val="3"/>
    </w:lvl>
  </w:abstractNum>
  <w:abstractNum w:abstractNumId="141">
    <w:nsid w:val="631F1690"/>
    <w:multiLevelType w:val="hybridMultilevel"/>
    <w:lvl w:ilvl="0">
      <w:lvlJc w:val="left"/>
      <w:lvlText w:val="%1."/>
      <w:numFmt w:val="decimal"/>
      <w:start w:val="5"/>
    </w:lvl>
    <w:lvl w:ilvl="1">
      <w:lvlJc w:val="left"/>
      <w:lvlText w:val="(%2)"/>
      <w:numFmt w:val="lowerLetter"/>
      <w:start w:val="1"/>
    </w:lvl>
  </w:abstractNum>
  <w:abstractNum w:abstractNumId="142">
    <w:nsid w:val="25973E32"/>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43">
    <w:nsid w:val="EAD6F5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44">
    <w:nsid w:val="6EC9D844"/>
    <w:multiLevelType w:val="hybridMultilevel"/>
    <w:lvl w:ilvl="0">
      <w:lvlJc w:val="left"/>
      <w:lvlText w:val=","/>
      <w:numFmt w:val="bullet"/>
      <w:start w:val="1"/>
    </w:lvl>
  </w:abstractNum>
  <w:abstractNum w:abstractNumId="145">
    <w:nsid w:val="5C49EAEE"/>
    <w:multiLevelType w:val="hybridMultilevel"/>
    <w:lvl w:ilvl="0">
      <w:lvlJc w:val="left"/>
      <w:lvlText w:val="%1"/>
      <w:numFmt w:val="lowerLetter"/>
      <w:start w:val="1"/>
    </w:lvl>
    <w:lvl w:ilvl="1">
      <w:lvlJc w:val="left"/>
      <w:lvlText w:val="(%2)"/>
      <w:numFmt w:val="lowerLetter"/>
      <w:start w:val="1"/>
    </w:lvl>
  </w:abstractNum>
  <w:abstractNum w:abstractNumId="146">
    <w:nsid w:val="64AF49B"/>
    <w:multiLevelType w:val="hybridMultilevel"/>
    <w:lvl w:ilvl="0">
      <w:lvlJc w:val="left"/>
      <w:lvlText w:val="(%1)"/>
      <w:numFmt w:val="lowerLetter"/>
      <w:start w:val="9"/>
    </w:lvl>
    <w:lvl w:ilvl="1">
      <w:lvlJc w:val="left"/>
      <w:lvlText w:val="(%2)"/>
      <w:numFmt w:val="lowerLetter"/>
      <w:start w:val="2"/>
    </w:lvl>
  </w:abstractNum>
  <w:abstractNum w:abstractNumId="147">
    <w:nsid w:val="397C46BC"/>
    <w:multiLevelType w:val="hybridMultilevel"/>
    <w:lvl w:ilvl="0">
      <w:lvlJc w:val="left"/>
      <w:lvlText w:val="%1"/>
      <w:numFmt w:val="decimal"/>
      <w:start w:val="1"/>
    </w:lvl>
    <w:lvl w:ilvl="1">
      <w:lvlJc w:val="left"/>
      <w:lvlText w:val="(%2)"/>
      <w:numFmt w:val="lowerLetter"/>
      <w:start w:val="3"/>
    </w:lvl>
  </w:abstractNum>
  <w:abstractNum w:abstractNumId="148">
    <w:nsid w:val="7E448DE9"/>
    <w:multiLevelType w:val="hybridMultilevel"/>
    <w:lvl w:ilvl="0">
      <w:lvlJc w:val="left"/>
      <w:lvlText w:val="%1."/>
      <w:numFmt w:val="decimal"/>
      <w:start w:val="6"/>
    </w:lvl>
    <w:lvl w:ilvl="1">
      <w:lvlJc w:val="left"/>
      <w:lvlText w:val="%2"/>
      <w:numFmt w:val="lowerLetter"/>
      <w:start w:val="1"/>
    </w:lvl>
  </w:abstractNum>
  <w:abstractNum w:abstractNumId="149">
    <w:nsid w:val="5A9CC3E5"/>
    <w:multiLevelType w:val="hybridMultilevel"/>
    <w:lvl w:ilvl="0">
      <w:lvlJc w:val="left"/>
      <w:lvlText w:val="%1."/>
      <w:numFmt w:val="decimal"/>
      <w:start w:val="7"/>
    </w:lvl>
    <w:lvl w:ilvl="1">
      <w:lvlJc w:val="left"/>
      <w:lvlText w:val="(%2)"/>
      <w:numFmt w:val="lowerLetter"/>
      <w:start w:val="1"/>
    </w:lvl>
  </w:abstractNum>
  <w:abstractNum w:abstractNumId="150">
    <w:nsid w:val="1AFE3625"/>
    <w:multiLevelType w:val="hybridMultilevel"/>
    <w:lvl w:ilvl="0">
      <w:lvlJc w:val="left"/>
      <w:lvlText w:val="%1"/>
      <w:numFmt w:val="decimal"/>
      <w:start w:val="1"/>
    </w:lvl>
    <w:lvl w:ilvl="1">
      <w:lvlJc w:val="left"/>
      <w:lvlText w:val="(%2)"/>
      <w:numFmt w:val="lowerLetter"/>
      <w:start w:val="2"/>
    </w:lvl>
  </w:abstractNum>
  <w:abstractNum w:abstractNumId="151">
    <w:nsid w:val="3CA88ECF"/>
    <w:multiLevelType w:val="hybridMultilevel"/>
    <w:lvl w:ilvl="0">
      <w:lvlJc w:val="left"/>
      <w:lvlText w:val="%1."/>
      <w:numFmt w:val="decimal"/>
      <w:start w:val="8"/>
    </w:lvl>
    <w:lvl w:ilvl="1">
      <w:lvlJc w:val="left"/>
      <w:lvlText w:val="%2"/>
      <w:numFmt w:val="lowerLetter"/>
      <w:start w:val="1"/>
    </w:lvl>
  </w:abstractNum>
  <w:abstractNum w:abstractNumId="152">
    <w:nsid w:val="6EBE4208"/>
    <w:multiLevelType w:val="hybridMultilevel"/>
    <w:lvl w:ilvl="0">
      <w:lvlJc w:val="left"/>
      <w:lvlText w:val="%1."/>
      <w:numFmt w:val="decimal"/>
      <w:start w:val="9"/>
    </w:lvl>
  </w:abstractNum>
  <w:abstractNum w:abstractNumId="153">
    <w:nsid w:val="C058DF5"/>
    <w:multiLevelType w:val="hybridMultilevel"/>
    <w:lvl w:ilvl="0">
      <w:lvlJc w:val="left"/>
      <w:lvlText w:val="(%1)"/>
      <w:numFmt w:val="lowerLetter"/>
      <w:start w:val="1"/>
    </w:lvl>
  </w:abstractNum>
  <w:abstractNum w:abstractNumId="154">
    <w:nsid w:val="CBE5BE9"/>
    <w:multiLevelType w:val="hybridMultilevel"/>
    <w:lvl w:ilvl="0">
      <w:lvlJc w:val="left"/>
      <w:lvlText w:val="(%1)"/>
      <w:numFmt w:val="lowerLetter"/>
      <w:start w:val="35"/>
    </w:lvl>
    <w:lvl w:ilvl="1">
      <w:lvlJc w:val="left"/>
      <w:lvlText w:val="(%2)"/>
      <w:numFmt w:val="lowerLetter"/>
      <w:start w:val="3"/>
    </w:lvl>
  </w:abstractNum>
  <w:abstractNum w:abstractNumId="155">
    <w:nsid w:val="3102BBE2"/>
    <w:multiLevelType w:val="hybridMultilevel"/>
    <w:lvl w:ilvl="0">
      <w:lvlJc w:val="left"/>
      <w:lvlText w:val="%1."/>
      <w:numFmt w:val="upperLetter"/>
      <w:start w:val="9"/>
    </w:lvl>
  </w:abstractNum>
  <w:abstractNum w:abstractNumId="156">
    <w:nsid w:val="26A02C5E"/>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157">
    <w:nsid w:val="541C815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8">
    <w:nsid w:val="67906F60"/>
    <w:multiLevelType w:val="hybridMultilevel"/>
    <w:lvl w:ilvl="0">
      <w:lvlJc w:val="left"/>
      <w:lvlText w:val="%1"/>
      <w:numFmt w:val="lowerLetter"/>
      <w:start w:val="1"/>
    </w:lvl>
    <w:lvl w:ilvl="1">
      <w:lvlJc w:val="left"/>
      <w:lvlText w:val="(%2)"/>
      <w:numFmt w:val="lowerLetter"/>
      <w:start w:val="61"/>
    </w:lvl>
  </w:abstractNum>
  <w:abstractNum w:abstractNumId="159">
    <w:nsid w:val="10DB9DAA"/>
    <w:multiLevelType w:val="hybridMultilevel"/>
    <w:lvl w:ilvl="0">
      <w:lvlJc w:val="left"/>
      <w:lvlText w:val="(%1)"/>
      <w:numFmt w:val="lowerLetter"/>
      <w:start w:val="3"/>
    </w:lvl>
    <w:lvl w:ilvl="1">
      <w:lvlJc w:val="left"/>
      <w:lvlText w:val="%2"/>
      <w:numFmt w:val="lowerLetter"/>
      <w:start w:val="1"/>
    </w:lvl>
  </w:abstractNum>
  <w:abstractNum w:abstractNumId="160">
    <w:nsid w:val="697D2D2"/>
    <w:multiLevelType w:val="hybridMultilevel"/>
    <w:lvl w:ilvl="0">
      <w:lvlJc w:val="left"/>
      <w:lvlText w:val="%1."/>
      <w:numFmt w:val="decimal"/>
      <w:start w:val="4"/>
    </w:lvl>
  </w:abstractNum>
  <w:abstractNum w:abstractNumId="161">
    <w:nsid w:val="6D68AB2"/>
    <w:multiLevelType w:val="hybridMultilevel"/>
    <w:lvl w:ilvl="0">
      <w:lvlJc w:val="left"/>
      <w:lvlText w:val="%1."/>
      <w:numFmt w:val="decimal"/>
      <w:start w:val="6"/>
    </w:lvl>
    <w:lvl w:ilvl="1">
      <w:lvlJc w:val="left"/>
      <w:lvlText w:val="(%2)"/>
      <w:numFmt w:val="lowerLetter"/>
      <w:start w:val="1"/>
    </w:lvl>
  </w:abstractNum>
  <w:abstractNum w:abstractNumId="162">
    <w:nsid w:val="3A966CD0"/>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63">
    <w:nsid w:val="63F37E8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64">
    <w:nsid w:val="5895F5FA"/>
    <w:multiLevelType w:val="hybridMultilevel"/>
    <w:lvl w:ilvl="0">
      <w:lvlJc w:val="left"/>
      <w:lvlText w:val="%1."/>
      <w:numFmt w:val="decimal"/>
      <w:start w:val="11"/>
    </w:lvl>
    <w:lvl w:ilvl="1">
      <w:lvlJc w:val="left"/>
      <w:lvlText w:val="*"/>
      <w:numFmt w:val="bullet"/>
      <w:start w:val="1"/>
    </w:lvl>
  </w:abstractNum>
  <w:abstractNum w:abstractNumId="165">
    <w:nsid w:val="38A5D05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66">
    <w:nsid w:val="F3F09D8"/>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67">
    <w:nsid w:val="4B793735"/>
    <w:multiLevelType w:val="hybridMultilevel"/>
    <w:lvl w:ilvl="0">
      <w:lvlJc w:val="left"/>
      <w:lvlText w:val="%1"/>
      <w:numFmt w:val="decimal"/>
      <w:start w:val="1"/>
    </w:lvl>
    <w:lvl w:ilvl="1">
      <w:lvlJc w:val="left"/>
      <w:lvlText w:val="(%2)"/>
      <w:numFmt w:val="lowerLetter"/>
      <w:start w:val="2"/>
    </w:lvl>
  </w:abstractNum>
  <w:abstractNum w:abstractNumId="168">
    <w:nsid w:val="4A10B4E8"/>
    <w:multiLevelType w:val="hybridMultilevel"/>
    <w:lvl w:ilvl="0">
      <w:lvlJc w:val="left"/>
      <w:lvlText w:val="%1."/>
      <w:numFmt w:val="decimal"/>
      <w:start w:val="6"/>
    </w:lvl>
    <w:lvl w:ilvl="1">
      <w:lvlJc w:val="left"/>
      <w:lvlText w:val="%2"/>
      <w:numFmt w:val="lowerLetter"/>
      <w:start w:val="1"/>
    </w:lvl>
  </w:abstractNum>
  <w:abstractNum w:abstractNumId="169">
    <w:nsid w:val="43D3BCD4"/>
    <w:multiLevelType w:val="hybridMultilevel"/>
    <w:lvl w:ilvl="0">
      <w:lvlJc w:val="left"/>
      <w:lvlText w:val="%1."/>
      <w:numFmt w:val="decimal"/>
      <w:start w:val="7"/>
    </w:lvl>
    <w:lvl w:ilvl="1">
      <w:lvlJc w:val="left"/>
      <w:lvlText w:val="(%2)"/>
      <w:numFmt w:val="lowerLetter"/>
      <w:start w:val="1"/>
    </w:lvl>
  </w:abstractNum>
  <w:abstractNum w:abstractNumId="170">
    <w:nsid w:val="4C2A7166"/>
    <w:multiLevelType w:val="hybridMultilevel"/>
    <w:lvl w:ilvl="0">
      <w:lvlJc w:val="left"/>
      <w:lvlText w:val="%1"/>
      <w:numFmt w:val="decimal"/>
      <w:start w:val="1"/>
    </w:lvl>
    <w:lvl w:ilvl="1">
      <w:lvlJc w:val="left"/>
      <w:lvlText w:val="(%2)"/>
      <w:numFmt w:val="lowerLetter"/>
      <w:start w:val="2"/>
    </w:lvl>
  </w:abstractNum>
  <w:abstractNum w:abstractNumId="171">
    <w:nsid w:val="2E534A82"/>
    <w:multiLevelType w:val="hybridMultilevel"/>
    <w:lvl w:ilvl="0">
      <w:lvlJc w:val="left"/>
      <w:lvlText w:val="%1."/>
      <w:numFmt w:val="decimal"/>
      <w:start w:val="8"/>
    </w:lvl>
    <w:lvl w:ilvl="1">
      <w:lvlJc w:val="left"/>
      <w:lvlText w:val="%2"/>
      <w:numFmt w:val="lowerLetter"/>
      <w:start w:val="1"/>
    </w:lvl>
  </w:abstractNum>
  <w:abstractNum w:abstractNumId="172">
    <w:nsid w:val="26F2D364"/>
    <w:multiLevelType w:val="hybridMultilevel"/>
    <w:lvl w:ilvl="0">
      <w:lvlJc w:val="left"/>
      <w:lvlText w:val="%1."/>
      <w:numFmt w:val="decimal"/>
      <w:start w:val="9"/>
    </w:lvl>
  </w:abstractNum>
  <w:abstractNum w:abstractNumId="173">
    <w:nsid w:val="71C1AF98"/>
    <w:multiLevelType w:val="hybridMultilevel"/>
    <w:lvl w:ilvl="0">
      <w:lvlJc w:val="left"/>
      <w:lvlText w:val="(%1)"/>
      <w:numFmt w:val="lowerLetter"/>
      <w:start w:val="1"/>
    </w:lvl>
  </w:abstractNum>
  <w:abstractNum w:abstractNumId="174">
    <w:nsid w:val="3D00B9D9"/>
    <w:multiLevelType w:val="hybridMultilevel"/>
    <w:lvl w:ilvl="0">
      <w:lvlJc w:val="left"/>
      <w:lvlText w:val="(%1)"/>
      <w:numFmt w:val="lowerLetter"/>
      <w:start w:val="35"/>
    </w:lvl>
    <w:lvl w:ilvl="1">
      <w:lvlJc w:val="left"/>
      <w:lvlText w:val="(%2)"/>
      <w:numFmt w:val="lowerLetter"/>
      <w:start w:val="3"/>
    </w:lvl>
  </w:abstractNum>
  <w:abstractNum w:abstractNumId="175">
    <w:nsid w:val="15BCABA8"/>
    <w:multiLevelType w:val="hybridMultilevel"/>
    <w:lvl w:ilvl="0">
      <w:lvlJc w:val="left"/>
      <w:lvlText w:val="%1."/>
      <w:numFmt w:val="decimal"/>
      <w:start w:val="1"/>
    </w:lvl>
  </w:abstractNum>
  <w:abstractNum w:abstractNumId="176">
    <w:nsid w:val="4E0B9A87"/>
    <w:multiLevelType w:val="hybridMultilevel"/>
    <w:lvl w:ilvl="0">
      <w:lvlJc w:val="left"/>
      <w:lvlText w:val="%1."/>
      <w:numFmt w:val="decimal"/>
      <w:start w:val="5"/>
    </w:lvl>
  </w:abstractNum>
  <w:abstractNum w:abstractNumId="177">
    <w:nsid w:val="434BAE75"/>
    <w:multiLevelType w:val="hybridMultilevel"/>
    <w:lvl w:ilvl="0">
      <w:lvlJc w:val="left"/>
      <w:lvlText w:val="%1."/>
      <w:numFmt w:val="decimal"/>
      <w:start w:val="15"/>
    </w:lvl>
  </w:abstractNum>
  <w:abstractNum w:abstractNumId="178">
    <w:nsid w:val="4F38F265"/>
    <w:multiLevelType w:val="hybridMultilevel"/>
    <w:lvl w:ilvl="0">
      <w:lvlJc w:val="left"/>
      <w:lvlText w:val="%1:"/>
      <w:numFmt w:val="lowerLetter"/>
      <w:start w:val="29"/>
    </w:lvl>
  </w:abstractNum>
  <w:abstractNum w:abstractNumId="179">
    <w:nsid w:val="4C502870"/>
    <w:multiLevelType w:val="hybridMultilevel"/>
    <w:lvl w:ilvl="0">
      <w:lvlJc w:val="left"/>
      <w:lvlText w:val="%1."/>
      <w:numFmt w:val="decimal"/>
      <w:start w:val="2"/>
    </w:lvl>
  </w:abstractNum>
  <w:abstractNum w:abstractNumId="180">
    <w:nsid w:val="1DE8725A"/>
    <w:multiLevelType w:val="hybridMultilevel"/>
    <w:lvl w:ilvl="0">
      <w:lvlJc w:val="left"/>
      <w:lvlText w:val="(%1)"/>
      <w:numFmt w:val="lowerRoman"/>
      <w:start w:val="1"/>
    </w:lvl>
  </w:abstractNum>
  <w:abstractNum w:abstractNumId="181">
    <w:nsid w:val="6A37288A"/>
    <w:multiLevelType w:val="hybridMultilevel"/>
    <w:lvl w:ilvl="0">
      <w:lvlJc w:val="left"/>
      <w:lvlText w:val="(%1)"/>
      <w:numFmt w:val="lowerRoman"/>
      <w:start w:val="1"/>
    </w:lvl>
  </w:abstractNum>
  <w:abstractNum w:abstractNumId="182">
    <w:nsid w:val="8F8B73F"/>
    <w:multiLevelType w:val="hybridMultilevel"/>
    <w:lvl w:ilvl="0">
      <w:lvlJc w:val="left"/>
      <w:lvlText w:val="(%1)"/>
      <w:numFmt w:val="decimal"/>
      <w:start w:val="5"/>
    </w:lvl>
  </w:abstractNum>
  <w:abstractNum w:abstractNumId="183">
    <w:nsid w:val="CA6B462"/>
    <w:multiLevelType w:val="hybridMultilevel"/>
    <w:lvl w:ilvl="0">
      <w:lvlJc w:val="left"/>
      <w:lvlText w:val="(%1)"/>
      <w:numFmt w:val="lowerRoman"/>
      <w:start w:val="4"/>
    </w:lvl>
  </w:abstractNum>
  <w:abstractNum w:abstractNumId="184">
    <w:nsid w:val="763CB680"/>
    <w:multiLevelType w:val="hybridMultilevel"/>
    <w:lvl w:ilvl="0">
      <w:lvlJc w:val="left"/>
      <w:lvlText w:val="(%1)"/>
      <w:numFmt w:val="lowerLetter"/>
      <w:start w:val="3"/>
    </w:lvl>
  </w:abstractNum>
  <w:abstractNum w:abstractNumId="185">
    <w:nsid w:val="15B71329"/>
    <w:multiLevelType w:val="hybridMultilevel"/>
    <w:lvl w:ilvl="0">
      <w:lvlJc w:val="left"/>
      <w:lvlText w:val="(%1)"/>
      <w:numFmt w:val="lowerRoman"/>
      <w:start w:val="1"/>
    </w:lvl>
  </w:abstractNum>
  <w:abstractNum w:abstractNumId="186">
    <w:nsid w:val="3DA97044"/>
    <w:multiLevelType w:val="hybridMultilevel"/>
    <w:lvl w:ilvl="0">
      <w:lvlJc w:val="left"/>
      <w:lvlText w:val="(%1)"/>
      <w:numFmt w:val="lowerRoman"/>
      <w:start w:val="5"/>
    </w:lvl>
  </w:abstractNum>
  <w:abstractNum w:abstractNumId="187">
    <w:nsid w:val="1CDCE2DE"/>
    <w:multiLevelType w:val="hybridMultilevel"/>
    <w:lvl w:ilvl="0">
      <w:lvlJc w:val="left"/>
      <w:lvlText w:val="(%1)"/>
      <w:numFmt w:val="lowerRoman"/>
      <w:start w:val="5"/>
    </w:lvl>
  </w:abstractNum>
  <w:abstractNum w:abstractNumId="188">
    <w:nsid w:val="69D3947C"/>
    <w:multiLevelType w:val="hybridMultilevel"/>
    <w:lvl w:ilvl="0">
      <w:lvlJc w:val="left"/>
      <w:lvlText w:val="(%1)"/>
      <w:numFmt w:val="lowerLetter"/>
      <w:start w:val="56"/>
    </w:lvl>
  </w:abstractNum>
  <w:abstractNum w:abstractNumId="189">
    <w:nsid w:val="2539DFA5"/>
    <w:multiLevelType w:val="hybridMultilevel"/>
    <w:lvl w:ilvl="0">
      <w:lvlJc w:val="left"/>
      <w:lvlText w:val="•"/>
      <w:numFmt w:val="bullet"/>
      <w:start w:val="1"/>
    </w:lvl>
  </w:abstractNum>
  <w:abstractNum w:abstractNumId="190">
    <w:nsid w:val="2DB88089"/>
    <w:multiLevelType w:val="hybridMultilevel"/>
    <w:lvl w:ilvl="0">
      <w:lvlJc w:val="left"/>
      <w:lvlText w:val="1"/>
      <w:numFmt w:val="bullet"/>
      <w:start w:val="1"/>
    </w:lvl>
  </w:abstractNum>
  <w:abstractNum w:abstractNumId="191">
    <w:nsid w:val="706B674E"/>
    <w:multiLevelType w:val="hybridMultilevel"/>
    <w:lvl w:ilvl="0">
      <w:lvlJc w:val="left"/>
      <w:lvlText w:val="•"/>
      <w:numFmt w:val="bullet"/>
      <w:start w:val="1"/>
    </w:lvl>
  </w:abstractNum>
  <w:abstractNum w:abstractNumId="192">
    <w:nsid w:val="2C106A57"/>
    <w:multiLevelType w:val="hybridMultilevel"/>
    <w:lvl w:ilvl="0">
      <w:lvlJc w:val="left"/>
      <w:lvlText w:val="•"/>
      <w:numFmt w:val="bullet"/>
      <w:start w:val="1"/>
    </w:lvl>
  </w:abstractNum>
  <w:abstractNum w:abstractNumId="193">
    <w:nsid w:val="684EED59"/>
    <w:multiLevelType w:val="hybridMultilevel"/>
    <w:lvl w:ilvl="0">
      <w:lvlJc w:val="left"/>
      <w:lvlText w:val="•"/>
      <w:numFmt w:val="bullet"/>
      <w:start w:val="1"/>
    </w:lvl>
  </w:abstractNum>
  <w:abstractNum w:abstractNumId="194">
    <w:nsid w:val="545EE5D3"/>
    <w:multiLevelType w:val="hybridMultilevel"/>
    <w:lvl w:ilvl="0">
      <w:lvlJc w:val="left"/>
      <w:lvlText w:val="(%1)"/>
      <w:numFmt w:val="upperLetter"/>
      <w:start w:val="1"/>
    </w:lvl>
  </w:abstractNum>
  <w:abstractNum w:abstractNumId="195">
    <w:nsid w:val="4A66051"/>
    <w:multiLevelType w:val="hybridMultilevel"/>
    <w:lvl w:ilvl="0">
      <w:lvlJc w:val="left"/>
      <w:lvlText w:val="(%1)"/>
      <w:numFmt w:val="lowerLetter"/>
      <w:start w:val="2"/>
    </w:lvl>
  </w:abstractNum>
  <w:abstractNum w:abstractNumId="196">
    <w:nsid w:val="20F4BDAD"/>
    <w:multiLevelType w:val="hybridMultilevel"/>
    <w:lvl w:ilvl="0">
      <w:lvlJc w:val="left"/>
      <w:lvlText w:val="(%1)"/>
      <w:numFmt w:val="lowerLetter"/>
      <w:start w:val="2"/>
    </w:lvl>
  </w:abstractNum>
  <w:abstractNum w:abstractNumId="197">
    <w:nsid w:val="639DEFAC"/>
    <w:multiLevelType w:val="hybridMultilevel"/>
    <w:lvl w:ilvl="0">
      <w:lvlJc w:val="left"/>
      <w:lvlText w:val="(%1)"/>
      <w:numFmt w:val="decimal"/>
      <w:start w:val="6"/>
    </w:lvl>
  </w:abstractNum>
  <w:abstractNum w:abstractNumId="198">
    <w:nsid w:val="501F9786"/>
    <w:multiLevelType w:val="hybridMultilevel"/>
    <w:lvl w:ilvl="0">
      <w:lvlJc w:val="left"/>
      <w:lvlText w:val="(%1)"/>
      <w:numFmt w:val="upperLetter"/>
      <w:start w:val="3"/>
    </w:lvl>
  </w:abstractNum>
  <w:abstractNum w:abstractNumId="199">
    <w:nsid w:val="6B057295"/>
    <w:multiLevelType w:val="hybridMultilevel"/>
    <w:lvl w:ilvl="0">
      <w:lvlJc w:val="left"/>
      <w:lvlText w:val="(%1)"/>
      <w:numFmt w:val="lowerLetter"/>
      <w:start w:val="38"/>
    </w:lvl>
  </w:abstractNum>
  <w:abstractNum w:abstractNumId="200">
    <w:nsid w:val="2771AC80"/>
    <w:multiLevelType w:val="hybridMultilevel"/>
    <w:lvl w:ilvl="0">
      <w:lvlJc w:val="left"/>
      <w:lvlText w:val="(%1)"/>
      <w:numFmt w:val="lowerRoman"/>
      <w:start w:val="1"/>
    </w:lvl>
  </w:abstractNum>
  <w:abstractNum w:abstractNumId="201">
    <w:nsid w:val="1C4A08EC"/>
    <w:multiLevelType w:val="hybridMultilevel"/>
    <w:lvl w:ilvl="0">
      <w:lvlJc w:val="left"/>
      <w:lvlText w:val="(%1)"/>
      <w:numFmt w:val="lowerRoman"/>
      <w:start w:val="1"/>
    </w:lvl>
  </w:abstractNum>
  <w:abstractNum w:abstractNumId="202">
    <w:nsid w:val="1958BD17"/>
    <w:multiLevelType w:val="hybridMultilevel"/>
    <w:lvl w:ilvl="0">
      <w:lvlJc w:val="left"/>
      <w:lvlText w:val="(%1)"/>
      <w:numFmt w:val="lowerRoman"/>
      <w:start w:val="1"/>
    </w:lvl>
  </w:abstractNum>
  <w:abstractNum w:abstractNumId="203">
    <w:nsid w:val="4E647FE4"/>
    <w:multiLevelType w:val="hybridMultilevel"/>
    <w:lvl w:ilvl="0">
      <w:lvlJc w:val="left"/>
      <w:lvlText w:val="(%1)"/>
      <w:numFmt w:val="lowerRoman"/>
      <w:start w:val="1"/>
    </w:lvl>
  </w:abstractNum>
  <w:abstractNum w:abstractNumId="204">
    <w:nsid w:val="E0BB885"/>
    <w:multiLevelType w:val="hybridMultilevel"/>
    <w:lvl w:ilvl="0">
      <w:lvlJc w:val="left"/>
      <w:lvlText w:val="(%1)"/>
      <w:numFmt w:val="lowerRoman"/>
      <w:start w:val="3"/>
    </w:lvl>
  </w:abstractNum>
  <w:abstractNum w:abstractNumId="205">
    <w:nsid w:val="565976F1"/>
    <w:multiLevelType w:val="hybridMultilevel"/>
    <w:lvl w:ilvl="0">
      <w:lvlJc w:val="left"/>
      <w:lvlText w:val="%1."/>
      <w:numFmt w:val="decimal"/>
      <w:start w:val="1"/>
    </w:lvl>
    <w:lvl w:ilvl="1">
      <w:lvlJc w:val="left"/>
      <w:lvlText w:val="%2."/>
      <w:numFmt w:val="lowerLetter"/>
      <w:start w:val="1"/>
    </w:lvl>
  </w:abstractNum>
  <w:abstractNum w:abstractNumId="206">
    <w:nsid w:val="64212B8C"/>
    <w:multiLevelType w:val="hybridMultilevel"/>
    <w:lvl w:ilvl="0">
      <w:lvlJc w:val="left"/>
      <w:lvlText w:val="%1."/>
      <w:numFmt w:val="decimal"/>
      <w:start w:val="1"/>
    </w:lvl>
  </w:abstractNum>
  <w:abstractNum w:abstractNumId="207">
    <w:nsid w:val="5C17530C"/>
    <w:multiLevelType w:val="hybridMultilevel"/>
    <w:lvl w:ilvl="0">
      <w:lvlJc w:val="left"/>
      <w:lvlText w:val="(%1)"/>
      <w:numFmt w:val="decimal"/>
      <w:start w:val="1"/>
    </w:lvl>
  </w:abstractNum>
  <w:abstractNum w:abstractNumId="208">
    <w:nsid w:val="19A52566"/>
    <w:multiLevelType w:val="hybridMultilevel"/>
    <w:lvl w:ilvl="0">
      <w:lvlJc w:val="left"/>
      <w:lvlText w:val="(%1)"/>
      <w:numFmt w:val="decimal"/>
      <w:start w:val="4"/>
    </w:lvl>
  </w:abstractNum>
  <w:abstractNum w:abstractNumId="209">
    <w:nsid w:val="335A1DF1"/>
    <w:multiLevelType w:val="hybridMultilevel"/>
    <w:lvl w:ilvl="0">
      <w:lvlJc w:val="left"/>
      <w:lvlText w:val="(%1)"/>
      <w:numFmt w:val="decimal"/>
      <w:start w:val="5"/>
    </w:lvl>
  </w:abstractNum>
  <w:abstractNum w:abstractNumId="210">
    <w:nsid w:val="28677B7C"/>
    <w:multiLevelType w:val="hybridMultilevel"/>
    <w:lvl w:ilvl="0">
      <w:lvlJc w:val="left"/>
      <w:lvlText w:val="(%1)"/>
      <w:numFmt w:val="decimal"/>
      <w:start w:val="6"/>
    </w:lvl>
  </w:abstractNum>
  <w:abstractNum w:abstractNumId="211">
    <w:nsid w:val="378D97C0"/>
    <w:multiLevelType w:val="hybridMultilevel"/>
    <w:lvl w:ilvl="0">
      <w:lvlJc w:val="left"/>
      <w:lvlText w:val="(%1)"/>
      <w:numFmt w:val="lowerRoman"/>
      <w:start w:val="1"/>
    </w:lvl>
  </w:abstractNum>
  <w:abstractNum w:abstractNumId="212">
    <w:nsid w:val="1D91467C"/>
    <w:multiLevelType w:val="hybridMultilevel"/>
    <w:lvl w:ilvl="0">
      <w:lvlJc w:val="left"/>
      <w:lvlText w:val="(%1)"/>
      <w:numFmt w:val="lowerRoman"/>
      <w:start w:val="1"/>
    </w:lvl>
  </w:abstractNum>
  <w:abstractNum w:abstractNumId="213">
    <w:nsid w:val="316032BB"/>
    <w:multiLevelType w:val="hybridMultilevel"/>
    <w:lvl w:ilvl="0">
      <w:lvlJc w:val="left"/>
      <w:lvlText w:val="%1)"/>
      <w:numFmt w:val="decimal"/>
      <w:start w:val="1"/>
    </w:lvl>
  </w:abstractNum>
  <w:abstractNum w:abstractNumId="214">
    <w:nsid w:val="44344C22"/>
    <w:multiLevelType w:val="hybridMultilevel"/>
    <w:lvl w:ilvl="0">
      <w:lvlJc w:val="left"/>
      <w:lvlText w:val="·"/>
      <w:numFmt w:val="bullet"/>
      <w:start w:val="1"/>
    </w:lvl>
  </w:abstractNum>
  <w:abstractNum w:abstractNumId="215">
    <w:nsid w:val="13CDFCFC"/>
    <w:multiLevelType w:val="hybridMultilevel"/>
    <w:lvl w:ilvl="0">
      <w:lvlJc w:val="left"/>
      <w:lvlText w:val="·"/>
      <w:numFmt w:val="bullet"/>
      <w:start w:val="1"/>
    </w:lvl>
  </w:abstractNum>
  <w:abstractNum w:abstractNumId="216">
    <w:nsid w:val="471745E4"/>
    <w:multiLevelType w:val="hybridMultilevel"/>
    <w:lvl w:ilvl="0">
      <w:lvlJc w:val="left"/>
      <w:lvlText w:val="(%1)"/>
      <w:numFmt w:val="lowerLetter"/>
      <w:start w:val="1"/>
    </w:lvl>
  </w:abstractNum>
  <w:abstractNum w:abstractNumId="217">
    <w:nsid w:val="1DDBC66"/>
    <w:multiLevelType w:val="hybridMultilevel"/>
    <w:lvl w:ilvl="0">
      <w:lvlJc w:val="left"/>
      <w:lvlText w:val="●"/>
      <w:numFmt w:val="bullet"/>
      <w:start w:val="1"/>
    </w:lvl>
  </w:abstractNum>
  <w:abstractNum w:abstractNumId="218">
    <w:nsid w:val="30AADFDA"/>
    <w:multiLevelType w:val="hybridMultilevel"/>
    <w:lvl w:ilvl="0">
      <w:lvlJc w:val="left"/>
      <w:lvlText w:val="(%1)"/>
      <w:numFmt w:val="decimal"/>
      <w:start w:val="1"/>
    </w:lvl>
  </w:abstractNum>
  <w:abstractNum w:abstractNumId="219">
    <w:nsid w:val="30EADA61"/>
    <w:multiLevelType w:val="hybridMultilevel"/>
    <w:lvl w:ilvl="0">
      <w:lvlJc w:val="left"/>
      <w:lvlText w:val="%1."/>
      <w:numFmt w:val="decimal"/>
      <w:start w:val="2"/>
    </w:lvl>
    <w:lvl w:ilvl="1">
      <w:lvlJc w:val="left"/>
      <w:lvlText w:val="(%2)"/>
      <w:numFmt w:val="upperLetter"/>
      <w:start w:val="1"/>
    </w:lvl>
  </w:abstractNum>
  <w:abstractNum w:abstractNumId="220">
    <w:nsid w:val="27179C0B"/>
    <w:multiLevelType w:val="hybridMultilevel"/>
    <w:lvl w:ilvl="0">
      <w:lvlJc w:val="left"/>
      <w:lvlText w:val="(%1)"/>
      <w:numFmt w:val="upperLetter"/>
      <w:start w:val="3"/>
    </w:lvl>
  </w:abstractNum>
  <w:abstractNum w:abstractNumId="221">
    <w:nsid w:val="5E636063"/>
    <w:multiLevelType w:val="hybridMultilevel"/>
    <w:lvl w:ilvl="0">
      <w:lvlJc w:val="left"/>
      <w:lvlText w:val="$"/>
      <w:numFmt w:val="bullet"/>
      <w:start w:val="1"/>
    </w:lvl>
  </w:abstractNum>
  <w:abstractNum w:abstractNumId="222">
    <w:nsid w:val="215641AF"/>
    <w:multiLevelType w:val="hybridMultilevel"/>
    <w:lvl w:ilvl="0">
      <w:lvlJc w:val="left"/>
      <w:lvlText w:val="$"/>
      <w:numFmt w:val="bullet"/>
      <w:start w:val="1"/>
    </w:lvl>
  </w:abstractNum>
  <w:abstractNum w:abstractNumId="223">
    <w:nsid w:val="53280662"/>
    <w:multiLevelType w:val="hybridMultilevel"/>
    <w:lvl w:ilvl="0">
      <w:lvlJc w:val="left"/>
      <w:lvlText w:val="(%1)"/>
      <w:numFmt w:val="upperLetter"/>
      <w:start w:val="7"/>
    </w:lvl>
  </w:abstractNum>
  <w:abstractNum w:abstractNumId="224">
    <w:nsid w:val="46B24DBC"/>
    <w:multiLevelType w:val="hybridMultilevel"/>
    <w:lvl w:ilvl="0">
      <w:lvlJc w:val="left"/>
      <w:lvlText w:val="%1"/>
      <w:numFmt w:val="decimal"/>
      <w:start w:val="1"/>
    </w:lvl>
    <w:lvl w:ilvl="1">
      <w:lvlJc w:val="left"/>
      <w:lvlText w:val="(%2)"/>
      <w:numFmt w:val="upperLetter"/>
      <w:start w:val="10"/>
    </w:lvl>
  </w:abstractNum>
  <w:abstractNum w:abstractNumId="225">
    <w:nsid w:val="75B52783"/>
    <w:multiLevelType w:val="hybridMultilevel"/>
    <w:lvl w:ilvl="0">
      <w:lvlJc w:val="left"/>
      <w:lvlText w:val="%1."/>
      <w:numFmt w:val="decimal"/>
      <w:start w:val="3"/>
    </w:lvl>
    <w:lvl w:ilvl="1">
      <w:lvlJc w:val="left"/>
      <w:lvlText w:val="%2"/>
      <w:numFmt w:val="upperLetter"/>
      <w:start w:val="1"/>
    </w:lvl>
  </w:abstractNum>
  <w:abstractNum w:abstractNumId="226">
    <w:nsid w:val="57CE66B4"/>
    <w:multiLevelType w:val="hybridMultilevel"/>
    <w:lvl w:ilvl="0">
      <w:lvlJc w:val="left"/>
      <w:lvlText w:val="(%1)"/>
      <w:numFmt w:val="upperLetter"/>
      <w:start w:val="27"/>
    </w:lvl>
  </w:abstractNum>
  <w:abstractNum w:abstractNumId="227">
    <w:nsid w:val="67A70B69"/>
    <w:multiLevelType w:val="hybridMultilevel"/>
    <w:lvl w:ilvl="0">
      <w:lvlJc w:val="left"/>
      <w:lvlText w:val="%1."/>
      <w:numFmt w:val="decimal"/>
      <w:start w:val="4"/>
    </w:lvl>
  </w:abstractNum>
  <w:abstractNum w:abstractNumId="228">
    <w:nsid w:val="5953172F"/>
    <w:multiLevelType w:val="hybridMultilevel"/>
    <w:lvl w:ilvl="0">
      <w:lvlJc w:val="left"/>
      <w:lvlText w:val="%1"/>
      <w:numFmt w:val="decimal"/>
      <w:start w:val="1"/>
    </w:lvl>
    <w:lvl w:ilvl="1">
      <w:lvlJc w:val="left"/>
      <w:lvlText w:val="(%2)"/>
      <w:numFmt w:val="upperLetter"/>
      <w:start w:val="29"/>
    </w:lvl>
  </w:abstractNum>
  <w:abstractNum w:abstractNumId="229">
    <w:nsid w:val="27EDFE3A"/>
    <w:multiLevelType w:val="hybridMultilevel"/>
    <w:lvl w:ilvl="0">
      <w:lvlJc w:val="left"/>
      <w:lvlText w:val="%1."/>
      <w:numFmt w:val="decimal"/>
      <w:start w:val="5"/>
    </w:lvl>
    <w:lvl w:ilvl="1">
      <w:lvlJc w:val="left"/>
      <w:lvlText w:val="%2"/>
      <w:numFmt w:val="upperLetter"/>
      <w:start w:val="1"/>
    </w:lvl>
  </w:abstractNum>
  <w:abstractNum w:abstractNumId="230">
    <w:nsid w:val="52AC7DFF"/>
    <w:multiLevelType w:val="hybridMultilevel"/>
    <w:lvl w:ilvl="0">
      <w:lvlJc w:val="left"/>
      <w:lvlText w:val="(%1)"/>
      <w:numFmt w:val="decimal"/>
      <w:start w:val="1"/>
    </w:lvl>
  </w:abstractNum>
  <w:abstractNum w:abstractNumId="231">
    <w:nsid w:val="C4C3AF"/>
    <w:multiLevelType w:val="hybridMultilevel"/>
    <w:lvl w:ilvl="0">
      <w:lvlJc w:val="left"/>
      <w:lvlText w:val="·"/>
      <w:numFmt w:val="bullet"/>
      <w:start w:val="1"/>
    </w:lvl>
  </w:abstractNum>
  <w:abstractNum w:abstractNumId="232">
    <w:nsid w:val="44380727"/>
    <w:multiLevelType w:val="hybridMultilevel"/>
    <w:lvl w:ilvl="0">
      <w:lvlJc w:val="left"/>
      <w:lvlText w:val="·"/>
      <w:numFmt w:val="bullet"/>
      <w:start w:val="1"/>
    </w:lvl>
  </w:abstractNum>
  <w:abstractNum w:abstractNumId="233">
    <w:nsid w:val="6C053B16"/>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51"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69"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png"/><Relationship Id="rId305" Type="http://schemas.openxmlformats.org/officeDocument/2006/relationships/image" Target="media/image277.png"/><Relationship Id="rId306" Type="http://schemas.openxmlformats.org/officeDocument/2006/relationships/image" Target="media/image278.png"/><Relationship Id="rId307" Type="http://schemas.openxmlformats.org/officeDocument/2006/relationships/image" Target="media/image279.png"/><Relationship Id="rId308" Type="http://schemas.openxmlformats.org/officeDocument/2006/relationships/image" Target="media/image280.png"/><Relationship Id="rId309" Type="http://schemas.openxmlformats.org/officeDocument/2006/relationships/image" Target="media/image281.png"/><Relationship Id="rId310" Type="http://schemas.openxmlformats.org/officeDocument/2006/relationships/image" Target="media/image282.png"/><Relationship Id="rId311" Type="http://schemas.openxmlformats.org/officeDocument/2006/relationships/image" Target="media/image283.png"/><Relationship Id="rId312" Type="http://schemas.openxmlformats.org/officeDocument/2006/relationships/image" Target="media/image284.png"/><Relationship Id="rId313" Type="http://schemas.openxmlformats.org/officeDocument/2006/relationships/image" Target="media/image285.png"/><Relationship Id="rId314" Type="http://schemas.openxmlformats.org/officeDocument/2006/relationships/image" Target="media/image286.png"/><Relationship Id="rId315" Type="http://schemas.openxmlformats.org/officeDocument/2006/relationships/image" Target="media/image287.png"/><Relationship Id="rId316" Type="http://schemas.openxmlformats.org/officeDocument/2006/relationships/image" Target="media/image288.png"/><Relationship Id="rId317" Type="http://schemas.openxmlformats.org/officeDocument/2006/relationships/image" Target="media/image289.png"/><Relationship Id="rId318" Type="http://schemas.openxmlformats.org/officeDocument/2006/relationships/image" Target="media/image290.png"/><Relationship Id="rId319" Type="http://schemas.openxmlformats.org/officeDocument/2006/relationships/image" Target="media/image291.png"/><Relationship Id="rId320" Type="http://schemas.openxmlformats.org/officeDocument/2006/relationships/image" Target="media/image292.png"/><Relationship Id="rId321" Type="http://schemas.openxmlformats.org/officeDocument/2006/relationships/image" Target="media/image293.png"/><Relationship Id="rId322" Type="http://schemas.openxmlformats.org/officeDocument/2006/relationships/image" Target="media/image294.png"/><Relationship Id="rId323" Type="http://schemas.openxmlformats.org/officeDocument/2006/relationships/image" Target="media/image295.png"/><Relationship Id="rId324" Type="http://schemas.openxmlformats.org/officeDocument/2006/relationships/image" Target="media/image296.png"/><Relationship Id="rId325" Type="http://schemas.openxmlformats.org/officeDocument/2006/relationships/image" Target="media/image297.png"/><Relationship Id="rId326" Type="http://schemas.openxmlformats.org/officeDocument/2006/relationships/image" Target="media/image298.png"/><Relationship Id="rId327" Type="http://schemas.openxmlformats.org/officeDocument/2006/relationships/image" Target="media/image299.png"/><Relationship Id="rId328" Type="http://schemas.openxmlformats.org/officeDocument/2006/relationships/image" Target="media/image300.png"/><Relationship Id="rId329" Type="http://schemas.openxmlformats.org/officeDocument/2006/relationships/image" Target="media/image301.png"/><Relationship Id="rId330" Type="http://schemas.openxmlformats.org/officeDocument/2006/relationships/image" Target="media/image302.png"/><Relationship Id="rId331" Type="http://schemas.openxmlformats.org/officeDocument/2006/relationships/image" Target="media/image303.png"/><Relationship Id="rId332" Type="http://schemas.openxmlformats.org/officeDocument/2006/relationships/image" Target="media/image304.png"/><Relationship Id="rId333" Type="http://schemas.openxmlformats.org/officeDocument/2006/relationships/image" Target="media/image305.png"/><Relationship Id="rId334" Type="http://schemas.openxmlformats.org/officeDocument/2006/relationships/image" Target="media/image306.png"/><Relationship Id="rId335" Type="http://schemas.openxmlformats.org/officeDocument/2006/relationships/image" Target="media/image307.png"/><Relationship Id="rId336" Type="http://schemas.openxmlformats.org/officeDocument/2006/relationships/image" Target="media/image308.png"/><Relationship Id="rId337" Type="http://schemas.openxmlformats.org/officeDocument/2006/relationships/image" Target="media/image309.png"/><Relationship Id="rId338" Type="http://schemas.openxmlformats.org/officeDocument/2006/relationships/image" Target="media/image310.png"/><Relationship Id="rId339" Type="http://schemas.openxmlformats.org/officeDocument/2006/relationships/image" Target="media/image311.png"/><Relationship Id="rId340" Type="http://schemas.openxmlformats.org/officeDocument/2006/relationships/image" Target="media/image312.png"/><Relationship Id="rId341" Type="http://schemas.openxmlformats.org/officeDocument/2006/relationships/image" Target="media/image313.png"/><Relationship Id="rId342" Type="http://schemas.openxmlformats.org/officeDocument/2006/relationships/image" Target="media/image314.png"/><Relationship Id="rId343" Type="http://schemas.openxmlformats.org/officeDocument/2006/relationships/image" Target="media/image315.png"/><Relationship Id="rId344" Type="http://schemas.openxmlformats.org/officeDocument/2006/relationships/image" Target="media/image316.png"/><Relationship Id="rId345" Type="http://schemas.openxmlformats.org/officeDocument/2006/relationships/image" Target="media/image317.png"/><Relationship Id="rId346" Type="http://schemas.openxmlformats.org/officeDocument/2006/relationships/image" Target="media/image318.png"/><Relationship Id="rId347" Type="http://schemas.openxmlformats.org/officeDocument/2006/relationships/image" Target="media/image319.png"/><Relationship Id="rId348" Type="http://schemas.openxmlformats.org/officeDocument/2006/relationships/image" Target="media/image320.png"/><Relationship Id="rId349" Type="http://schemas.openxmlformats.org/officeDocument/2006/relationships/image" Target="media/image321.png"/><Relationship Id="rId350" Type="http://schemas.openxmlformats.org/officeDocument/2006/relationships/image" Target="media/image322.png"/><Relationship Id="rId351" Type="http://schemas.openxmlformats.org/officeDocument/2006/relationships/image" Target="media/image323.png"/><Relationship Id="rId352" Type="http://schemas.openxmlformats.org/officeDocument/2006/relationships/image" Target="media/image324.png"/><Relationship Id="rId353" Type="http://schemas.openxmlformats.org/officeDocument/2006/relationships/image" Target="media/image325.png"/><Relationship Id="rId354" Type="http://schemas.openxmlformats.org/officeDocument/2006/relationships/image" Target="media/image326.png"/><Relationship Id="rId355" Type="http://schemas.openxmlformats.org/officeDocument/2006/relationships/image" Target="media/image327.png"/><Relationship Id="rId356" Type="http://schemas.openxmlformats.org/officeDocument/2006/relationships/image" Target="media/image328.png"/><Relationship Id="rId357" Type="http://schemas.openxmlformats.org/officeDocument/2006/relationships/image" Target="media/image329.png"/><Relationship Id="rId358" Type="http://schemas.openxmlformats.org/officeDocument/2006/relationships/image" Target="media/image330.png"/><Relationship Id="rId359" Type="http://schemas.openxmlformats.org/officeDocument/2006/relationships/image" Target="media/image331.png"/><Relationship Id="rId360" Type="http://schemas.openxmlformats.org/officeDocument/2006/relationships/image" Target="media/image332.png"/><Relationship Id="rId361" Type="http://schemas.openxmlformats.org/officeDocument/2006/relationships/image" Target="media/image333.png"/><Relationship Id="rId362" Type="http://schemas.openxmlformats.org/officeDocument/2006/relationships/image" Target="media/image334.png"/><Relationship Id="rId363" Type="http://schemas.openxmlformats.org/officeDocument/2006/relationships/image" Target="media/image335.png"/><Relationship Id="rId364" Type="http://schemas.openxmlformats.org/officeDocument/2006/relationships/image" Target="media/image336.png"/><Relationship Id="rId365" Type="http://schemas.openxmlformats.org/officeDocument/2006/relationships/image" Target="media/image337.png"/><Relationship Id="rId366" Type="http://schemas.openxmlformats.org/officeDocument/2006/relationships/image" Target="media/image338.png"/><Relationship Id="rId367" Type="http://schemas.openxmlformats.org/officeDocument/2006/relationships/image" Target="media/image339.png"/><Relationship Id="rId368" Type="http://schemas.openxmlformats.org/officeDocument/2006/relationships/image" Target="media/image340.png"/><Relationship Id="rId369" Type="http://schemas.openxmlformats.org/officeDocument/2006/relationships/image" Target="media/image341.png"/><Relationship Id="rId370" Type="http://schemas.openxmlformats.org/officeDocument/2006/relationships/image" Target="media/image342.png"/><Relationship Id="rId371" Type="http://schemas.openxmlformats.org/officeDocument/2006/relationships/image" Target="media/image343.png"/><Relationship Id="rId372" Type="http://schemas.openxmlformats.org/officeDocument/2006/relationships/image" Target="media/image344.png"/><Relationship Id="rId373" Type="http://schemas.openxmlformats.org/officeDocument/2006/relationships/image" Target="media/image345.png"/><Relationship Id="rId374" Type="http://schemas.openxmlformats.org/officeDocument/2006/relationships/image" Target="media/image346.png"/><Relationship Id="rId375" Type="http://schemas.openxmlformats.org/officeDocument/2006/relationships/image" Target="media/image347.png"/><Relationship Id="rId376" Type="http://schemas.openxmlformats.org/officeDocument/2006/relationships/image" Target="media/image348.png"/><Relationship Id="rId377" Type="http://schemas.openxmlformats.org/officeDocument/2006/relationships/image" Target="media/image349.png"/><Relationship Id="rId378" Type="http://schemas.openxmlformats.org/officeDocument/2006/relationships/image" Target="media/image350.png"/><Relationship Id="rId379" Type="http://schemas.openxmlformats.org/officeDocument/2006/relationships/image" Target="media/image351.png"/><Relationship Id="rId380" Type="http://schemas.openxmlformats.org/officeDocument/2006/relationships/image" Target="media/image352.png"/><Relationship Id="rId381" Type="http://schemas.openxmlformats.org/officeDocument/2006/relationships/image" Target="media/image353.png"/><Relationship Id="rId382" Type="http://schemas.openxmlformats.org/officeDocument/2006/relationships/image" Target="media/image354.png"/><Relationship Id="rId383" Type="http://schemas.openxmlformats.org/officeDocument/2006/relationships/image" Target="media/image355.png"/><Relationship Id="rId384" Type="http://schemas.openxmlformats.org/officeDocument/2006/relationships/image" Target="media/image356.png"/><Relationship Id="rId385" Type="http://schemas.openxmlformats.org/officeDocument/2006/relationships/image" Target="media/image357.png"/><Relationship Id="rId386" Type="http://schemas.openxmlformats.org/officeDocument/2006/relationships/image" Target="media/image358.png"/><Relationship Id="rId387" Type="http://schemas.openxmlformats.org/officeDocument/2006/relationships/image" Target="media/image359.png"/><Relationship Id="rId388" Type="http://schemas.openxmlformats.org/officeDocument/2006/relationships/image" Target="media/image360.png"/><Relationship Id="rId389" Type="http://schemas.openxmlformats.org/officeDocument/2006/relationships/image" Target="media/image361.png"/><Relationship Id="rId390" Type="http://schemas.openxmlformats.org/officeDocument/2006/relationships/image" Target="media/image362.png"/><Relationship Id="rId391" Type="http://schemas.openxmlformats.org/officeDocument/2006/relationships/image" Target="media/image363.png"/><Relationship Id="rId392" Type="http://schemas.openxmlformats.org/officeDocument/2006/relationships/image" Target="media/image364.png"/><Relationship Id="rId393" Type="http://schemas.openxmlformats.org/officeDocument/2006/relationships/image" Target="media/image365.png"/><Relationship Id="rId394" Type="http://schemas.openxmlformats.org/officeDocument/2006/relationships/image" Target="media/image366.png"/><Relationship Id="rId395" Type="http://schemas.openxmlformats.org/officeDocument/2006/relationships/image" Target="media/image367.png"/><Relationship Id="rId396" Type="http://schemas.openxmlformats.org/officeDocument/2006/relationships/image" Target="media/image368.png"/><Relationship Id="rId397" Type="http://schemas.openxmlformats.org/officeDocument/2006/relationships/image" Target="media/image369.png"/><Relationship Id="rId398" Type="http://schemas.openxmlformats.org/officeDocument/2006/relationships/image" Target="media/image370.png"/><Relationship Id="rId399" Type="http://schemas.openxmlformats.org/officeDocument/2006/relationships/image" Target="media/image371.png"/><Relationship Id="rId400" Type="http://schemas.openxmlformats.org/officeDocument/2006/relationships/image" Target="media/image372.png"/><Relationship Id="rId401" Type="http://schemas.openxmlformats.org/officeDocument/2006/relationships/image" Target="media/image373.png"/><Relationship Id="rId402" Type="http://schemas.openxmlformats.org/officeDocument/2006/relationships/image" Target="media/image374.png"/><Relationship Id="rId403" Type="http://schemas.openxmlformats.org/officeDocument/2006/relationships/image" Target="media/image375.png"/><Relationship Id="rId404" Type="http://schemas.openxmlformats.org/officeDocument/2006/relationships/image" Target="media/image376.png"/><Relationship Id="rId405" Type="http://schemas.openxmlformats.org/officeDocument/2006/relationships/image" Target="media/image377.png"/><Relationship Id="rId406" Type="http://schemas.openxmlformats.org/officeDocument/2006/relationships/image" Target="media/image378.png"/><Relationship Id="rId407" Type="http://schemas.openxmlformats.org/officeDocument/2006/relationships/image" Target="media/image379.png"/><Relationship Id="rId408" Type="http://schemas.openxmlformats.org/officeDocument/2006/relationships/image" Target="media/image380.png"/><Relationship Id="rId409" Type="http://schemas.openxmlformats.org/officeDocument/2006/relationships/image" Target="media/image381.png"/><Relationship Id="rId410" Type="http://schemas.openxmlformats.org/officeDocument/2006/relationships/image" Target="media/image382.png"/><Relationship Id="rId411" Type="http://schemas.openxmlformats.org/officeDocument/2006/relationships/image" Target="media/image383.png"/><Relationship Id="rId412" Type="http://schemas.openxmlformats.org/officeDocument/2006/relationships/image" Target="media/image384.png"/><Relationship Id="rId413" Type="http://schemas.openxmlformats.org/officeDocument/2006/relationships/image" Target="media/image385.png"/><Relationship Id="rId414" Type="http://schemas.openxmlformats.org/officeDocument/2006/relationships/image" Target="media/image386.png"/><Relationship Id="rId415" Type="http://schemas.openxmlformats.org/officeDocument/2006/relationships/image" Target="media/image387.png"/><Relationship Id="rId416" Type="http://schemas.openxmlformats.org/officeDocument/2006/relationships/image" Target="media/image388.png"/><Relationship Id="rId417" Type="http://schemas.openxmlformats.org/officeDocument/2006/relationships/image" Target="media/image389.png"/><Relationship Id="rId418" Type="http://schemas.openxmlformats.org/officeDocument/2006/relationships/image" Target="media/image390.png"/><Relationship Id="rId419" Type="http://schemas.openxmlformats.org/officeDocument/2006/relationships/image" Target="media/image391.png"/><Relationship Id="rId420" Type="http://schemas.openxmlformats.org/officeDocument/2006/relationships/image" Target="media/image392.png"/><Relationship Id="rId421" Type="http://schemas.openxmlformats.org/officeDocument/2006/relationships/image" Target="media/image393.png"/><Relationship Id="rId422" Type="http://schemas.openxmlformats.org/officeDocument/2006/relationships/image" Target="media/image394.png"/><Relationship Id="rId423" Type="http://schemas.openxmlformats.org/officeDocument/2006/relationships/image" Target="media/image395.png"/><Relationship Id="rId424" Type="http://schemas.openxmlformats.org/officeDocument/2006/relationships/image" Target="media/image396.png"/><Relationship Id="rId425" Type="http://schemas.openxmlformats.org/officeDocument/2006/relationships/image" Target="media/image397.png"/><Relationship Id="rId426" Type="http://schemas.openxmlformats.org/officeDocument/2006/relationships/image" Target="media/image398.png"/><Relationship Id="rId427" Type="http://schemas.openxmlformats.org/officeDocument/2006/relationships/image" Target="media/image399.png"/><Relationship Id="rId428" Type="http://schemas.openxmlformats.org/officeDocument/2006/relationships/image" Target="media/image400.png"/><Relationship Id="rId429" Type="http://schemas.openxmlformats.org/officeDocument/2006/relationships/image" Target="media/image401.png"/><Relationship Id="rId430" Type="http://schemas.openxmlformats.org/officeDocument/2006/relationships/image" Target="media/image402.png"/><Relationship Id="rId431" Type="http://schemas.openxmlformats.org/officeDocument/2006/relationships/image" Target="media/image403.png"/><Relationship Id="rId432" Type="http://schemas.openxmlformats.org/officeDocument/2006/relationships/image" Target="media/image404.png"/><Relationship Id="rId433" Type="http://schemas.openxmlformats.org/officeDocument/2006/relationships/image" Target="media/image405.png"/><Relationship Id="rId434" Type="http://schemas.openxmlformats.org/officeDocument/2006/relationships/image" Target="media/image406.png"/><Relationship Id="rId435" Type="http://schemas.openxmlformats.org/officeDocument/2006/relationships/image" Target="media/image407.png"/><Relationship Id="rId436" Type="http://schemas.openxmlformats.org/officeDocument/2006/relationships/image" Target="media/image408.png"/><Relationship Id="rId437" Type="http://schemas.openxmlformats.org/officeDocument/2006/relationships/image" Target="media/image409.png"/><Relationship Id="rId438" Type="http://schemas.openxmlformats.org/officeDocument/2006/relationships/image" Target="media/image410.png"/><Relationship Id="rId439" Type="http://schemas.openxmlformats.org/officeDocument/2006/relationships/image" Target="media/image411.png"/><Relationship Id="rId440" Type="http://schemas.openxmlformats.org/officeDocument/2006/relationships/image" Target="media/image412.png"/><Relationship Id="rId441" Type="http://schemas.openxmlformats.org/officeDocument/2006/relationships/image" Target="media/image413.png"/><Relationship Id="rId442" Type="http://schemas.openxmlformats.org/officeDocument/2006/relationships/image" Target="media/image414.png"/><Relationship Id="rId443" Type="http://schemas.openxmlformats.org/officeDocument/2006/relationships/image" Target="media/image415.png"/><Relationship Id="rId444" Type="http://schemas.openxmlformats.org/officeDocument/2006/relationships/image" Target="media/image416.png"/><Relationship Id="rId445" Type="http://schemas.openxmlformats.org/officeDocument/2006/relationships/image" Target="media/image417.png"/><Relationship Id="rId446" Type="http://schemas.openxmlformats.org/officeDocument/2006/relationships/image" Target="media/image418.png"/><Relationship Id="rId447" Type="http://schemas.openxmlformats.org/officeDocument/2006/relationships/image" Target="media/image419.png"/><Relationship Id="rId34" Type="http://schemas.openxmlformats.org/officeDocument/2006/relationships/hyperlink" Target="https://www.sec.gov/Archives/edgar/data/1826667/000110465922117666/tm2230343d1_ex2-1.htm" TargetMode="External"/><Relationship Id="rId35" Type="http://schemas.openxmlformats.org/officeDocument/2006/relationships/hyperlink" Target="https://www.sec.gov/Archives/edgar/data/1826667/000110465923042182/tm2311821d1_ex10-1.htm" TargetMode="External"/><Relationship Id="rId36" Type="http://schemas.openxmlformats.org/officeDocument/2006/relationships/hyperlink" Target="https://www.sec.gov/Archives/edgar/data/1826667/000110465923060142/tm2315541d1_ex10-1.htm" TargetMode="External"/><Relationship Id="rId37" Type="http://schemas.openxmlformats.org/officeDocument/2006/relationships/hyperlink" Target="https://www.sec.gov/Archives/edgar/data/1826667/000110465923078462/tm2320024d1_ex10-1.htm" TargetMode="External"/><Relationship Id="rId38" Type="http://schemas.openxmlformats.org/officeDocument/2006/relationships/hyperlink" Target="https://www.sec.gov/Archives/edgar/data/1826667/000110465920139004/tm2039161d1_ex4-1.htm" TargetMode="External"/><Relationship Id="rId39" Type="http://schemas.openxmlformats.org/officeDocument/2006/relationships/hyperlink" Target="https://www.sec.gov/Archives/edgar/data/1826667/000110465923069137/tm2317638d1_ex10-1.htm" TargetMode="External"/><Relationship Id="rId40" Type="http://schemas.openxmlformats.org/officeDocument/2006/relationships/hyperlink" Target="https://www.sec.gov/Archives/edgar/data/1826667/000110465923078462/tm2320024d1_ex10-2.htm" TargetMode="External"/><Relationship Id="rId41" Type="http://schemas.openxmlformats.org/officeDocument/2006/relationships/hyperlink" Target="https://www.sec.gov/Archives/edgar/data/1826667/000110465922117666/tm2230343d1_ex10-3.htm" TargetMode="External"/><Relationship Id="rId42" Type="http://schemas.openxmlformats.org/officeDocument/2006/relationships/hyperlink" Target="https://www.sec.gov/Archives/edgar/data/1826667/000110465922117666/tm2230343d1_ex10-4.htm" TargetMode="External"/><Relationship Id="rId43" Type="http://schemas.openxmlformats.org/officeDocument/2006/relationships/hyperlink" Target="https://www.sec.gov/Archives/edgar/data/1826667/000110465920139004/tm2039161d1_ex10-1.htm" TargetMode="External"/><Relationship Id="rId44" Type="http://schemas.openxmlformats.org/officeDocument/2006/relationships/hyperlink" Target="https://www.sec.gov/Archives/edgar/data/1826667/000110465922117666/tm2230343d1_ex10-2.htm" TargetMode="External"/><Relationship Id="rId45" Type="http://schemas.openxmlformats.org/officeDocument/2006/relationships/hyperlink" Target="https://www.sec.gov/Archives/edgar/data/1826667/000141057823000762/mtac-20221231xex10d14.htm" TargetMode="External"/><Relationship Id="rId46" Type="http://schemas.openxmlformats.org/officeDocument/2006/relationships/hyperlink" Target="https://www.sec.gov/Archives/edgar/data/1826667/000141057823000762/mtac-20221231xex10d15.htm" TargetMode="External"/><Relationship Id="rId47" Type="http://schemas.openxmlformats.org/officeDocument/2006/relationships/hyperlink" Target="https://www.sec.gov/Archives/edgar/data/1826667/000141057823000762/mtac-20221231xex10d16.htm" TargetMode="External"/><Relationship Id="rId48" Type="http://schemas.openxmlformats.org/officeDocument/2006/relationships/hyperlink" Target="https://www.sec.gov/Archives/edgar/data/1826667/000141057823000762/mtac-20221231xex10d17.htm" TargetMode="External"/><Relationship Id="rId49" Type="http://schemas.openxmlformats.org/officeDocument/2006/relationships/hyperlink" Target="https://www.sec.gov/Archives/edgar/data/1826667/000141057823000762/mtac-20221231xex10d18.htm" TargetMode="External"/><Relationship Id="rId50" Type="http://schemas.openxmlformats.org/officeDocument/2006/relationships/hyperlink" Target="https://www.sec.gov/Archives/edgar/data/1826667/000141057823000762/mtac-20221231xex10d19.htm" TargetMode="External"/><Relationship Id="rId52" Type="http://schemas.openxmlformats.org/officeDocument/2006/relationships/hyperlink" Target="https://www.sec.gov/Archives/edgar/data/1826667/000110465923078759/tm2314644d10_ex10-25.htm" TargetMode="External"/><Relationship Id="rId53" Type="http://schemas.openxmlformats.org/officeDocument/2006/relationships/hyperlink" Target="https://www.sec.gov/Archives/edgar/data/1826667/000141057823000762/mtac-20221231xex10d13.htm" TargetMode="External"/><Relationship Id="rId54" Type="http://schemas.openxmlformats.org/officeDocument/2006/relationships/hyperlink" Target="https://www.sec.gov/Archives/edgar/data/1826667/000141057823000762/mtac-20221231xex10d20.htm" TargetMode="External"/><Relationship Id="rId55" Type="http://schemas.openxmlformats.org/officeDocument/2006/relationships/hyperlink" Target="https://www.sec.gov/Archives/edgar/data/1826667/000110465923069459/tm2314644d6_ex1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2023-08-16T15:57:08Z</dcterms:created>
  <dcterms:modified xsi:type="dcterms:W3CDTF">2023-08-16T15:57:08Z</dcterms:modified>
</cp:coreProperties>
</file>