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33"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333" w:before="20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333" w:before="200" w:after="20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001-39813</w:t>
      </w:r>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TRISALUS LIFE SCIENCES, INC.</w:t>
      </w:r>
    </w:p>
    <w:p>
      <w:pPr>
        <w:pStyle w:val="TextBody"/>
        <w:bidi w:val="0"/>
        <w:spacing w:lineRule="auto" w:line="333" w:before="0" w:after="20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5008" w:type="dxa"/>
        <w:jc w:val="left"/>
        <w:tblInd w:w="0" w:type="dxa"/>
        <w:tblLayout w:type="fixed"/>
        <w:tblCellMar>
          <w:top w:w="28" w:type="dxa"/>
          <w:left w:w="28" w:type="dxa"/>
          <w:bottom w:w="28" w:type="dxa"/>
          <w:right w:w="28" w:type="dxa"/>
        </w:tblCellMar>
      </w:tblPr>
      <w:tblGrid>
        <w:gridCol w:w="1215"/>
        <w:gridCol w:w="1066"/>
        <w:gridCol w:w="1078"/>
        <w:gridCol w:w="481"/>
        <w:gridCol w:w="481"/>
        <w:gridCol w:w="687"/>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85-3009869</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6272 W 91st Ave, Westminster, CO</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80031</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200" w:after="283"/>
        <w:jc w:val="center"/>
        <w:rPr/>
      </w:pPr>
      <w:r>
        <w:rPr>
          <w:rFonts w:ascii="Times New Roman;serif" w:hAnsi="Times New Roman;serif"/>
          <w:b w:val="false"/>
          <w:color w:val="000000"/>
          <w:sz w:val="20"/>
        </w:rPr>
        <w:t>(888)</w:t>
      </w:r>
      <w:r>
        <w:rPr>
          <w:color w:val="000000"/>
        </w:rPr>
        <w:t xml:space="preserve"> </w:t>
      </w:r>
      <w:r>
        <w:rPr>
          <w:rFonts w:ascii="Times New Roman;serif" w:hAnsi="Times New Roman;serif"/>
          <w:b w:val="false"/>
          <w:color w:val="000000"/>
          <w:sz w:val="20"/>
        </w:rPr>
        <w:t>321-5212</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N/A (Former name, former address and former fiscal year, if changed since last report)</w:t>
      </w:r>
    </w:p>
    <w:p>
      <w:pPr>
        <w:pStyle w:val="TextBody"/>
        <w:bidi w:val="0"/>
        <w:spacing w:lineRule="auto" w:line="333" w:before="20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9"/>
        <w:gridCol w:w="1945"/>
        <w:gridCol w:w="1968"/>
        <w:gridCol w:w="426"/>
        <w:gridCol w:w="426"/>
        <w:gridCol w:w="427"/>
        <w:gridCol w:w="752"/>
        <w:gridCol w:w="752"/>
        <w:gridCol w:w="1070"/>
      </w:tblGrid>
      <w:tr>
        <w:trPr/>
        <w:tc>
          <w:tcPr>
            <w:tcW w:w="24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63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3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TLSI</w:t>
            </w:r>
          </w:p>
        </w:tc>
        <w:tc>
          <w:tcPr>
            <w:tcW w:w="2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r>
        <w:trPr/>
        <w:tc>
          <w:tcPr>
            <w:tcW w:w="63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registrant's common stock at an exercise price of $11.50 per share</w:t>
            </w:r>
          </w:p>
        </w:tc>
        <w:tc>
          <w:tcPr>
            <w:tcW w:w="1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TLSIW</w:t>
            </w:r>
          </w:p>
        </w:tc>
        <w:tc>
          <w:tcPr>
            <w:tcW w:w="25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333"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333"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333"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p>
    <w:p>
      <w:pPr>
        <w:pStyle w:val="TextBody"/>
        <w:bidi w:val="0"/>
        <w:spacing w:lineRule="auto" w:line="333" w:before="200" w:after="200"/>
        <w:jc w:val="left"/>
        <w:rPr>
          <w:color w:val="000000"/>
        </w:rPr>
      </w:pPr>
      <w:r>
        <w:rPr>
          <w:color w:val="000000"/>
        </w:rPr>
        <w:t>“</w:t>
      </w:r>
      <w:r>
        <w:rPr>
          <w:rFonts w:ascii="Times New Roman;serif" w:hAnsi="Times New Roman;serif"/>
          <w:b w:val="false"/>
          <w:color w:val="000000"/>
          <w:sz w:val="20"/>
        </w:rPr>
        <w:t>accelerated filer,” “smaller reporting company,” and "emerging growth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333"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333" w:before="20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333" w:before="200" w:after="200"/>
        <w:jc w:val="left"/>
        <w:rPr>
          <w:rFonts w:ascii="Times New Roman;serif" w:hAnsi="Times New Roman;serif"/>
          <w:b w:val="false"/>
          <w:color w:val="000000"/>
          <w:sz w:val="20"/>
        </w:rPr>
      </w:pPr>
      <w:r>
        <w:rPr>
          <w:rFonts w:ascii="Times New Roman;serif" w:hAnsi="Times New Roman;serif"/>
          <w:b w:val="false"/>
          <w:color w:val="000000"/>
          <w:sz w:val="20"/>
        </w:rPr>
        <w:t>The registrant had 49,867,279 shares of common stock outstanding as of August 6,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926" w:type="dxa"/>
        <w:jc w:val="left"/>
        <w:tblInd w:w="0" w:type="dxa"/>
        <w:tblLayout w:type="fixed"/>
        <w:tblCellMar>
          <w:top w:w="28" w:type="dxa"/>
          <w:left w:w="28" w:type="dxa"/>
          <w:bottom w:w="28" w:type="dxa"/>
          <w:right w:w="28" w:type="dxa"/>
        </w:tblCellMar>
      </w:tblPr>
      <w:tblGrid>
        <w:gridCol w:w="369"/>
        <w:gridCol w:w="324"/>
        <w:gridCol w:w="328"/>
        <w:gridCol w:w="2453"/>
        <w:gridCol w:w="2453"/>
        <w:gridCol w:w="2458"/>
        <w:gridCol w:w="158"/>
        <w:gridCol w:w="158"/>
        <w:gridCol w:w="225"/>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r>
              <w:rPr>
                <w:rFonts w:ascii="Times New Roman;serif" w:hAnsi="Times New Roman;serif"/>
                <w:b/>
                <w:color w:val="000000"/>
                <w:sz w:val="20"/>
              </w:rPr>
              <w:t xml:space="preserve">Special Note Regarding </w:t>
            </w:r>
            <w:hyperlink w:anchor="i323027f8abf740b09abb90f3dae77b8f_10">
              <w:r>
                <w:rPr>
                  <w:rStyle w:val="InternetLink"/>
                  <w:rFonts w:ascii="Times New Roman;serif" w:hAnsi="Times New Roman;serif"/>
                  <w:b/>
                  <w:strike w:val="false"/>
                  <w:dstrike w:val="false"/>
                  <w:color w:val="000000"/>
                  <w:sz w:val="20"/>
                  <w:u w:val="none"/>
                  <w:effect w:val="none"/>
                </w:rPr>
                <w:t>Forward-Looking Statements</w:t>
              </w:r>
            </w:hyperlink>
          </w:p>
        </w:tc>
        <w:tc>
          <w:tcPr>
            <w:tcW w:w="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hyperlink w:anchor="i323027f8abf740b09abb90f3dae77b8f_10">
              <w:r>
                <w:rPr>
                  <w:rStyle w:val="InternetLink"/>
                  <w:rFonts w:ascii="Times New Roman;serif" w:hAnsi="Times New Roman;serif"/>
                  <w:b w:val="false"/>
                  <w:strike w:val="false"/>
                  <w:dstrike w:val="false"/>
                  <w:color w:val="000000"/>
                  <w:sz w:val="20"/>
                  <w:u w:val="none"/>
                  <w:effect w:val="none"/>
                </w:rPr>
                <w:t>2</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left"/>
              <w:rPr/>
            </w:pPr>
            <w:hyperlink w:anchor="i323027f8abf740b09abb90f3dae77b8f_13">
              <w:r>
                <w:rPr>
                  <w:rStyle w:val="InternetLink"/>
                  <w:rFonts w:ascii="Times New Roman;serif" w:hAnsi="Times New Roman;serif"/>
                  <w:b/>
                  <w:strike w:val="false"/>
                  <w:dstrike w:val="false"/>
                  <w:color w:val="000000"/>
                  <w:sz w:val="20"/>
                  <w:u w:val="none"/>
                  <w:effect w:val="none"/>
                </w:rPr>
                <w:t>PART I.</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left"/>
              <w:rPr/>
            </w:pPr>
            <w:hyperlink w:anchor="i323027f8abf740b09abb90f3dae77b8f_13">
              <w:r>
                <w:rPr>
                  <w:rStyle w:val="InternetLink"/>
                  <w:rFonts w:ascii="Times New Roman;serif" w:hAnsi="Times New Roman;serif"/>
                  <w:b/>
                  <w:strike w:val="false"/>
                  <w:dstrike w:val="false"/>
                  <w:color w:val="000000"/>
                  <w:sz w:val="20"/>
                  <w:u w:val="none"/>
                  <w:effect w:val="none"/>
                </w:rPr>
                <w:t>FINANCIAL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6">
              <w:r>
                <w:rPr>
                  <w:rStyle w:val="InternetLink"/>
                  <w:rFonts w:ascii="Times New Roman;serif" w:hAnsi="Times New Roman;serif"/>
                  <w:b w:val="false"/>
                  <w:strike w:val="false"/>
                  <w:dstrike w:val="false"/>
                  <w:color w:val="000000"/>
                  <w:sz w:val="20"/>
                  <w:u w:val="none"/>
                  <w:effect w:val="none"/>
                </w:rPr>
                <w:t>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9">
              <w:r>
                <w:rPr>
                  <w:rStyle w:val="InternetLink"/>
                  <w:rFonts w:ascii="Times New Roman;serif" w:hAnsi="Times New Roman;serif"/>
                  <w:b w:val="false"/>
                  <w:strike w:val="false"/>
                  <w:dstrike w:val="false"/>
                  <w:color w:val="000000"/>
                  <w:sz w:val="20"/>
                  <w:u w:val="none"/>
                  <w:effect w:val="none"/>
                </w:rPr>
                <w:t>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323027f8abf740b09abb90f3dae77b8f_19">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9">
              <w:r>
                <w:rPr>
                  <w:rStyle w:val="InternetLink"/>
                  <w:rFonts w:ascii="Times New Roman;serif" w:hAnsi="Times New Roman;serif"/>
                  <w:b w:val="false"/>
                  <w:strike w:val="false"/>
                  <w:dstrike w:val="false"/>
                  <w:color w:val="000000"/>
                  <w:sz w:val="20"/>
                  <w:u w:val="none"/>
                  <w:effect w:val="none"/>
                </w:rPr>
                <w:t>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23027f8abf740b09abb90f3dae77b8f_22">
              <w:r>
                <w:rPr>
                  <w:rStyle w:val="InternetLink"/>
                  <w:rFonts w:ascii="Times New Roman;serif" w:hAnsi="Times New Roman;serif"/>
                  <w:b w:val="false"/>
                  <w:strike w:val="false"/>
                  <w:dstrike w:val="false"/>
                  <w:color w:val="000000"/>
                  <w:sz w:val="20"/>
                  <w:u w:val="none"/>
                  <w:effect w:val="none"/>
                </w:rPr>
                <w:t>Condensed Consolidated Statements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22">
              <w:r>
                <w:rPr>
                  <w:rStyle w:val="InternetLink"/>
                  <w:rFonts w:ascii="Times New Roman;serif" w:hAnsi="Times New Roman;serif"/>
                  <w:b w:val="false"/>
                  <w:strike w:val="false"/>
                  <w:dstrike w:val="false"/>
                  <w:color w:val="000000"/>
                  <w:sz w:val="20"/>
                  <w:u w:val="none"/>
                  <w:effect w:val="none"/>
                </w:rPr>
                <w:t>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25">
              <w:r>
                <w:rPr>
                  <w:rStyle w:val="InternetLink"/>
                  <w:rFonts w:ascii="Times New Roman;serif" w:hAnsi="Times New Roman;serif"/>
                  <w:b w:val="false"/>
                  <w:strike w:val="false"/>
                  <w:dstrike w:val="false"/>
                  <w:color w:val="000000"/>
                  <w:sz w:val="20"/>
                  <w:u w:val="none"/>
                  <w:effect w:val="none"/>
                </w:rPr>
                <w:t>Condensed Consolidated Statements of Stockholders’ Deficit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25">
              <w:r>
                <w:rPr>
                  <w:rStyle w:val="InternetLink"/>
                  <w:rFonts w:ascii="Times New Roman;serif" w:hAnsi="Times New Roman;serif"/>
                  <w:b w:val="false"/>
                  <w:strike w:val="false"/>
                  <w:dstrike w:val="false"/>
                  <w:color w:val="000000"/>
                  <w:sz w:val="20"/>
                  <w:u w:val="none"/>
                  <w:effect w:val="none"/>
                </w:rPr>
                <w:t>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28">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28">
              <w:r>
                <w:rPr>
                  <w:rStyle w:val="InternetLink"/>
                  <w:rFonts w:ascii="Times New Roman;serif" w:hAnsi="Times New Roman;serif"/>
                  <w:b w:val="false"/>
                  <w:strike w:val="false"/>
                  <w:dstrike w:val="false"/>
                  <w:color w:val="000000"/>
                  <w:sz w:val="20"/>
                  <w:u w:val="none"/>
                  <w:effect w:val="none"/>
                </w:rPr>
                <w:t>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31">
              <w:r>
                <w:rPr>
                  <w:rStyle w:val="InternetLink"/>
                  <w:rFonts w:ascii="Times New Roman;serif" w:hAnsi="Times New Roman;serif"/>
                  <w:b w:val="false"/>
                  <w:strike w:val="false"/>
                  <w:dstrike w:val="false"/>
                  <w:color w:val="000080"/>
                  <w:sz w:val="20"/>
                  <w:u w:val="single"/>
                  <w:effect w:val="none"/>
                </w:rPr>
                <w:t>Notes to Condensed Co</w:t>
              </w:r>
            </w:hyperlink>
            <w:hyperlink w:anchor="i323027f8abf740b09abb90f3dae77b8f_31">
              <w:r>
                <w:rPr>
                  <w:rStyle w:val="InternetLink"/>
                  <w:rFonts w:ascii="Times New Roman;serif" w:hAnsi="Times New Roman;serif"/>
                  <w:b w:val="false"/>
                  <w:strike w:val="false"/>
                  <w:dstrike w:val="false"/>
                  <w:color w:val="000080"/>
                  <w:sz w:val="20"/>
                  <w:u w:val="single"/>
                  <w:effect w:val="none"/>
                </w:rPr>
                <w:t>nsolidated</w:t>
              </w:r>
            </w:hyperlink>
            <w:hyperlink w:anchor="i323027f8abf740b09abb90f3dae77b8f_31">
              <w:r>
                <w:rPr>
                  <w:rStyle w:val="InternetLink"/>
                  <w:rFonts w:ascii="Times New Roman;serif" w:hAnsi="Times New Roman;serif"/>
                  <w:b w:val="false"/>
                  <w:strike w:val="false"/>
                  <w:dstrike w:val="false"/>
                  <w:color w:val="000080"/>
                  <w:sz w:val="20"/>
                  <w:u w:val="single"/>
                  <w:effect w:val="none"/>
                </w:rPr>
                <w:t xml:space="preserve">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31">
              <w:r>
                <w:rPr>
                  <w:rStyle w:val="InternetLink"/>
                  <w:rFonts w:ascii="Times New Roman;serif" w:hAnsi="Times New Roman;serif"/>
                  <w:b w:val="false"/>
                  <w:strike w:val="false"/>
                  <w:dstrike w:val="false"/>
                  <w:color w:val="000000"/>
                  <w:sz w:val="20"/>
                  <w:u w:val="none"/>
                  <w:effect w:val="none"/>
                </w:rPr>
                <w:t>8</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91">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91">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91">
              <w:r>
                <w:rPr>
                  <w:rStyle w:val="InternetLink"/>
                  <w:rFonts w:ascii="Times New Roman;serif" w:hAnsi="Times New Roman;serif"/>
                  <w:b w:val="false"/>
                  <w:strike w:val="false"/>
                  <w:dstrike w:val="false"/>
                  <w:color w:val="000000"/>
                  <w:sz w:val="20"/>
                  <w:u w:val="none"/>
                  <w:effect w:val="none"/>
                </w:rPr>
                <w:t>35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27">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27">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27">
              <w:r>
                <w:rPr>
                  <w:rStyle w:val="InternetLink"/>
                  <w:rFonts w:ascii="Times New Roman;serif" w:hAnsi="Times New Roman;serif"/>
                  <w:b w:val="false"/>
                  <w:strike w:val="false"/>
                  <w:dstrike w:val="false"/>
                  <w:color w:val="000000"/>
                  <w:sz w:val="20"/>
                  <w:u w:val="none"/>
                  <w:effect w:val="none"/>
                </w:rPr>
                <w:t>44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30">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30">
              <w:r>
                <w:rPr>
                  <w:rStyle w:val="InternetLink"/>
                  <w:rFonts w:ascii="Times New Roman;serif" w:hAnsi="Times New Roman;serif"/>
                  <w:b w:val="false"/>
                  <w:strike w:val="false"/>
                  <w:dstrike w:val="false"/>
                  <w:color w:val="000000"/>
                  <w:sz w:val="20"/>
                  <w:u w:val="none"/>
                  <w:effect w:val="non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30">
              <w:r>
                <w:rPr>
                  <w:rStyle w:val="InternetLink"/>
                  <w:rFonts w:ascii="Times New Roman;serif" w:hAnsi="Times New Roman;serif"/>
                  <w:b w:val="false"/>
                  <w:strike w:val="false"/>
                  <w:dstrike w:val="false"/>
                  <w:color w:val="000000"/>
                  <w:sz w:val="20"/>
                  <w:u w:val="none"/>
                  <w:effect w:val="none"/>
                </w:rPr>
                <w:t>44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33">
              <w:r>
                <w:rPr>
                  <w:rStyle w:val="InternetLink"/>
                  <w:rFonts w:ascii="Times New Roman;serif" w:hAnsi="Times New Roman;serif"/>
                  <w:b/>
                  <w:strike w:val="false"/>
                  <w:dstrike w:val="false"/>
                  <w:color w:val="000000"/>
                  <w:sz w:val="20"/>
                  <w:u w:val="none"/>
                  <w:effect w:val="none"/>
                </w:rPr>
                <w:t>PART II.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33">
              <w:r>
                <w:rPr>
                  <w:rStyle w:val="InternetLink"/>
                  <w:rFonts w:ascii="Times New Roman;serif" w:hAnsi="Times New Roman;serif"/>
                  <w:b/>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33">
              <w:r>
                <w:rPr>
                  <w:rStyle w:val="InternetLink"/>
                  <w:rFonts w:ascii="Times New Roman;serif" w:hAnsi="Times New Roman;serif"/>
                  <w:b w:val="false"/>
                  <w:strike w:val="false"/>
                  <w:dstrike w:val="false"/>
                  <w:color w:val="000000"/>
                  <w:sz w:val="20"/>
                  <w:u w:val="none"/>
                  <w:effect w:val="none"/>
                </w:rPr>
                <w:t>46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3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36">
              <w:r>
                <w:rPr>
                  <w:rStyle w:val="InternetLink"/>
                  <w:rFonts w:ascii="Times New Roman;serif" w:hAnsi="Times New Roman;serif"/>
                  <w:b w:val="false"/>
                  <w:strike w:val="false"/>
                  <w:dstrike w:val="false"/>
                  <w:color w:val="000000"/>
                  <w:sz w:val="20"/>
                  <w:u w:val="none"/>
                  <w:effect w:val="none"/>
                </w:rPr>
                <w:t>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36">
              <w:r>
                <w:rPr>
                  <w:rStyle w:val="InternetLink"/>
                  <w:rFonts w:ascii="Times New Roman;serif" w:hAnsi="Times New Roman;serif"/>
                  <w:b w:val="false"/>
                  <w:strike w:val="false"/>
                  <w:dstrike w:val="false"/>
                  <w:color w:val="000000"/>
                  <w:sz w:val="20"/>
                  <w:u w:val="none"/>
                  <w:effect w:val="none"/>
                </w:rPr>
                <w:t>46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39">
              <w:r>
                <w:rPr>
                  <w:rStyle w:val="InternetLink"/>
                  <w:rFonts w:ascii="Times New Roman;serif" w:hAnsi="Times New Roman;serif"/>
                  <w:b w:val="false"/>
                  <w:strike w:val="false"/>
                  <w:dstrike w:val="false"/>
                  <w:color w:val="000000"/>
                  <w:sz w:val="20"/>
                  <w:u w:val="none"/>
                  <w:effect w:val="non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39">
              <w:r>
                <w:rPr>
                  <w:rStyle w:val="InternetLink"/>
                  <w:rFonts w:ascii="Times New Roman;serif" w:hAnsi="Times New Roman;serif"/>
                  <w:b w:val="false"/>
                  <w:strike w:val="false"/>
                  <w:dstrike w:val="false"/>
                  <w:color w:val="000000"/>
                  <w:sz w:val="20"/>
                  <w:u w:val="none"/>
                  <w:effect w:val="none"/>
                </w:rPr>
                <w:t>46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42">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42">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r>
              <w:rPr>
                <w:rFonts w:ascii="Times New Roman;serif" w:hAnsi="Times New Roman;serif"/>
                <w:b w:val="false"/>
                <w:color w:val="000000"/>
                <w:sz w:val="20"/>
              </w:rPr>
              <w:t xml:space="preserve"> </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42">
              <w:r>
                <w:rPr>
                  <w:rStyle w:val="InternetLink"/>
                  <w:rFonts w:ascii="Times New Roman;serif" w:hAnsi="Times New Roman;serif"/>
                  <w:b w:val="false"/>
                  <w:strike w:val="false"/>
                  <w:dstrike w:val="false"/>
                  <w:color w:val="000000"/>
                  <w:sz w:val="20"/>
                  <w:u w:val="none"/>
                  <w:effect w:val="none"/>
                </w:rPr>
                <w:t>46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45">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45">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45">
              <w:r>
                <w:rPr>
                  <w:rStyle w:val="InternetLink"/>
                  <w:rFonts w:ascii="Times New Roman;serif" w:hAnsi="Times New Roman;serif"/>
                  <w:b w:val="false"/>
                  <w:strike w:val="false"/>
                  <w:dstrike w:val="false"/>
                  <w:color w:val="000000"/>
                  <w:sz w:val="20"/>
                  <w:u w:val="none"/>
                  <w:effect w:val="none"/>
                </w:rPr>
                <w:t>46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48">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48">
              <w:r>
                <w:rPr>
                  <w:rStyle w:val="InternetLink"/>
                  <w:rFonts w:ascii="Times New Roman;serif" w:hAnsi="Times New Roman;serif"/>
                  <w:b w:val="false"/>
                  <w:strike w:val="false"/>
                  <w:dstrike w:val="false"/>
                  <w:color w:val="000000"/>
                  <w:sz w:val="20"/>
                  <w:u w:val="none"/>
                  <w:effect w:val="non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48">
              <w:r>
                <w:rPr>
                  <w:rStyle w:val="InternetLink"/>
                  <w:rFonts w:ascii="Times New Roman;serif" w:hAnsi="Times New Roman;serif"/>
                  <w:b w:val="false"/>
                  <w:strike w:val="false"/>
                  <w:dstrike w:val="false"/>
                  <w:color w:val="000000"/>
                  <w:sz w:val="20"/>
                  <w:u w:val="none"/>
                  <w:effect w:val="none"/>
                </w:rPr>
                <w:t>46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51">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51">
              <w:r>
                <w:rPr>
                  <w:rStyle w:val="InternetLink"/>
                  <w:rFonts w:ascii="Times New Roman;serif" w:hAnsi="Times New Roman;serif"/>
                  <w:b w:val="false"/>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51">
              <w:r>
                <w:rPr>
                  <w:rStyle w:val="InternetLink"/>
                  <w:rFonts w:ascii="Times New Roman;serif" w:hAnsi="Times New Roman;serif"/>
                  <w:b w:val="false"/>
                  <w:strike w:val="false"/>
                  <w:dstrike w:val="false"/>
                  <w:color w:val="000000"/>
                  <w:sz w:val="20"/>
                  <w:u w:val="none"/>
                  <w:effect w:val="none"/>
                </w:rPr>
                <w:t>46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54">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54">
              <w:r>
                <w:rPr>
                  <w:rStyle w:val="InternetLink"/>
                  <w:rFonts w:ascii="Times New Roman;serif" w:hAnsi="Times New Roman;serif"/>
                  <w:b w:val="false"/>
                  <w:strike w:val="false"/>
                  <w:dstrike w:val="false"/>
                  <w:color w:val="000000"/>
                  <w:sz w:val="20"/>
                  <w:u w:val="none"/>
                  <w:effect w:val="non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54">
              <w:r>
                <w:rPr>
                  <w:rStyle w:val="InternetLink"/>
                  <w:rFonts w:ascii="Times New Roman;serif" w:hAnsi="Times New Roman;serif"/>
                  <w:b w:val="false"/>
                  <w:strike w:val="false"/>
                  <w:dstrike w:val="false"/>
                  <w:color w:val="000000"/>
                  <w:sz w:val="20"/>
                  <w:u w:val="none"/>
                  <w:effect w:val="none"/>
                </w:rPr>
                <w:t>47</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323027f8abf740b09abb90f3dae77b8f_157">
              <w:r>
                <w:rPr>
                  <w:rStyle w:val="InternetLink"/>
                  <w:rFonts w:ascii="Times New Roman;serif" w:hAnsi="Times New Roman;serif"/>
                  <w:b/>
                  <w:strike w:val="false"/>
                  <w:dstrike w:val="false"/>
                  <w:color w:val="000000"/>
                  <w:sz w:val="20"/>
                  <w:u w:val="none"/>
                  <w:effect w:val="none"/>
                </w:rPr>
                <w:t>Signatures</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23027f8abf740b09abb90f3dae77b8f_157">
              <w:r>
                <w:rPr>
                  <w:rStyle w:val="InternetLink"/>
                  <w:rFonts w:ascii="Times New Roman;serif" w:hAnsi="Times New Roman;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Form10-Q (the "Quarterly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caution you that these forward-looking statements are subject to numerous risks and uncertainties, most of which are difficult to predict and many of which are beyond our control. Some factors that could cause actual results to differ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service our indebtedness and to access additional delayed draws that may in the future become available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or recruit, or changes required in, our officers, key employees or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commercialize any product candidates that we successfully develop and that are approved by applicable regulatory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for the timing and results of data from clinical trials and regulatory approval applications;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operations and financial performance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history of operating losses and expectations of significant expenses and continuing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business strategy, including the growth potential of the markets for our products and our ability to serve those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grow market share in our existing markets or any new markets we may enter;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and maintain our brand and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partner with other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of the addressable markets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the listing of our securities in the Nasdaq Global Market, and the potential liquidity and trading of such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any legal proceedings that may be instituted against us;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unfavorable conditions in our industry, the global economy or global supply chain, including financial and credit market fluctuations, international trade relations, pandemics, political turmoil, natural catastrophes, warfare and terrorist attacks.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Given these risks and uncertainties, you should not place undue reliance on these forward-looking statements. Should one or more of the risks or uncertainties described in this Quarterly Report occur, or should underlying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“Risk Factors.”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899"/>
        <w:gridCol w:w="2384"/>
        <w:gridCol w:w="2319"/>
        <w:gridCol w:w="215"/>
        <w:gridCol w:w="736"/>
        <w:gridCol w:w="111"/>
        <w:gridCol w:w="109"/>
        <w:gridCol w:w="109"/>
        <w:gridCol w:w="109"/>
        <w:gridCol w:w="235"/>
        <w:gridCol w:w="804"/>
        <w:gridCol w:w="175"/>
      </w:tblGrid>
      <w:tr>
        <w:trPr/>
        <w:tc>
          <w:tcPr>
            <w:tcW w:w="289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discount and debt issuance costs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and SEPA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Convertible Series A, $0.0001 par value per share, $10.00 liquidation value per share. Authorized 10,000,000 shares at June 30, 2025 and December 31, 2024, respectively; issued and outstanding, 3,594,002 and 3,985,002 shares at June 30, 2025, and December 31, 2024, respectively.</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Authorized 400,000,000 shares at June 30, 2025 and December 31, 2024, respectively; issued and outstanding, 37,983,259 and 31,279,264 shares at June 30, 2025, and December 31, 2024, respectively.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(298,212)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(279,549)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(19,423)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(25,894)</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41,317 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73"/>
        <w:gridCol w:w="1205"/>
        <w:gridCol w:w="1203"/>
        <w:gridCol w:w="244"/>
        <w:gridCol w:w="837"/>
        <w:gridCol w:w="109"/>
        <w:gridCol w:w="109"/>
        <w:gridCol w:w="109"/>
        <w:gridCol w:w="109"/>
        <w:gridCol w:w="270"/>
        <w:gridCol w:w="811"/>
        <w:gridCol w:w="109"/>
        <w:gridCol w:w="109"/>
        <w:gridCol w:w="109"/>
        <w:gridCol w:w="109"/>
        <w:gridCol w:w="240"/>
        <w:gridCol w:w="841"/>
        <w:gridCol w:w="109"/>
        <w:gridCol w:w="109"/>
        <w:gridCol w:w="109"/>
        <w:gridCol w:w="109"/>
        <w:gridCol w:w="240"/>
        <w:gridCol w:w="841"/>
        <w:gridCol w:w="109"/>
        <w:gridCol w:w="109"/>
        <w:gridCol w:w="109"/>
        <w:gridCol w:w="109"/>
        <w:gridCol w:w="156"/>
      </w:tblGrid>
      <w:tr>
        <w:trPr/>
        <w:tc>
          <w:tcPr>
            <w:tcW w:w="157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common stockholders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pPr>
      <w:r>
        <w:rPr>
          <w:rFonts w:ascii="Times New Roman;serif" w:hAnsi="Times New Roman;serif"/>
          <w:b/>
          <w:color w:val="000000"/>
          <w:sz w:val="20"/>
        </w:rPr>
        <w:t>Six months ended June 30, 2025</w:t>
      </w:r>
      <w:r>
        <w:rPr>
          <w:color w:val="000000"/>
        </w:rPr>
        <w:t xml:space="preserve"> </w:t>
      </w:r>
      <w:r>
        <w:rPr>
          <w:rFonts w:ascii="Times New Roman;serif" w:hAnsi="Times New Roman;serif"/>
          <w:b/>
          <w:color w:val="000000"/>
          <w:sz w:val="20"/>
        </w:rPr>
        <w:t>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tbl>
      <w:tblPr>
        <w:tblW w:w="10694" w:type="dxa"/>
        <w:jc w:val="center"/>
        <w:tblInd w:w="0" w:type="dxa"/>
        <w:tblLayout w:type="fixed"/>
        <w:tblCellMar>
          <w:top w:w="28" w:type="dxa"/>
          <w:left w:w="28" w:type="dxa"/>
          <w:bottom w:w="28" w:type="dxa"/>
          <w:right w:w="28" w:type="dxa"/>
        </w:tblCellMar>
      </w:tblPr>
      <w:tblGrid>
        <w:gridCol w:w="667"/>
        <w:gridCol w:w="296"/>
        <w:gridCol w:w="298"/>
        <w:gridCol w:w="495"/>
        <w:gridCol w:w="496"/>
        <w:gridCol w:w="196"/>
        <w:gridCol w:w="109"/>
        <w:gridCol w:w="109"/>
        <w:gridCol w:w="109"/>
        <w:gridCol w:w="211"/>
        <w:gridCol w:w="406"/>
        <w:gridCol w:w="109"/>
        <w:gridCol w:w="109"/>
        <w:gridCol w:w="109"/>
        <w:gridCol w:w="109"/>
        <w:gridCol w:w="547"/>
        <w:gridCol w:w="549"/>
        <w:gridCol w:w="348"/>
        <w:gridCol w:w="109"/>
        <w:gridCol w:w="109"/>
        <w:gridCol w:w="109"/>
        <w:gridCol w:w="246"/>
        <w:gridCol w:w="316"/>
        <w:gridCol w:w="129"/>
        <w:gridCol w:w="109"/>
        <w:gridCol w:w="109"/>
        <w:gridCol w:w="109"/>
        <w:gridCol w:w="211"/>
        <w:gridCol w:w="841"/>
        <w:gridCol w:w="109"/>
        <w:gridCol w:w="109"/>
        <w:gridCol w:w="109"/>
        <w:gridCol w:w="109"/>
        <w:gridCol w:w="211"/>
        <w:gridCol w:w="841"/>
        <w:gridCol w:w="109"/>
        <w:gridCol w:w="109"/>
        <w:gridCol w:w="109"/>
        <w:gridCol w:w="109"/>
        <w:gridCol w:w="211"/>
        <w:gridCol w:w="73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2024</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31,279,264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215,369 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777,829 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March 31, 2025</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3,620,002 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32,272,462 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5,500,000 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55,746 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June 30, 2025</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3,594,002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37,983,259</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278,786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(298,212)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(19,423)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694" w:type="dxa"/>
            <w:gridSpan w:val="4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 Amount reflects $0.6 million related to 2024 bonus paid in 2025 in the form of stock-based compensation.</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2023</w:t>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26,413,213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March 31, 2024</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4,015,002 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26,758,272 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w:t>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Record exchange warrants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Record issuance costs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June 30, 2024</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4,015,002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27,159,463</w:t>
            </w:r>
            <w:r>
              <w:rPr>
                <w:color w:val="000000"/>
              </w:rPr>
              <w:t>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241,777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(267,042)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(25,263)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6"/>
        </w:rPr>
      </w:pPr>
      <w:r>
        <w:rPr>
          <w:rFonts w:ascii="Times New Roman;serif" w:hAnsi="Times New Roman;serif"/>
          <w:b w:val="false"/>
          <w:color w:val="000000"/>
          <w:sz w:val="16"/>
        </w:rPr>
        <w:t>(2) Amount reflects 2,906 shares issued for option exercises and 7,847 shares returned from options exercised in 2023 to correct clerical error.</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 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334" w:type="dxa"/>
        <w:jc w:val="center"/>
        <w:tblInd w:w="0" w:type="dxa"/>
        <w:tblLayout w:type="fixed"/>
        <w:tblCellMar>
          <w:top w:w="28" w:type="dxa"/>
          <w:left w:w="28" w:type="dxa"/>
          <w:bottom w:w="28" w:type="dxa"/>
          <w:right w:w="28" w:type="dxa"/>
        </w:tblCellMar>
      </w:tblPr>
      <w:tblGrid>
        <w:gridCol w:w="2140"/>
        <w:gridCol w:w="1882"/>
        <w:gridCol w:w="1888"/>
        <w:gridCol w:w="196"/>
        <w:gridCol w:w="721"/>
        <w:gridCol w:w="109"/>
        <w:gridCol w:w="109"/>
        <w:gridCol w:w="109"/>
        <w:gridCol w:w="109"/>
        <w:gridCol w:w="196"/>
        <w:gridCol w:w="721"/>
        <w:gridCol w:w="154"/>
      </w:tblGrid>
      <w:tr>
        <w:trPr/>
        <w:tc>
          <w:tcPr>
            <w:tcW w:w="214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available to common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the carrying amount of right-of-use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warrants and SEPA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OrbiMed Warrants and revenue base redemption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earnout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(24,289)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disposal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issuance of debt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 for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30,405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29,119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items: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warrant issuance costs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new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 purchase through exchange of finance lease right-of-use asset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Derecognition of finance lease right-of-use asset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 purchases included in trade payables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warrants issued related to OrbiMed debt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revenue base redemption liability related to OrbiMed debt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180" w:after="283"/>
        <w:ind w:left="0" w:right="0" w:firstLine="360"/>
        <w:jc w:val="left"/>
        <w:rPr/>
      </w:pPr>
      <w:r>
        <w:rPr>
          <w:rFonts w:ascii="Times New Roman;serif" w:hAnsi="Times New Roman;serif"/>
          <w:b w:val="false"/>
          <w:color w:val="000000"/>
          <w:sz w:val="20"/>
        </w:rPr>
        <w:t xml:space="preserve">On August 10, 2023 (the "Closing Date"), TriSalus Life Sciences, Inc., a Delaware corporation (the “Company,” “TriSalus,” “we,” “us”), formerly known as MedTech Acquisition Corporation (“MTAC”), consummated the announced merger pursuant to the Agreement and Plan of Merger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and TriSalus Life Sciences, Inc. becoming the surviving company. In connection with the consummation of the Merger, on August 10, 2023, Legacy TriSalus changed its name from TriSalus Life Sciences, Inc. to TriSalus Operating Life Sciences, Inc., and MTAC changed its name from MedTech Acquisition Corporation to TriSalus Life Sciences, Inc., the surviving company. As further described in Note </w:t>
      </w:r>
      <w:r>
        <w:rPr>
          <w:rFonts w:ascii="Times New Roman;serif" w:hAnsi="Times New Roman;serif"/>
          <w:b w:val="false"/>
          <w:i/>
          <w:color w:val="000000"/>
          <w:sz w:val="20"/>
        </w:rPr>
        <w:t>(3) Business Combination</w:t>
      </w:r>
      <w:r>
        <w:rPr>
          <w:rFonts w:ascii="Times New Roman;serif" w:hAnsi="Times New Roman;serif"/>
          <w:b w:val="false"/>
          <w:color w:val="000000"/>
          <w:sz w:val="20"/>
        </w:rPr>
        <w:t>, Legacy TriSalus was deemed to be the accounting acquirer and predecessor company in the Business Combination.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tumor immune cells in liver, pancreas and other solid tumors. By systematically addressing these barriers, we aim to improve response to therapies and to enable improved patient outcomes.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We market our cutting-edge Pressure Enabled Drug Delivery (PEDD™) infusion systems, which optimize delivery of embolics and therapeutics for the treatment of various solid tumors. Our PEDD with SmartValve™ is the only technology designed to work in synchrony with the cardiac cycle to open collapsed arterial vessels to enable deeper perfusion and improve therapeutic drug delivery in tumors with high intratumoral pressure. In multiple preclinical models and certain prospective and retrospective clinical studies, PEDD with SmartValve has been shown to improve therapy uptake and tumor response. Additionally, we have conducted Phase I clinical trials of a novel product candidate, nelitolimod (a TLR9 agonist), which has the potential to enhance immune system response, when delivered via PEDD, in the treatment of locally-advance pancreatic adenocarcinoma (LA-PDAC) and primary and secondary liver tumors. The combination of our PEDD technology with nelitolimod is focused on solving the two main barriers in the tumor microenvironment that inhibit the success of systemic therapies. The first barrier (mechanical) is comprised of high intratumoral pressure within tumors that limits drug uptake and the second barrier (biological) is intratumoral immunosuppression. Nelitolimod has shown a dual mechanism of action in some solid tumors: the alteration of the tumor microenvironment by reducing immunosuppressive myeloid derived suppressor cells and simultaneous activation of immune response and recruiting T-cells to the tumor, which may allow checkpoint inhibitors to work more effectively</w:t>
      </w:r>
      <w:r>
        <w:rPr>
          <w:rFonts w:ascii="Times New Roman;serif" w:hAnsi="Times New Roman;serif"/>
          <w:b w:val="false"/>
          <w:color w:val="231F20"/>
          <w:sz w:val="20"/>
        </w:rPr>
        <w:t>.</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TriNav™ is the newest therapy delivery device with SmartValve technology for the proprietary PEDD approach. Current sales consist of the TriNav Infusion System, introduced in 2020, and TriNav LV Infusion System, introduced in 2024. In 2020, we gained transitional pass-through payments (“TPT”) approval from the Centers for Medicare &amp; Medicaid Services (“CMS”), which allows hospitals to cover the cost of using TriNav. The approval expired at the end of 2023. In 2023, </w:t>
      </w:r>
      <w:r>
        <w:rPr>
          <w:rFonts w:ascii="Times New Roman;serif" w:hAnsi="Times New Roman;serif"/>
          <w:b w:val="false"/>
          <w:color w:val="231F20"/>
          <w:sz w:val="20"/>
        </w:rPr>
        <w:t xml:space="preserve">we applied for a new technology Ambulatory Payment Classification ("APC") code with CMS and were granted a New Technology Healthcare Common Procedure Coding System ("HCPCS") code for both mapping and therapeutic procedures involving TriNav. This code, HCPCS C9797, has been assigned to the APC code 5194 - Level 4 Endovascular procedures. The code became effective on January 1, 2024, and may be reported by hospital outpatient departments and ambulatory surgical centers. </w:t>
      </w:r>
      <w:r>
        <w:rPr>
          <w:rFonts w:ascii="Times New Roman;serif" w:hAnsi="Times New Roman;serif"/>
          <w:b w:val="false"/>
          <w:color w:val="000000"/>
          <w:sz w:val="20"/>
        </w:rPr>
        <w:t>Effective April 1, 2025, TriNav received a second unique and permanent HCPCS code from CMS, C8004, which has been assigned to APC 5193 (Level 3 Endovascular Procedures). This new code provides reimbursement clarity for mapping procedures conducted prior to transarterial radioembolization ("TARE")</w:t>
      </w:r>
      <w:r>
        <w:rPr>
          <w:rFonts w:ascii="Times New Roman;serif" w:hAnsi="Times New Roman;serif"/>
          <w:b w:val="false"/>
          <w:color w:val="231F20"/>
          <w:sz w:val="20"/>
        </w:rPr>
        <w:t xml:space="preserve">. </w:t>
      </w:r>
    </w:p>
    <w:p>
      <w:pPr>
        <w:pStyle w:val="TextBody"/>
        <w:bidi w:val="0"/>
        <w:spacing w:lineRule="auto" w:line="288" w:before="16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entered into a 5-year Alliance Program (the “MDACC Agreement”) with the University of Texas MD Anderson Cancer Center (“MDACC”) to serve as the lead investigators for the PERIO-01, PERIO-02, and PERIO-03 studies. The term of the agreement was for the later of (i) five years or (ii) until the applicable studies are completed.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Prior to the expiration of the term of the MDACC Agreement, either party may terminate the MDACC Agreement if the other party commits a material breach of the agreement and fails to cure such breach within 30 days of receiving notice of such breach. Effective February 25, 2025, we modified and extended the MDACC Agreement payment terms with MDACC and added a sixth year. Effective May 27, 2025, we modified and extended our strategic collaboration agreement terms with The University of Texas M.D. Anderson Cancer Center.</w:t>
      </w:r>
    </w:p>
    <w:p>
      <w:pPr>
        <w:pStyle w:val="TextBody"/>
        <w:bidi w:val="0"/>
        <w:spacing w:lineRule="auto" w:line="288" w:before="160" w:after="120"/>
        <w:jc w:val="left"/>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we had cash, cash equivalents and restricted cash of $26.8 million. The Company is still in its early stage, has a history of recurring operating losses, has yet to generate revenues sufficient to create positive cash flow and has an accumulated deficit of $298.2 million as of June 30, 2025. Without additional financing and based on our sales, operations and research and development plans, our management estimates that our existing cash and cash equivalents will be insufficient to fund our projected liquidity requirements for the next 12 months.</w:t>
      </w:r>
    </w:p>
    <w:p>
      <w:pPr>
        <w:pStyle w:val="TextBody"/>
        <w:bidi w:val="0"/>
        <w:spacing w:lineRule="auto" w:line="288" w:before="200" w:after="283"/>
        <w:ind w:left="0" w:right="0" w:firstLine="360"/>
        <w:jc w:val="left"/>
        <w:rPr/>
      </w:pPr>
      <w:r>
        <w:rPr>
          <w:rFonts w:ascii="Times New Roman;serif" w:hAnsi="Times New Roman;serif"/>
          <w:b w:val="false"/>
          <w:color w:val="000000"/>
          <w:sz w:val="20"/>
        </w:rPr>
        <w:t>In accordance with ASC Topic 205-40, </w:t>
      </w:r>
      <w:r>
        <w:rPr>
          <w:rFonts w:ascii="Times New Roman;serif" w:hAnsi="Times New Roman;serif"/>
          <w:b w:val="false"/>
          <w:i/>
          <w:color w:val="000000"/>
          <w:sz w:val="20"/>
        </w:rPr>
        <w:t>Presentation of Financial Statements, Going Concern: Disclosure of Uncertainties about an Entity’s Ability to Continue as a Going Concern</w:t>
      </w:r>
      <w:r>
        <w:rPr>
          <w:rFonts w:ascii="Times New Roman;serif" w:hAnsi="Times New Roman;serif"/>
          <w:b w:val="false"/>
          <w:color w:val="000000"/>
          <w:sz w:val="20"/>
        </w:rPr>
        <w:t>, we are required to evaluate whether there is substantial doubt about our ability to continue as a going concern each reporting period. In evaluating our ability to continue as a going concern, management projected our cash flow sources and needs and evaluated that conditions and events have raised substantial doubt about our ability to continue as a going concern within one year after the date that these condensed consolidated financial statements were issued. Management’s plans to address the conditions and events have considered our current projections of future cash flows, current financial condition, sources of liquidity and debt obligations for at least one year from the date of issuance of these condensed consolidated financial statements in considering whether we have the ability to fund future operations and meet our obligations as they become due in the normal course of business.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fund future operations and to continue the execution of our long-term business plan and strategy will require that we raise additional capital through a combination of collaborations, strategic alliances and licensing arrangements, and issuance of additional equity and/or debt. We have funded operations resulting in the cumulative net losses of $298.2 million, as of June 30, 2025, principally with proceeds from the sale of preferred stock, from the issuance of debt and convertible debt, and the closing of the Business Combination. </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For the six months ended June 30, 2025, we issued $0.3 million of common stock for cash from the exercise of stock options. As described in Note </w:t>
      </w:r>
      <w:r>
        <w:rPr>
          <w:rFonts w:ascii="Times New Roman;serif" w:hAnsi="Times New Roman;serif"/>
          <w:b w:val="false"/>
          <w:i/>
          <w:color w:val="000000"/>
          <w:sz w:val="20"/>
        </w:rPr>
        <w:t>(13) Standby Equity Purchase Agreement</w:t>
      </w:r>
      <w:r>
        <w:rPr>
          <w:rFonts w:ascii="Times New Roman;serif" w:hAnsi="Times New Roman;serif"/>
          <w:b w:val="false"/>
          <w:color w:val="000000"/>
          <w:sz w:val="20"/>
        </w:rPr>
        <w:t>, we have the right but not the obligation, to sell up to $30.0 million of our Common Stock at our request under the Standby Equity Purchase Agreement, which we entered into with YA II PN, Ltd. ("Yorkville") on October 2, 2023 (the "SEPA"), subject to terms and conditions specified in the agreement. For the six months ended June 30, 2025, we sold no shares of common stock under the SEPA.</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On April 30, 2024 (the "OrbiMed Closing Date"), we entered into the OrbiMed Credit Agreement (the "Credit Agreement") with OrbiMed Royalty &amp; Credit Opportunities IV, LP ("OrbiMed"), a healthcare investment firm. Under the terms of the OrbiMed Credit Agreement, we may borrow up to $50.0 million, of which we immediately drew $25.0 million, before expenses. The remaining debt is available in two increments of $10.0 million and $15.0 million, subject to the achievement of certain revenue targets. On February 18, 2025, we drew the $10.0 million increment before expenses. As part of the First Amendment To Credit Agreement and Registration Rights Agreement, effective March 20, 2025, we received a waiver for the prior default events related to the Series A Convertible Preferred Stock conversions and the Agreement was amended to allow for these conversions going forward. In addition, we received a waiver on March 31, 2025 to extend the timing for the required audited financial statements to occur on or before April 15, 2025. Effective on April 30, 2025, the Second Amendment To Credit Agreement allows for the Company accelerate payment of the Series A Preferred Stock dividends in cash payments in lieu of fractional shares upon conversion of the Preferred Stock shares. See Note </w:t>
      </w:r>
      <w:r>
        <w:rPr>
          <w:rFonts w:ascii="Times New Roman;serif" w:hAnsi="Times New Roman;serif"/>
          <w:b w:val="false"/>
          <w:i/>
          <w:color w:val="000000"/>
          <w:sz w:val="20"/>
        </w:rPr>
        <w:t>(13) Debt</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30, 2025, we entered into a securities purchase agreement (the “Purchase Agreement”) with certain institutional and accredited investors named therein (the “Purchasers”) pursuant to which the Company agreed to issue and sell to the Purchasers in a private placement (the “Private Placement”) an aggregate of 5,500,000 shares (the “Shares”) of the Company’s common stock, par value $0.0001 per share (the “Common Stock”), at a purchase price of $4.00 per share.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agreements by the Company and the Purchasers, indemnification rights and other obligations of the parties. In connection with the Private Placement, the Company and the Purchasers entered into a registration rights agreement (the “Registration Rights Agreement”) at the closing, pursuant to which the Company granted certain registration rights to the Purchasers with respect to their Shares (as further described below). In addition, the Company committed to use commercially reasonable efforts to satisfy all of its obligations set forth in the Support Agreements (as defined below). The Company and its directors and officers agreed, for a period of 60 days after the date of the Purchase Agreement, to customary lock-up and clear market provisions, as applicable, subject to certain exceptions. The Private Placement closed on May 2,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Company received aggregate gross proceeds from the Private Placement of approximately $22.0 million, before deducting estimated offering fees and expenses payable by the Company.</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Outside of these agreements,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operating plan, which is in part determined based on our most recent results and trends, along with the items noted above, causes substantial doubt to exist about our ability to continue as a going concern and management’s plans do not alleviate the existence of substantial doubt.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 additional capital, a volatile business and technological environment, the process to test and obtain approval to market nelitolimod, an evolving business model, and demand for our products. To address these risks, we must, among other things, gain access to capital in sufficient amounts and on acceptable terms, maintain and increase our customer base, implement and successfully execute our business strategy, develop nelitolimod, continue to enhance our technology, provide superior customer service, and attract, retain, and motivate qualified personnel. There can be no guarantee that we will succeed in addressing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interim unaudited condensed consolidated financial statements have been prepared in accordance with U.S. Generally Accepted Accounting Principles (“GAAP”). The interim unaudited condensed consolidated financial statements are comprised of the condensed financial statements of the Company. In management’s opinion, the interim financial data presented includes all adjustments necessary for a fair presentation. All intercompany accounts and transactions have been eliminated. Certain information required by GAAP has been condensed or omitted in accordance with rules and regulations of the SEC. Operating results for the six months ended June 30, 2025, are not necessarily indicative of the results that may be expected for any future period or for the year ending December 31, 2025. The accompanying interim unaudited condensed consolidated financial statements should be read in conjunction with the Annual Report on Form 10-K for the year ended December 31, 2024. The December 31, 2024, Condensed Consolidated Balance Sheet is derived from the audited balance sheet included in the Annual Report on Form 10-K for the year ended December 31, 2024. A summary of our significant accounting policies is included in Note 2 to our consolidated financial statements in our Annual Report on Form 10-K for the year ended December 31, 2024. Certain of our accounting policies are considered critical, as these policies are the most important to the depiction of our financial statements and require significant, difficult or complex judgments by us, often employing the use of estimates about the effects of matters that are inherently uncertain. Such policies are summarized below. </w:t>
      </w:r>
    </w:p>
    <w:p>
      <w:pPr>
        <w:pStyle w:val="TextBody"/>
        <w:bidi w:val="0"/>
        <w:spacing w:lineRule="auto" w:line="288" w:before="20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(a)Revision of Previously Issued Financial Statements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preparation of the consolidated financial statements for the period ended December 31, 2024, we identified errors in our previously filed consolidated financial statements and interim unaudited quarterly condensed consolidated financial statements relating to incorrectly capitalizing the costs of obtaining and maintaining patents. </w:t>
      </w:r>
    </w:p>
    <w:p>
      <w:pPr>
        <w:pStyle w:val="TextBody"/>
        <w:bidi w:val="0"/>
        <w:spacing w:lineRule="auto" w:line="288" w:before="180" w:after="283"/>
        <w:ind w:left="0" w:right="0" w:firstLine="360"/>
        <w:jc w:val="left"/>
        <w:rPr/>
      </w:pPr>
      <w:r>
        <w:rPr>
          <w:rFonts w:ascii="Times New Roman;serif" w:hAnsi="Times New Roman;serif"/>
          <w:b w:val="false"/>
          <w:color w:val="000000"/>
          <w:sz w:val="20"/>
        </w:rPr>
        <w:t xml:space="preserve">In accordance with Staff Accounting Bulletins (“SAB”) No. 99, Materiality and SAB No. 108, </w:t>
      </w:r>
      <w:r>
        <w:rPr>
          <w:rFonts w:ascii="Times New Roman;serif" w:hAnsi="Times New Roman;serif"/>
          <w:b w:val="false"/>
          <w:i/>
          <w:color w:val="000000"/>
          <w:sz w:val="20"/>
        </w:rPr>
        <w:t>Considering the Effects of Misstatements when Quantifying Misstatements in the Current Year Financial Statements</w:t>
      </w:r>
      <w:r>
        <w:rPr>
          <w:rFonts w:ascii="Times New Roman;serif" w:hAnsi="Times New Roman;serif"/>
          <w:b w:val="false"/>
          <w:color w:val="000000"/>
          <w:sz w:val="20"/>
        </w:rPr>
        <w:t xml:space="preserve">, we assessed the materiality of these errors to our previously issued consolidated financial statements and interim unaudited condensed consolidated financial statements. Based upon our evaluation of both quantitative and qualitative factors, we concluded the errors were not material to our previously issued consolidated financial statements or interim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 the effects and modification of the revision on our previously issued interim unaudited condensed consolidated financial statements for the six months ended June 30, 2024 (in thousands, except net loss per share) for associated activity all of which occurred through March 31, 2024:</w:t>
      </w:r>
    </w:p>
    <w:tbl>
      <w:tblPr>
        <w:tblW w:w="10205" w:type="dxa"/>
        <w:jc w:val="left"/>
        <w:tblInd w:w="0" w:type="dxa"/>
        <w:tblLayout w:type="fixed"/>
        <w:tblCellMar>
          <w:top w:w="28" w:type="dxa"/>
          <w:left w:w="28" w:type="dxa"/>
          <w:bottom w:w="28" w:type="dxa"/>
          <w:right w:w="28" w:type="dxa"/>
        </w:tblCellMar>
      </w:tblPr>
      <w:tblGrid>
        <w:gridCol w:w="1895"/>
        <w:gridCol w:w="1665"/>
        <w:gridCol w:w="1669"/>
        <w:gridCol w:w="348"/>
        <w:gridCol w:w="1294"/>
        <w:gridCol w:w="177"/>
        <w:gridCol w:w="109"/>
        <w:gridCol w:w="109"/>
        <w:gridCol w:w="109"/>
        <w:gridCol w:w="398"/>
        <w:gridCol w:w="683"/>
        <w:gridCol w:w="184"/>
        <w:gridCol w:w="109"/>
        <w:gridCol w:w="109"/>
        <w:gridCol w:w="109"/>
        <w:gridCol w:w="240"/>
        <w:gridCol w:w="841"/>
        <w:gridCol w:w="157"/>
      </w:tblGrid>
      <w:tr>
        <w:trPr/>
        <w:tc>
          <w:tcPr>
            <w:tcW w:w="189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 of Operations</w:t>
            </w:r>
          </w:p>
        </w:tc>
        <w:tc>
          <w:tcPr>
            <w:tcW w:w="1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Previously 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Six Months Ended June 30, 2024</w:t>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06/30/24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06/30/24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06/30/24</w:t>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common stockholders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23,613,243 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23,613,243 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23,613,243 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 of Cash Flows</w:t>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Previously 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Six Months Ended June 30, 2024</w:t>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erif" w:hAnsi="Times New Roman;serif"/>
          <w:b w:val="false"/>
          <w:color w:val="000000"/>
          <w:sz w:val="20"/>
        </w:rPr>
        <w:t>(b)</w:t>
      </w:r>
      <w:r>
        <w:rPr>
          <w:rFonts w:ascii="Times New Roman;serif" w:hAnsi="Times New Roman;serif"/>
          <w:b/>
          <w:i/>
          <w:color w:val="000000"/>
          <w:sz w:val="20"/>
        </w:rPr>
        <w:t>Cash, Cash Equivalents, and Restricted Cash</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with original maturities of three months or less at the time of purchase to be cash equivalents. We invest excess cash primarily in money market funds. Restricted cash is held in a separate account at our bank to support our corporate credit card program and is recorded in other assets on our Condensed Consolidated Balance Sheets.</w:t>
      </w:r>
    </w:p>
    <w:p>
      <w:pPr>
        <w:pStyle w:val="TextBody"/>
        <w:bidi w:val="0"/>
        <w:spacing w:lineRule="auto" w:line="288" w:before="20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(c)Concentrations of Credit Risk and Other Risks and Uncertainties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is deposited primarily with two Federal Deposit Insurance Corporation (“FDIC”) insured financial institutions. At times, the deposits in these institutions may exceed the amount of insurance provided on such deposits. Although we have not experienced any losses in such accounts and believe that we are not exposed to any significant risk on these balances, bank failures, events involving limited liquidity, defaults, non-performance, or other adverse developments that affect financial institutions, or concerns or rumors about such events, may lead to liquidity constraints.</w:t>
      </w:r>
    </w:p>
    <w:p>
      <w:pPr>
        <w:pStyle w:val="TextBody"/>
        <w:bidi w:val="0"/>
        <w:spacing w:lineRule="auto" w:line="288" w:before="20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(d)Accounts Receivable and Customer Concentrations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Accounts receivable are recorded at the invoiced amount and do not bear interest. Our payment terms are typically on net 30 day terms. Our accounts receivable balances were $5.6 million and $5.1 million as of June 30, 2025 and December 31, 2024 and $3.6 million as of January 1, 2024, respectively. In accordance with ASC Topic 326, </w:t>
      </w:r>
      <w:r>
        <w:rPr>
          <w:rFonts w:ascii="Times New Roman;serif" w:hAnsi="Times New Roman;serif"/>
          <w:b w:val="false"/>
          <w:i/>
          <w:color w:val="000000"/>
          <w:sz w:val="20"/>
        </w:rPr>
        <w:t>Financial Instruments-Credit Losses</w:t>
      </w:r>
      <w:r>
        <w:rPr>
          <w:rFonts w:ascii="Times New Roman;serif" w:hAnsi="Times New Roman;serif"/>
          <w:b w:val="false"/>
          <w:color w:val="000000"/>
          <w:sz w:val="20"/>
        </w:rPr>
        <w:t>, the allowance for credit losses is our best estimate of the amount of probable credit losses in our existing accounts receivable. We review our allowance for credit losses periodically and establish reserves based on management’s expectations of realization based on historical write-off experience, as well as current general economic conditions and expectations regarding collection. Account balances are charged against the allowance after all reasonable means of collection have been exhausted and the potential for recovery is considered remote. We did not incur any credit losses for the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credit losses accounts activity for the six months ended June 30, 2025:</w:t>
      </w:r>
    </w:p>
    <w:tbl>
      <w:tblPr>
        <w:tblW w:w="5534" w:type="dxa"/>
        <w:jc w:val="left"/>
        <w:tblInd w:w="0" w:type="dxa"/>
        <w:tblLayout w:type="fixed"/>
        <w:tblCellMar>
          <w:top w:w="28" w:type="dxa"/>
          <w:left w:w="28" w:type="dxa"/>
          <w:bottom w:w="28" w:type="dxa"/>
          <w:right w:w="28" w:type="dxa"/>
        </w:tblCellMar>
      </w:tblPr>
      <w:tblGrid>
        <w:gridCol w:w="1527"/>
        <w:gridCol w:w="1340"/>
        <w:gridCol w:w="1348"/>
        <w:gridCol w:w="335"/>
        <w:gridCol w:w="740"/>
        <w:gridCol w:w="24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 charged (recovered) to costs and expenses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uncollectible receivables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(e)Use of Estimates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significantly from those estimates. The most significant estimates relate to the valuation of the Initial OrbiMed warrant liability, the contingent earnout liability, the Revenue Base Redemption liability, certain of our clinical expense accruals, and the valuation allowance on deferred tax assets.</w:t>
      </w:r>
    </w:p>
    <w:p>
      <w:pPr>
        <w:pStyle w:val="TextBody"/>
        <w:bidi w:val="0"/>
        <w:spacing w:lineRule="auto" w:line="288" w:before="200" w:after="283"/>
        <w:ind w:left="0" w:right="0" w:hanging="360"/>
        <w:jc w:val="left"/>
        <w:rPr/>
      </w:pPr>
      <w:r>
        <w:rPr>
          <w:rFonts w:ascii="Times New Roman;serif" w:hAnsi="Times New Roman;serif"/>
          <w:b w:val="false"/>
          <w:color w:val="000000"/>
          <w:sz w:val="20"/>
        </w:rPr>
        <w:t>(f)</w:t>
      </w:r>
      <w:r>
        <w:rPr>
          <w:rFonts w:ascii="Times New Roman;serif" w:hAnsi="Times New Roman;serif"/>
          <w:b/>
          <w:i/>
          <w:color w:val="000000"/>
          <w:sz w:val="20"/>
        </w:rPr>
        <w:t>Inventory</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is carried at the lower of cost or net realizable value. The balances are recorded on the first-in first-out method. Raw materials consist of purchase material, completed sub-assemblies, and parts for general production use. Finished goods consist of completed products, including direct labor and manufacturing overhead. Write-downs for excess and obsolete inventory are charged to cost of goods sold in the period when conditions giving rise to the write-downs are first recognized. Valuation reserves are recorded when, in our best judgment, we determine the carrying value of the affected inventory may be impaired or its net realizable value exceeds its cost.</w:t>
      </w:r>
    </w:p>
    <w:p>
      <w:pPr>
        <w:pStyle w:val="TextBody"/>
        <w:bidi w:val="0"/>
        <w:spacing w:lineRule="auto" w:line="333" w:before="16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(g)Property and Equipment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Repairs and maintenance costs are expensed as incurred. Depreciation is calculated using the straight-line method over the estimated useful lives of the assets, which range from two to seven years. Leasehold improvements are amortized on a straight-line basis over the lesser of estimated useful lives or the lease term.</w:t>
      </w:r>
    </w:p>
    <w:p>
      <w:pPr>
        <w:pStyle w:val="TextBody"/>
        <w:bidi w:val="0"/>
        <w:spacing w:lineRule="auto" w:line="288" w:before="16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(h)Leases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We account for leases in accordance with Accounting Standards Codification (“ASC”) Topic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We determine if an arrangement is or contains a lease at contract inception, and, if it does, the lease is recorded on the Condensed Consolidated Balance Sheets with right-of-use assets (“ROU”) representing the Company’s right to use an underlying asset for the lease term and lease liabilities representing our obligation to make lease payments. Lease ROU assets and liabilities are recognized at the lease commencement date based on the present value of lease payments over the lease term. Lease ROU assets also include the effect of any lease payments made prior to or on lease commencement and excludes lease incentives and initial direct costs incurred, as applicable. As the implicit rate in our leases is typically unknown, we use our incremental borrowing rate based on the information available at the lease commencement date in determining the present value of future lease payments. When calculating our incremental borrowing rates, we consider our credit risk, the term of the lease, and total lease payments and adjusts for the impacts of collateral as necessary. The lease terms may include options to extend or terminate the lease when it is reasonably certain that we will exercise that option. Lease expense is recognized on a straight-line basis over the lease term.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elected to not separate lease and non-lease components for any leases within our existing classes of assets and, as a result, account for any lease and non-lease components as a single lease component. We have also elected not to apply the recognition requirement for leases with a term of 12 months or less. We recognize an ROU asset and a lease liability at the lease commencement date.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operating and finance leases, the lease liability is initially measured at the present value of the unpaid lease payments at the lease commencement date. The lease liability is subsequently measured at amortized cost using the effective-interest method.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ROU asset is initially measured at cost, which comprises the initial amount of the lease liability adjusted for lease payments made at or before the lease commencement date, plus any initial direct costs incurred less any lease incentives received.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operating leases, the ROU asset is subsequently measured throughout the lease term at the carrying amount of the lease liability, plus initial direct costs, plus (minus) any prepaid (accrued) lease payments, less the unamortized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balance of lease incentives received. Lease expense for lease payments is recognized on a straight-line basis over the lease term.</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finance leases, the ROU asset is subsequently amortized using the straight-line method from the lease commencement date to the earlier of the end of its useful life or the end of the lease term unless the lease transfers ownership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 Finance lease ROU assets are presented with property and equipment, net in the Condensed Consolidated Balance Sheets.</w:t>
      </w:r>
    </w:p>
    <w:p>
      <w:pPr>
        <w:pStyle w:val="TextBody"/>
        <w:bidi w:val="0"/>
        <w:spacing w:lineRule="auto" w:line="288" w:before="20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(i)Warrant Liabilities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Freestanding financial instruments that permit the holder to acquire shares that are either puttable by the holder, redeemable or contingently redeemable are required to be reported as liabilities in the condensed consolidated financial statements. We present such liabilities on the balance sheets at their estimated fair values. Changes in fair value of the liability are calculated each reporting period, and any change in value are recognized in the Condensed Consolidated Statements of Operations. We have determined that the warrants issued to investors and lenders, which are exercisable for shares of our convertible preferred stock, should be classified as liabilities due to contingent redemption liability of the underlying convertible preferred stock. </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In connection with the Business Combination, we assumed warrants to purchase common stock. The warrants include the Public Warrants, Private Placement Warrants and Working Capital Warrants. We value the liability for all of the warrants based on the trading price of the publicly held warrants. See Notes </w:t>
      </w:r>
      <w:r>
        <w:rPr>
          <w:rFonts w:ascii="Times New Roman;serif" w:hAnsi="Times New Roman;serif"/>
          <w:b w:val="false"/>
          <w:i/>
          <w:color w:val="000000"/>
          <w:sz w:val="20"/>
        </w:rPr>
        <w:t>(4) Financial Instruments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(9) Warrants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In connection with our borrowing under the OrbiMed Credit Agreement, we issued the Initial OrbiMed Warrant with the initial $25.0 million draw and the Subsequent OrbiMed Warrant with the subsequent $10.0 million draw, collectively the "OrbiMed Warrants", which we classified as a derivative liability because it did not meet the equity classification criteria under ASC 815-40. We calculated the fair value of the OrbiMed Warrants based on the Black-Scholes-Merton option pricing model. This model considers several variables and assumptions in estimating the fair value of financial instruments, including the per-share fair value of the underlying common stock, exercise price, expected term, risk-free interest rate, expected stock price volatility over the expected term, and expected annual dividend yield. We calculated the expected terms as the contractual expiration period. The risk-free interest rate is estimated using the rate of return on U.S. treasury notes with a life that approximates the expected term. Our common stock does not have sufficient trading history and, therefore, we used the historical volatility of the stock prices of similar publicly traded peer companies. We utilized a dividend yield of zero, as we have no history or plan of declaring dividends on the Company's common stock. See Notes </w:t>
      </w:r>
      <w:r>
        <w:rPr>
          <w:rFonts w:ascii="Times New Roman;serif" w:hAnsi="Times New Roman;serif"/>
          <w:b w:val="false"/>
          <w:i/>
          <w:color w:val="000000"/>
          <w:sz w:val="20"/>
        </w:rPr>
        <w:t>(9) Warrants and (13) Debt.</w:t>
      </w:r>
    </w:p>
    <w:p>
      <w:pPr>
        <w:pStyle w:val="TextBody"/>
        <w:bidi w:val="0"/>
        <w:spacing w:lineRule="auto" w:line="288" w:before="20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(j)Revenue Base Redemption Liability</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In connection with our the Initial OrbiMed Loan, a “Product Revenue Base” (i.e., with respect to any period, the net revenues for such period from sales of TriNav) on a trailing 12-month basis does not equal or exceed the specified amounts, we will start repaying the outstanding principal amount of the loans under the OrbiMed Credit Agreement. These required revenue thresholds are referred to as the “Revenue Base Redemption Liability." We determined that we should bifurcate and separately recognize the Revenue Base Redemption Liability. We determined the value of the Revenue Base Redemption Liability using a Monte Carlo simulation of future revenue and valuing the Initial Term Loan using the with and without method. The change in fair value of the liability is recorded in the Condensed Consolidated Statement of Operations. See Note </w:t>
      </w:r>
      <w:r>
        <w:rPr>
          <w:rFonts w:ascii="Times New Roman;serif" w:hAnsi="Times New Roman;serif"/>
          <w:b w:val="false"/>
          <w:i/>
          <w:color w:val="000000"/>
          <w:sz w:val="20"/>
        </w:rPr>
        <w:t>(13) Debt</w:t>
      </w:r>
      <w:r>
        <w:rPr>
          <w:color w:val="000000"/>
        </w:rPr>
        <w:t xml:space="preserve"> </w:t>
      </w:r>
      <w:r>
        <w:rPr>
          <w:rFonts w:ascii="Times New Roman;serif" w:hAnsi="Times New Roman;serif"/>
          <w:b w:val="false"/>
          <w:color w:val="000000"/>
          <w:sz w:val="20"/>
        </w:rPr>
        <w:t>for further detail.</w:t>
      </w:r>
    </w:p>
    <w:p>
      <w:pPr>
        <w:pStyle w:val="TextBody"/>
        <w:bidi w:val="0"/>
        <w:spacing w:lineRule="auto" w:line="319" w:before="16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(k)Contingent Earnout Liability</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In connection with the execution of the Merger Agreement, MTAC entered into a sponsor support agreement (the “Sponsor Support Agreement”) with MedTech Acquisition Sponsor LLC (the "Sponsor”), Legacy TriSalus and MTAC’s directors and officers (the Sponsor and MTAC’s directors and officers, collectively, the “Sponsor Holders”). Pursuant to the Sponsor Support Agreement, 3,125,000 shares of common stock in the Company ("Common Stock") held by the Sponsor Holders immediately after the Closing Date (such shares, the “Sponsor Earnout Shares”) became unvested and subject to potential forfeiture if certain triggering events are not achieved prior to the 5th anniversary of the Closing Date (the “Earnout Period”). The Sponsor Earnout Shares are classified as a liability in the Company’s Consolidated Balance Sheets because they do not qualify as being indexed to the Company’s own stock. The earnout liability was initially measured at fair value at the Closing Date using a Monte Carlo simulation of our future stock price and is subsequently remeasured at the end of each reporting period. The change in fair value of the earnout liability is recorded in the Condensed Consolidated Statements of Operations. See Notes </w:t>
      </w:r>
      <w:r>
        <w:rPr>
          <w:rFonts w:ascii="Times New Roman;serif" w:hAnsi="Times New Roman;serif"/>
          <w:b w:val="false"/>
          <w:i/>
          <w:color w:val="000000"/>
          <w:sz w:val="20"/>
        </w:rPr>
        <w:t xml:space="preserve">(4) Financial Instruments and (8) Contingent Earnout Liability </w:t>
      </w:r>
      <w:r>
        <w:rPr>
          <w:rFonts w:ascii="Times New Roman;serif" w:hAnsi="Times New Roman;serif"/>
          <w:b w:val="false"/>
          <w:color w:val="000000"/>
          <w:sz w:val="20"/>
        </w:rPr>
        <w:t>for further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(l)Standby Equity Purchase Agreement</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In October 2023, we entered into the SEPA with Yorkville. Pursuant to the SEPA, we have the right, but not the obligation, to sell to Yorkville up to $30.0 million of shares of Common Stock at our request at any time during the 24 months following the execution of the SEPA, subject to certain conditions. We evaluated the contract that includes the right to require Yorkville to purchase shares of common stock in the future (“put right”) considering the guidance in ASC 815-40, </w:t>
      </w:r>
      <w:r>
        <w:rPr>
          <w:rFonts w:ascii="Times New Roman;serif" w:hAnsi="Times New Roman;serif"/>
          <w:b w:val="false"/>
          <w:i/>
          <w:color w:val="000000"/>
          <w:sz w:val="20"/>
        </w:rPr>
        <w:t>Derivatives and Hedging — Contracts on an Entity’s Own Equity</w:t>
      </w:r>
      <w:r>
        <w:rPr>
          <w:color w:val="000000"/>
        </w:rPr>
        <w:t xml:space="preserve"> </w:t>
      </w:r>
      <w:r>
        <w:rPr>
          <w:rFonts w:ascii="Times New Roman;serif" w:hAnsi="Times New Roman;serif"/>
          <w:b w:val="false"/>
          <w:color w:val="000000"/>
          <w:sz w:val="20"/>
        </w:rPr>
        <w:t xml:space="preserve">and concluded that it is an equity-linked contract that does not qualify for equity classification, and therefore requires fair value accounting. Each period, we analyze the terms of the freestanding put right and record the balance as a liability. Changes in the fair value are recognized in earnings. See Note </w:t>
      </w:r>
      <w:r>
        <w:rPr>
          <w:rFonts w:ascii="Times New Roman;serif" w:hAnsi="Times New Roman;serif"/>
          <w:b w:val="false"/>
          <w:i/>
          <w:color w:val="000000"/>
          <w:sz w:val="20"/>
        </w:rPr>
        <w:t>(12) Standby Equity Purchase Agreement</w:t>
      </w:r>
      <w:r>
        <w:rPr>
          <w:color w:val="000000"/>
        </w:rPr>
        <w:t xml:space="preserve"> </w:t>
      </w:r>
      <w:r>
        <w:rPr>
          <w:rFonts w:ascii="Times New Roman;serif" w:hAnsi="Times New Roman;serif"/>
          <w:b w:val="false"/>
          <w:color w:val="000000"/>
          <w:sz w:val="20"/>
        </w:rPr>
        <w:t>for further detail.</w:t>
      </w:r>
    </w:p>
    <w:p>
      <w:pPr>
        <w:pStyle w:val="TextBody"/>
        <w:bidi w:val="0"/>
        <w:spacing w:lineRule="auto" w:line="288" w:before="18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(m)Impairment and Disposal of Long-Lived Assets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review long-lived assets for impairment whenever events or changes in circumstances indicate that the carrying amount of an asset may not be recoverable. Recoverability of assets to be held and used is generally measured by a comparison of the carrying amount of the asset to future net cash flows expected to be generated by the asset. If such assets are considered to be impaired, the impairment to be recognized is measured by the amount by which the carrying amounts of the assets exceed the estimated fair values of the assets. Assets to be disposed of are reported at the lower of the carrying amount or fair value less cost to sell.</w:t>
      </w:r>
    </w:p>
    <w:p>
      <w:pPr>
        <w:pStyle w:val="TextBody"/>
        <w:bidi w:val="0"/>
        <w:spacing w:lineRule="auto" w:line="288" w:before="18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(n)Share-Based Compensation</w:t>
      </w:r>
    </w:p>
    <w:p>
      <w:pPr>
        <w:pStyle w:val="TextBody"/>
        <w:bidi w:val="0"/>
        <w:spacing w:lineRule="auto" w:line="288" w:before="180" w:after="283"/>
        <w:ind w:left="0" w:right="0" w:firstLine="360"/>
        <w:jc w:val="left"/>
        <w:rPr/>
      </w:pPr>
      <w:r>
        <w:rPr>
          <w:rFonts w:ascii="Times New Roman;serif" w:hAnsi="Times New Roman;serif"/>
          <w:b w:val="false"/>
          <w:color w:val="000000"/>
          <w:sz w:val="20"/>
        </w:rPr>
        <w:t>We account for all employee share-based compensation awards by recording expense based on the estimated fair value of the awards at the time of grant using the Black-Scholes-Merton option valuation model (“Black-Scholes”) for stock options and price of our common stock on the grant date for restricted stock units ("RSUs") and performance stock units ("PSUs"). The determination of fair value using an option-pricing model is affected by the estimated fair value of the Company’s stock, as well as assumptions regarding a number of variables including, but not limited to, the fair value of underlying stock at the grant date, expected volatility of the underlying stock over the term of the awards, projected employee stock option exercise behaviors, and risk-free interest rates. We have elected to not include an estimated forfeiture rate in our share-based compensation expense recognition, in accordance with ASC Topic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and we account for forfeitures in the period in which they occur. The estimated fair value of options, RSUs and PSUs granted is recognized as compensation expense on a straight-line basis over the expected life for each separately vesting portion of the awards. All shares issued upon the exercise of stock options and vesting of RSUs and PSUs are from our reserved authorized common stock.</w:t>
      </w:r>
    </w:p>
    <w:p>
      <w:pPr>
        <w:pStyle w:val="TextBody"/>
        <w:bidi w:val="0"/>
        <w:spacing w:lineRule="auto" w:line="288" w:before="18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(o)Revenue Recognition</w:t>
      </w:r>
    </w:p>
    <w:p>
      <w:pPr>
        <w:pStyle w:val="TextBody"/>
        <w:bidi w:val="0"/>
        <w:spacing w:lineRule="auto" w:line="288" w:before="180" w:after="283"/>
        <w:ind w:left="0" w:right="0" w:firstLine="360"/>
        <w:jc w:val="left"/>
        <w:rPr/>
      </w:pPr>
      <w:r>
        <w:rPr>
          <w:rFonts w:ascii="Times New Roman;serif" w:hAnsi="Times New Roman;serif"/>
          <w:b w:val="false"/>
          <w:color w:val="000000"/>
          <w:sz w:val="20"/>
        </w:rPr>
        <w:t>Our revenue is derived from the shipments of our PEDD infusion systems to our customers. Our customers are generally comprised of hospitals, clinics and physicians. Under ASC Topic 606, </w:t>
      </w:r>
      <w:r>
        <w:rPr>
          <w:rFonts w:ascii="Times New Roman;serif" w:hAnsi="Times New Roman;serif"/>
          <w:b w:val="false"/>
          <w:i/>
          <w:color w:val="000000"/>
          <w:sz w:val="20"/>
        </w:rPr>
        <w:t>Revenue Recognition</w:t>
      </w:r>
      <w:r>
        <w:rPr>
          <w:rFonts w:ascii="Times New Roman;serif" w:hAnsi="Times New Roman;serif"/>
          <w:b w:val="false"/>
          <w:color w:val="000000"/>
          <w:sz w:val="20"/>
        </w:rPr>
        <w:t>, we evaluate five steps to determine the appropriate timing and amount to recognize revenue. The five steps are: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ii.Identify the performance obligation — Our performance obligation is to deliver the ordered products in accordance with the terms of the purchase order, which constitutes a single performance obligation. We do not have any on-going service obligation after delivery and only offer our customers an assurance-type warranty, which provides assurance the product will work as intended.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iii.Determine the transaction price — We maintain a single sales price for each of our products, which is generally fixed. For customers with rebate agreements, the rebates are accounted for within a contra-revenue account at the time the rebate milestone is achieved. We do not have a history of any significant refunds, allowances or other concessions provided to our customers from the agreed-upon sales price after delivery of the product. Refunds, allowances or other concessions are accounted for as a reduction of revenue.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iv.Allocate the transaction price — We do not have multiple performance obligations to complete when we fulfill a purchase order, as such, the transaction price is allocated fully to the units being sold.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v.Recognize revenue — We recognize revenue at the point-in-time when the units for a purchase order have been shipped and control of the units has transferred to the customer, as evidenced by the delivery terms on the shipping documents. Typically, we ship Ex Works; therefore, we recognize revenue when the shipment leaves our premises. In certain cases, the purchase order specifies alternate shipping terms, usually DAP (delivery at place). In those cases, we defer revenue recognition until we are assured the units have been delivered and control has transferred to the customer. Our sale team is able to make in-person sales. When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occurs, the revenue in not recognized until we receive a Purchase Order ("P.O.") from the customers, with the inventory treated as consignment until the time receiving the P.O. Shipping and handling activities are not considered to be a separate performance obligation; therefore, the costs are considered to be a fulfillment cost and the expenses are accounted for within cost of goods sold.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Subsequent to a rebate being earned, the customer receives a credit to apply to future purchases. We recognized rebates of $0.2 million and $0.4 million, respectively, in the three and six months ended June 30, 2025compared to $0.1 million and $0.2 million, respectively, in the three and six months ended June 30, 2024.</w:t>
      </w:r>
    </w:p>
    <w:p>
      <w:pPr>
        <w:pStyle w:val="TextBody"/>
        <w:bidi w:val="0"/>
        <w:spacing w:lineRule="auto" w:line="288" w:before="20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(p)Research and Development</w:t>
      </w:r>
    </w:p>
    <w:p>
      <w:pPr>
        <w:pStyle w:val="TextBody"/>
        <w:bidi w:val="0"/>
        <w:spacing w:lineRule="auto" w:line="288" w:before="180" w:after="283"/>
        <w:ind w:left="0" w:right="0" w:firstLine="360"/>
        <w:jc w:val="left"/>
        <w:rPr/>
      </w:pPr>
      <w:r>
        <w:rPr>
          <w:rFonts w:ascii="Times New Roman;serif" w:hAnsi="Times New Roman;serif"/>
          <w:b w:val="false"/>
          <w:color w:val="000000"/>
          <w:sz w:val="20"/>
        </w:rPr>
        <w:t xml:space="preserve">Research and development (“R&amp;D”) costs include our engineering, regulatory, pre-clinical and clinical activities. R&amp;D costs are expensed as incurred. The costs are related to internal headcount and external service we purchase, such as pre-clinical supplies and materials, clinical study management and supplies, and consulting related to our R&amp;D. There were no development milestone payments to Dynavax for nelitolimod for the six months ended June 30, 2025 and 2024. See Note </w:t>
      </w:r>
      <w:r>
        <w:rPr>
          <w:rFonts w:ascii="Times New Roman;serif" w:hAnsi="Times New Roman;serif"/>
          <w:b w:val="false"/>
          <w:i/>
          <w:color w:val="000000"/>
          <w:sz w:val="20"/>
        </w:rPr>
        <w:t>(11) Dynavax Purchase</w:t>
      </w:r>
      <w:r>
        <w:rPr>
          <w:color w:val="000000"/>
        </w:rPr>
        <w:t xml:space="preserve"> </w:t>
      </w:r>
      <w:r>
        <w:rPr>
          <w:rFonts w:ascii="Times New Roman;serif" w:hAnsi="Times New Roman;serif"/>
          <w:b w:val="false"/>
          <w:color w:val="000000"/>
          <w:sz w:val="20"/>
        </w:rPr>
        <w:t>for further discussion of Dynavax.</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condensed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 </w:t>
      </w:r>
    </w:p>
    <w:p>
      <w:pPr>
        <w:pStyle w:val="TextBody"/>
        <w:bidi w:val="0"/>
        <w:spacing w:lineRule="auto" w:line="288" w:before="18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(q)Segment Reporting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the Chief Executive Officer ("CEO"), reviews our financial information on a consolidated basis for purposes of allocating resources and evaluating its financial performance. The CEO considers recommendations from the Chief Financial Officer ("CFO") and reviews the Monthly Financial Report ("MFR"), including financial information and the Company’s performance highlights, such as revenue, accounts receivable and inventory balances, cash flows and cash on-hand, operational expenditures and headcount. Based on the Company’s condensed consolidated financial information, the CEO makes the key operating decisions and determines how resources should be allocated. Once the CEO has decided, the CEO and CFO are responsible for carrying out the CEO’s decisions. All of our customers and long-lived assets are located in the United States. Since the Company operates as a single reporting segment, all required segment reporting disclosures can be found in the condensed consolidated financial statements. Accordingly, we have determined we operate as a single reportable segment within a single geographic area.</w:t>
      </w:r>
    </w:p>
    <w:p>
      <w:pPr>
        <w:pStyle w:val="TextBody"/>
        <w:bidi w:val="0"/>
        <w:spacing w:lineRule="auto" w:line="288" w:before="18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(r)Advertising</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expense, which is included in sales and marketing costs, is expensed as incurred, and expense for the three and six months ended June 30, 2025 were $0.4 million and $0.6 million, respectively, and three and six months ended June 30, 2024 was $0.2 million and $0.3 million, respectively. </w:t>
      </w:r>
    </w:p>
    <w:p>
      <w:pPr>
        <w:pStyle w:val="TextBody"/>
        <w:bidi w:val="0"/>
        <w:spacing w:lineRule="auto" w:line="288" w:before="18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(s)Income Taxes</w:t>
      </w:r>
    </w:p>
    <w:p>
      <w:pPr>
        <w:pStyle w:val="TextBody"/>
        <w:bidi w:val="0"/>
        <w:spacing w:lineRule="auto" w:line="288" w:before="180" w:after="283"/>
        <w:ind w:left="0" w:right="0" w:firstLine="360"/>
        <w:jc w:val="left"/>
        <w:rPr/>
      </w:pPr>
      <w:r>
        <w:rPr>
          <w:rFonts w:ascii="Times New Roman;serif" w:hAnsi="Times New Roman;serif"/>
          <w:b w:val="false"/>
          <w:color w:val="000000"/>
          <w:sz w:val="20"/>
        </w:rPr>
        <w:t>We account for income taxes pursuant to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which requires the use of the asset-and-liability method of accounting for deferred income taxes. Deferred tax assets and liabilities are recognized for the future tax consequences attributable to differences between the financial statement carrying amounts of existing assets and liabilities and their respective tax bases. A valuation allowance is recorded to the extent it is more likely than not that a deferred tax asset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effect of income tax positions when it is more likely than not, based on technical merits, that the position will be sustained upon examination. Through June 30, 2025, management determined that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 have been taken or are expected to be taken that could have a material effect on the Company’s income tax liabilities.</w:t>
      </w:r>
    </w:p>
    <w:p>
      <w:pPr>
        <w:pStyle w:val="TextBody"/>
        <w:bidi w:val="0"/>
        <w:spacing w:lineRule="auto" w:line="288" w:before="18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(t)Net Loss per Share</w:t>
      </w:r>
    </w:p>
    <w:p>
      <w:pPr>
        <w:pStyle w:val="TextBody"/>
        <w:bidi w:val="0"/>
        <w:spacing w:lineRule="auto" w:line="288" w:before="180" w:after="283"/>
        <w:ind w:left="0" w:right="0" w:firstLine="360"/>
        <w:jc w:val="left"/>
        <w:rPr/>
      </w:pPr>
      <w:r>
        <w:rPr>
          <w:rFonts w:ascii="Times New Roman;serif" w:hAnsi="Times New Roman;serif"/>
          <w:b w:val="false"/>
          <w:color w:val="000000"/>
          <w:sz w:val="20"/>
        </w:rPr>
        <w:t xml:space="preserve">Net loss per share is calculated using the weighted average number of shares and dilutive common stock equivalents outstanding during the period. Warrants, convertible preferred stock, stock options, and restricted stock units, as described in Notes </w:t>
      </w:r>
      <w:r>
        <w:rPr>
          <w:rFonts w:ascii="Times New Roman;serif" w:hAnsi="Times New Roman;serif"/>
          <w:b w:val="false"/>
          <w:i/>
          <w:color w:val="000000"/>
          <w:sz w:val="20"/>
        </w:rPr>
        <w:t>(9) Warrants</w:t>
      </w:r>
      <w:r>
        <w:rPr>
          <w:rFonts w:ascii="Times New Roman;serif" w:hAnsi="Times New Roman;serif"/>
          <w:b w:val="false"/>
          <w:color w:val="000000"/>
          <w:sz w:val="20"/>
        </w:rPr>
        <w:t xml:space="preserve">, </w:t>
      </w:r>
      <w:r>
        <w:rPr>
          <w:rFonts w:ascii="Times New Roman;serif" w:hAnsi="Times New Roman;serif"/>
          <w:b w:val="false"/>
          <w:i/>
          <w:color w:val="000000"/>
          <w:sz w:val="20"/>
        </w:rPr>
        <w:t>(14) Convertible Preferred Stock</w:t>
      </w:r>
      <w:r>
        <w:rPr>
          <w:rFonts w:ascii="Times New Roman;serif" w:hAnsi="Times New Roman;serif"/>
          <w:b w:val="false"/>
          <w:color w:val="000000"/>
          <w:sz w:val="20"/>
        </w:rPr>
        <w:t xml:space="preserve">, and </w:t>
      </w:r>
      <w:r>
        <w:rPr>
          <w:rFonts w:ascii="Times New Roman;serif" w:hAnsi="Times New Roman;serif"/>
          <w:b w:val="false"/>
          <w:i/>
          <w:color w:val="000000"/>
          <w:sz w:val="20"/>
        </w:rPr>
        <w:t>(16) Share-Based Compensation</w:t>
      </w:r>
      <w:r>
        <w:rPr>
          <w:rFonts w:ascii="Times New Roman;serif" w:hAnsi="Times New Roman;serif"/>
          <w:b w:val="false"/>
          <w:color w:val="000000"/>
          <w:sz w:val="20"/>
        </w:rPr>
        <w:t xml:space="preserve">, are considered to be common stock equivalents. Potentially dilutive shares are excluded from the computation of earnings per share if their effect is anti-dilutive. As we reported a net loss for the three and six months ended June 30, 2025 and 2024, all potentially dilutive shares were excluded from net loss per share in both periods. See Note </w:t>
      </w:r>
      <w:r>
        <w:rPr>
          <w:rFonts w:ascii="Times New Roman;serif" w:hAnsi="Times New Roman;serif"/>
          <w:b w:val="false"/>
          <w:i/>
          <w:color w:val="000000"/>
          <w:sz w:val="20"/>
        </w:rPr>
        <w:t xml:space="preserve">(15) Net Loss Per Share </w:t>
      </w:r>
      <w:r>
        <w:rPr>
          <w:rFonts w:ascii="Times New Roman;serif" w:hAnsi="Times New Roman;serif"/>
          <w:b w:val="false"/>
          <w:color w:val="000000"/>
          <w:sz w:val="20"/>
        </w:rPr>
        <w:t>for further details.</w:t>
      </w:r>
    </w:p>
    <w:p>
      <w:pPr>
        <w:pStyle w:val="TextBody"/>
        <w:bidi w:val="0"/>
        <w:spacing w:lineRule="auto" w:line="333" w:before="16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(u)Recent Accounting Pronouncements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In March 2024, the FASB issued ASU 2024-01, </w:t>
      </w:r>
      <w:r>
        <w:rPr>
          <w:rFonts w:ascii="Times New Roman;serif" w:hAnsi="Times New Roman;serif"/>
          <w:b w:val="false"/>
          <w:i/>
          <w:color w:val="000000"/>
          <w:sz w:val="20"/>
        </w:rPr>
        <w:t xml:space="preserve">Compensation - Stock Compensation (Topic 718): Scope Application of Profits Interest and Similar Awards, </w:t>
      </w:r>
      <w:r>
        <w:rPr>
          <w:rFonts w:ascii="Times New Roman;serif" w:hAnsi="Times New Roman;serif"/>
          <w:b w:val="false"/>
          <w:color w:val="000000"/>
          <w:sz w:val="20"/>
        </w:rPr>
        <w:t>which clarifies the guidance on ASC Topic 718 by illustrating how to apply the scope guidance to determine whether a profit interest award should be accounted for as a shared-based payment arrangement under ASC 718 or another accounting standard (e.g., employee profit-sharing arrangement under ASC 710). The ASU aims to reduce the complexity diversity in practice by adding an example to ASC 718 that describes four fact patterns and illustrates how an entity evaluates common terms and characteristics of profit interests and similar awards to reach a conclusion about whether an award meets the scope conditions in ASC 718-10-15-3. The ASU is effective for all public entities for fiscal years beginning after December 15, 2024 and interim periods within those fiscal years. We adopted ASU 2024-01 on January 1, 2025. The effect of the adoption had no impact on our condensed consolidated financial statements.</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In March 2024, the FASB issued ASU 2024-02, </w:t>
      </w:r>
      <w:r>
        <w:rPr>
          <w:rFonts w:ascii="Times New Roman;serif" w:hAnsi="Times New Roman;serif"/>
          <w:b w:val="false"/>
          <w:i/>
          <w:color w:val="000000"/>
          <w:sz w:val="20"/>
        </w:rPr>
        <w:t xml:space="preserve">Codification Improvements — Amendments to Remove References to the Concept Statements, </w:t>
      </w:r>
      <w:r>
        <w:rPr>
          <w:rFonts w:ascii="Times New Roman;serif" w:hAnsi="Times New Roman;serif"/>
          <w:b w:val="false"/>
          <w:color w:val="000000"/>
          <w:sz w:val="20"/>
        </w:rPr>
        <w:t>which removes references to the Board's concepts statement from the FASB Accounting Standards Codification (the "Codification" or ASC). The ASU is part of the Board’s standing project to make “Codification updates for technical corrections such as conforming amendments, clarifications to guidance, simplifications to wording or the structure of guidance, and other minor improvements.” Before establishing the Codification in 2009, the FASB used or referred to the concepts statements as part of its standard setting. However, the Board is now removing those references since “references to the Concepts Statements in the Codification could imply that the Concepts Statements are authoritative." The amendment is effective for all public entities for fiscal years beginning after December 15, 2024. Those who adopt the amendments in an interim period would have to adopt them as of the beginning of the fiscal year that includes that interim period. We adopted ASU 2024-02 on January 1, 2025. The effect of the adoption had no impact on our condensed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lineRule="auto" w:line="288" w:before="160" w:after="283"/>
        <w:ind w:left="0" w:right="0" w:firstLine="360"/>
        <w:jc w:val="left"/>
        <w:rPr/>
      </w:pPr>
      <w:r>
        <w:rPr>
          <w:rFonts w:ascii="Times New Roman;serif" w:hAnsi="Times New Roman;serif"/>
          <w:b w:val="false"/>
          <w:color w:val="000000"/>
          <w:sz w:val="20"/>
        </w:rPr>
        <w:t>In October 2023, the FASB issued ASU No. 2023-06, D</w:t>
      </w:r>
      <w:r>
        <w:rPr>
          <w:rFonts w:ascii="Times New Roman;serif" w:hAnsi="Times New Roman;serif"/>
          <w:b w:val="false"/>
          <w:i/>
          <w:color w:val="000000"/>
          <w:sz w:val="20"/>
        </w:rPr>
        <w:t>isclosure Improvements: Codification Amendments in Response to the SEC’s Disclosure Update and Simplification Initiative</w:t>
      </w:r>
      <w:r>
        <w:rPr>
          <w:rFonts w:ascii="Times New Roman;serif" w:hAnsi="Times New Roman;serif"/>
          <w:b w:val="false"/>
          <w:color w:val="000000"/>
          <w:sz w:val="20"/>
        </w:rPr>
        <w:t>. The amendments in ASU 2023-06 update requirements in various disclosure areas, including the statement of cash flows, earnings per share, debt, and equity. The amendments in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the adoption of this ASU will have on our condensed consolidated financial statements.</w:t>
      </w:r>
    </w:p>
    <w:p>
      <w:pPr>
        <w:pStyle w:val="TextBody"/>
        <w:bidi w:val="0"/>
        <w:spacing w:lineRule="auto" w:line="288" w:before="200" w:after="283"/>
        <w:ind w:left="0" w:right="0" w:firstLine="360"/>
        <w:jc w:val="left"/>
        <w:rPr/>
      </w:pPr>
      <w:r>
        <w:rPr>
          <w:rFonts w:ascii="Times New Roman;serif" w:hAnsi="Times New Roman;serif"/>
          <w:b w:val="false"/>
          <w:color w:val="000000"/>
          <w:sz w:val="20"/>
        </w:rPr>
        <w:t>In December 2023, the FASB issued ASU 2023-09,</w:t>
      </w:r>
      <w:r>
        <w:rPr>
          <w:color w:val="000000"/>
        </w:rPr>
        <w:t xml:space="preserve">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Under the ASU, Public Business Entity ("PBE") must annually "(1) disclose specific categories in the rate reconciliation and (2) provide additional information for reconciling items that meet a quantitative threshold (if the effect of those reconciling items is equal to or greater than 5% of the amount computed by multiplying pretax income or loss by the applicable statutory income tax rate)." This guidance is effective for public companies for annual periods beginning after December 15, 2024. For other companies, the amendments are effective for annual periods beginning after December 15, 2025. We are currently evaluating the impact the adoption of this ASU will have on our condensed consolidated financial statements.</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In November 2024, the FASB issues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and in January 2025,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 xml:space="preserve">ASU 2024-03 requires additional disclosure of the nature of expenses included in the income statement as well as disclosures about specific types of expenses included in the expense captions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presented in the income statement. ASU 2024-03, as clarified by ASU 2025-01. The amendment applies to all public business entities and is effective for annual reporting periods beginning after December 15, 2026 and interim reporting periods beginning after December 15, 2027. The requirements will be applied prospectively with the option for retrospective application. Early adoption is permitted. We are currently evaluating the impact the adoption of this ASU will have on our condensed consolidated financial statements. </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In November 2024, the FASB issues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xml:space="preserve">, which amends ASC 470-20, Debt: Debt With Conversion and Other Options, to clarify the requirements related to accounting for the settlement of a debt instrument as an induced conversion. Based primarily on the consensus-for-exposure reached on Issue 23-A, Induced Conversion of Convertible Debt Instruments, by the Emerging Issues Task Force on September 14, 2023. The ASU is intended to “improve the relevance and consistency in application of the induced conversion guidance in Subtopic 470-20 for (a) convertible debt instruments with cash conversion features and (b) debt instruments that are not currently convertible.” The amendments are effective for all entities for annual reporting periods beginning after December 15, 2025, and interim reporting periods within those annual reporting periods. Early adoption is permitted as of the beginning of the annual reporting period for all entities that have adopted the amendments in Update 2020-06, </w:t>
      </w:r>
      <w:r>
        <w:rPr>
          <w:rFonts w:ascii="Times New Roman;serif" w:hAnsi="Times New Roman;serif"/>
          <w:b w:val="false"/>
          <w:i/>
          <w:color w:val="000000"/>
          <w:sz w:val="20"/>
        </w:rPr>
        <w:t xml:space="preserve">Debt—Debt with Conversion and Other Options (Subtopic 470-20) and Derivatives and Hedging—Contracts in Entity’s Own Equity (Subtopic 815-40): Accounting for Convertible Instruments and Contracts in an Entity’s Own Equity. </w:t>
      </w:r>
      <w:r>
        <w:rPr>
          <w:rFonts w:ascii="Times New Roman;serif" w:hAnsi="Times New Roman;serif"/>
          <w:b w:val="false"/>
          <w:color w:val="000000"/>
          <w:sz w:val="20"/>
        </w:rPr>
        <w:t xml:space="preserve">We are currently evaluating the impact the adoption of this ASU will have on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Business Combination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2023, we consummated the previously announced merger pursuant to the Merger Agreement by and among MTAC, Merger Sub, Inc., and TriSalus Life Sciences, Inc. Upon the closing of the transactions contemplated by the Merger Agreement, Merger Sub merged with and into Legacy TriSalus (the “Business Combination”) with Legacy TriSalus surviving the merger as a wholly owned subsidiary of MTAC, renamed “TriSalus Operating Life Sciences, Inc.” In addition, in connection with the consummation of the Business Combination, MTAC was renamed “TriSalus Life Sciences, Inc.” </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effective time of the Business Combination, each in-the-money warrant of Legacy TriSalus that was unexercised and unexpired was automatically net exercised into the respective series of preferred stock of Legacy TriSalus. Each share of preferred stock of Legacy TriSalus (“Legacy TriSalus Preferred Stock”) that was issued and outstanding was then automatically converted into shares of common stock of Legacy TriSalus (“Legacy TriSalus Common Stock”) in accordance with the Amended and Restated Certificate of Incorporation of Legacy TriSalus at the then current conversion price, such that each converted share of Legacy TriSalus Preferred Stock was no longer outstanding and ceased to exist, and each holder of Legacy TriSalus Preferred Stock thereafter ceased to have any rights with respect to such securities. </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Pursuant to the terms of the Merger Agreement, the existing stockholders of Legacy TriSalus exchanged their equity holdings at an exchange ratio of 0.02471853 (the “Exchange Ratio”) for an aggregate of 21,999,886 shares of our Common Stock. In addition, MTAC had previously issued public warrants and private placement warrants (collectively, the “MTAC Warrants”) as part of its initial public offering in November 2020. None of the terms of the MTAC Warrants were modified as a result of the Business Combination. See Note </w:t>
      </w:r>
      <w:r>
        <w:rPr>
          <w:rFonts w:ascii="Times New Roman;serif" w:hAnsi="Times New Roman;serif"/>
          <w:b w:val="false"/>
          <w:i/>
          <w:color w:val="000000"/>
          <w:sz w:val="20"/>
        </w:rPr>
        <w:t>(9) Warrants</w:t>
      </w:r>
      <w:r>
        <w:rPr>
          <w:color w:val="000000"/>
        </w:rPr>
        <w:t xml:space="preserve"> </w:t>
      </w:r>
      <w:r>
        <w:rPr>
          <w:rFonts w:ascii="Times New Roman;serif" w:hAnsi="Times New Roman;serif"/>
          <w:b w:val="false"/>
          <w:color w:val="000000"/>
          <w:sz w:val="20"/>
        </w:rPr>
        <w:t xml:space="preserve">for additional discussion of the warrants.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PIPE Financing</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On the Closing Date, certain investors agreed to purchase an aggregate of 4,015,002 newly-issued shares of Series A Convertible Preferred Stock at a purchase price of $10.00 per share for an aggregate purchase price of $40.2 million, pursuant to separate subscription agreements dated June 7, 2023, and July 4, 2023 (collectively, the “Subscription Agreements”). See Note </w:t>
      </w:r>
      <w:r>
        <w:rPr>
          <w:rFonts w:ascii="Times New Roman;serif" w:hAnsi="Times New Roman;serif"/>
          <w:b w:val="false"/>
          <w:i/>
          <w:color w:val="000000"/>
          <w:sz w:val="20"/>
        </w:rPr>
        <w:t xml:space="preserve">(14) Convertible Preferred Stock </w:t>
      </w:r>
      <w:r>
        <w:rPr>
          <w:rFonts w:ascii="Times New Roman;serif" w:hAnsi="Times New Roman;serif"/>
          <w:b w:val="false"/>
          <w:color w:val="000000"/>
          <w:sz w:val="20"/>
        </w:rPr>
        <w:t>for further discussion.</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Sponsor Earnout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MTAC entered into the Sponsor Support Agreement. Pursuant to the Sponsor Support Agreement, the 3,125,000 Sponsor Earnout Shares became unvested and subject to potential forfeiture if certain triggering events are not achieved prior to the 5th anniversary of the Closing Date. Pursuant to the Sponsor Support Agreement, (i) 25% of the shares of our Common Stock held by the Sponsor Holders will only vest if, during the five years period following the Closing, the volume weighted average price of our Common Stock equals or exceeds $15.00 for any 20 trading days within a period of 30 consecutive trading days, (ii) 25% of the shares of our Common Stock held by the Sponsor Holders will only vest if, during the five years period following the Closing, the volume weighted average price of our Common Stock equals or exceeds $20.00 for any 20 trading days within a period of 30 consecutive trading days, (iii) 25% of the shares of our Common Stock held by the Sponsor Holders will only vest if, during the five years period following the Closing, the volume weighted average price of our Common Stock equals or exceeds $25.00 for any 20 trading days within a period of 30 consecutive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jc w:val="left"/>
        <w:rPr/>
      </w:pPr>
      <w:r>
        <w:rPr>
          <w:rFonts w:ascii="Times New Roman;serif" w:hAnsi="Times New Roman;serif"/>
          <w:b w:val="false"/>
          <w:color w:val="000000"/>
          <w:sz w:val="20"/>
        </w:rPr>
        <w:t xml:space="preserve">days; and (iv) 25% of the shares of our Common Stock held by the Sponsor Holders will only vest if, during the five years period following the Closing, the volume weighted average price of our Common Stock equals or exceeds $30.00 for any 20 trading days within a period of 30 consecutive trading days. Additionally, the Sponsor Earnout Shares will vest if there is a change in control of our company on or before the 5th anniversary of the Closing Date that results in the holders of our Common Stock receiving a price per share equal to or in excess of the applicable earnout targets. Any such shares held by the Sponsor Holders that remain unvested after the 5th anniversary of the Closing will be forfeited. See Note </w:t>
      </w:r>
      <w:r>
        <w:rPr>
          <w:rFonts w:ascii="Times New Roman;serif" w:hAnsi="Times New Roman;serif"/>
          <w:b w:val="false"/>
          <w:i/>
          <w:color w:val="000000"/>
          <w:sz w:val="20"/>
        </w:rPr>
        <w:t>(8) Contingent Earnout Liability</w:t>
      </w:r>
      <w:r>
        <w:rPr>
          <w:color w:val="000000"/>
        </w:rPr>
        <w:t xml:space="preserve"> </w:t>
      </w:r>
      <w:r>
        <w:rPr>
          <w:rFonts w:ascii="Times New Roman;serif" w:hAnsi="Times New Roman;serif"/>
          <w:b w:val="false"/>
          <w:color w:val="000000"/>
          <w:sz w:val="20"/>
        </w:rPr>
        <w:t>for additional discussion of the Sponsor Earnout Shares and the liability we have recorded for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Financial Instruments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instruments consist of cash and cash equivalents, accounts receivable, trade accounts payable, tranche and warrant liabilities to purchase preferred stock, the contingent earnout liability and the warrant liability and revenue based redemption liability related to the Initial OrbiMed Credit Agreement. The carrying values of these financial instruments (other than the contingent earnout liability, tranche liabilities, revenue based redemption liability, and warrant liabilities, which are held at fair value) approximate fair value through the use of publicly available market prices as of June 30, 2025, and December 31, 2024. In general, asset and liability fair values are determined using the following categories: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1 — Inputs utilize quoted prices in active markets for identical assets or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2 — Inputs include quoted prices for similar assets or liabilities in active markets, and inputs other than quoted prices that are observable for the asset or liability, either directly or indirectly.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warrant, earnout liabilities, SEPA, tranche, and revenue base redemption feature are measured at fair value on a recurring basis.</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At the Closing Date, we assumed warrants to purchase 14,266,605 shares of common stock for $11.50 (see Note </w:t>
      </w:r>
      <w:r>
        <w:rPr>
          <w:rFonts w:ascii="Times New Roman;serif" w:hAnsi="Times New Roman;serif"/>
          <w:b w:val="false"/>
          <w:i/>
          <w:color w:val="000000"/>
          <w:sz w:val="20"/>
        </w:rPr>
        <w:t>(9) Warrants</w:t>
      </w:r>
      <w:r>
        <w:rPr>
          <w:rFonts w:ascii="Times New Roman;serif" w:hAnsi="Times New Roman;serif"/>
          <w:b w:val="false"/>
          <w:color w:val="000000"/>
          <w:sz w:val="20"/>
        </w:rPr>
        <w:t xml:space="preserve">). Of these, 8,333,272 were traded publicly (the "Public Warrants"), 5,933,333 were privately held (the 4,933,333 "Private Placement Warrants" and 1,000,000 "Working Capital Warrants" and together with the Public Warrants, the "SPAC Warrants"). We determined the fair value of the earnout liability to be $28.9 million based on a Monte Carlo simulation of future trading prices for our common stock. See Note </w:t>
      </w:r>
      <w:r>
        <w:rPr>
          <w:rFonts w:ascii="Times New Roman;serif" w:hAnsi="Times New Roman;serif"/>
          <w:b w:val="false"/>
          <w:i/>
          <w:color w:val="000000"/>
          <w:sz w:val="20"/>
        </w:rPr>
        <w:t>(8) Contingent Earnout Liability</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our outstanding SPAC warrants liabilities was $9.3 million and $7.9 million, respectively, at June 30, 2025 and December 31, 2024. The carrying amount of outstanding earnout liability was $7.5 million and $7.4 million, respectively, at June 30, 2025 and December 31, 2024. The carrying values of the warrant liabilities represent the remeasurement to fair value each reporting period based on Level 1 inputs for the publicly traded Public Warrants and Level 2 inputs for the Private Placement Warrants and Working Capital Warrants. The carrying amounts of the contingent earnout liability and SEPA derivative liability represent the remeasurement to fair value each reporting period based on unobservable, or Level 3 inputs, using assumptions made by us, including the market price of our common stock and the observed volatility of a peer group of companies.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On October 2, 2023, we entered into the SEPA with Yorkville. Upon execution of the SEPA, we determined the fair value of the SEPA derivative liability to be $0.2 million based on a scenario-based model. See Note</w:t>
      </w:r>
      <w:r>
        <w:rPr>
          <w:color w:val="000000"/>
        </w:rPr>
        <w:t xml:space="preserve"> </w:t>
      </w:r>
      <w:r>
        <w:rPr>
          <w:rFonts w:ascii="Times New Roman;serif" w:hAnsi="Times New Roman;serif"/>
          <w:b w:val="false"/>
          <w:i/>
          <w:color w:val="000000"/>
          <w:sz w:val="20"/>
        </w:rPr>
        <w:t>(12) Standby Equity Purchase Agreement</w:t>
      </w:r>
      <w:r>
        <w:rPr>
          <w:color w:val="000000"/>
        </w:rPr>
        <w:t xml:space="preserve"> </w:t>
      </w:r>
      <w:r>
        <w:rPr>
          <w:rFonts w:ascii="Times New Roman;serif" w:hAnsi="Times New Roman;serif"/>
          <w:b w:val="false"/>
          <w:color w:val="000000"/>
          <w:sz w:val="20"/>
        </w:rPr>
        <w:t xml:space="preserve">for further discussion. We determined the fair value of the SEPA derivative liability to be $3 thousand and $0.1 million, respectively, at June 30, 2025 and December 31, 2024; we recorded the change in fair value in other income (expense).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debt closing with OrbiMed on April 30, 2024, we also issued OrbiMed a warrant to purchase 130,805 shares of our common stock, with the initial exercise price of $9.5562 (the "Initial OrbiMed Warrant") per share, or approximately $1.25 million in the aggregate, assuming none of the Initial OrbiMed Warrant is exercised through a "cashless" exercise. In the three months ended June 30, 2025, the exercise price was adjusted to $8.8398 per share pursuant to the terms of the Initial OrbiMed Warrant, or approximately $1.16 million in the aggregate. On August 15, 2024, at OrbiMed's request, the Initial OrbiMed warrant was split into two separate warrants ("Substitute Warrant Certificate #1" and "Substitute Warrant Certificate #2" and, together, the "OrbiMed Warrants") held by two of OrbiMed's operating entities; one for 92,801 common shares and second for 38,004 common shares, with no change to the related terms and conditions.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First Delayed Draw Term Loan Commitment draw on February 18, 2025, we issued the OrbiMed operating entities a warrant to purchase 64,748 and 26,515 shares of our common stock (the "Subsequent OrbiMed Warrant"), with the initial exercise price of $5.4787, or approximately $0.5 million. In the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val="false"/>
          <w:color w:val="000000"/>
          <w:sz w:val="20"/>
        </w:rPr>
        <w:t xml:space="preserve">ended June 30, 2025, the exercise price was adjusted to $5.3322 per share pursuant to the terms of the Initial OrbiMed Warrant, or approximately $0.5 million in the aggregate. The Subsequent OrbiMed Warrant expires on February 18, 2032 (See Notes </w:t>
      </w:r>
      <w:r>
        <w:rPr>
          <w:rFonts w:ascii="Times New Roman;serif" w:hAnsi="Times New Roman;serif"/>
          <w:b w:val="false"/>
          <w:i/>
          <w:color w:val="000000"/>
          <w:sz w:val="20"/>
        </w:rPr>
        <w:t>(9) Warrants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(13) Debt</w:t>
      </w:r>
      <w:r>
        <w:rPr>
          <w:color w:val="000000"/>
        </w:rPr>
        <w:t xml:space="preserve"> </w:t>
      </w:r>
      <w:r>
        <w:rPr>
          <w:rFonts w:ascii="Times New Roman;serif" w:hAnsi="Times New Roman;serif"/>
          <w:b w:val="false"/>
          <w:color w:val="000000"/>
          <w:sz w:val="20"/>
        </w:rPr>
        <w:t xml:space="preserve">for more information on the OrbiMed Credit Agreement). The Subsequent OrbiMed Warrant collectively with the Initial OrbiMed Warrant (the "OrbiMed Warrants") are accounted for as a liabilities under ASC 815, </w:t>
      </w:r>
      <w:r>
        <w:rPr>
          <w:rFonts w:ascii="Times New Roman;serif" w:hAnsi="Times New Roman;serif"/>
          <w:b w:val="false"/>
          <w:i/>
          <w:color w:val="000000"/>
          <w:sz w:val="20"/>
        </w:rPr>
        <w:t>Derivatives and Hedging, Contracts in Equity's Own Equity</w:t>
      </w:r>
      <w:r>
        <w:rPr>
          <w:color w:val="000000"/>
        </w:rPr>
        <w:t xml:space="preserve"> </w:t>
      </w:r>
      <w:r>
        <w:rPr>
          <w:rFonts w:ascii="Times New Roman;serif" w:hAnsi="Times New Roman;serif"/>
          <w:b w:val="false"/>
          <w:color w:val="000000"/>
          <w:sz w:val="20"/>
        </w:rPr>
        <w:t xml:space="preserve">("ASC 815-40").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a Black-Scholes option pricing model to estimate the fair value of the OrbiMed Warrant, as warrants give the holders the right, but not the obligation, to purchase the underlying securities at a contractual exercise price. This method utilizes certain unobservable inputs, including the determination of the expected volatility, and is therefore considered a Level 3 fair value measurement. Certain inputs used in this Black-Scholes pricing model may fluctuate in future periods based upon factors that are outside of our control, including potential change in control outside of our control. A significant change in one or more of these inputs used in the calculation of the fair value may cause a significant change to the fair value of the warrant liabilities, which could also result in material non-cash gains or losses being reported in the condensed statement of operations. The expected volatility was implied from a blend of the Company's own common shares and the average historical share volatilizes of several unrelated public companies within the Company's industry that the Company considers to be comparable to its own business. We determined the fair value of the OrbiMed Warrant liability to be $0.7 million and $0.4 million, respectively, at June 30, 2025 and December 31, 2024, and recorded the adjustment to the change in fair value of SEPA, warrant, and revenue base redemption liabilities.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If the “Product Revenue Base” (i.e., with respect to any period, the net revenues for such period from sales of TriNav) on a trailing 12-month basis does not equal or exceed the specified amount as stipulated (see table in Note</w:t>
      </w:r>
      <w:r>
        <w:rPr>
          <w:color w:val="000000"/>
        </w:rPr>
        <w:t xml:space="preserve"> </w:t>
      </w:r>
      <w:r>
        <w:rPr>
          <w:rFonts w:ascii="Times New Roman;serif" w:hAnsi="Times New Roman;serif"/>
          <w:b w:val="false"/>
          <w:i/>
          <w:color w:val="000000"/>
          <w:sz w:val="20"/>
        </w:rPr>
        <w:t>(13) Debt)</w:t>
      </w:r>
      <w:r>
        <w:rPr>
          <w:rFonts w:ascii="Times New Roman;serif" w:hAnsi="Times New Roman;serif"/>
          <w:b w:val="false"/>
          <w:color w:val="000000"/>
          <w:sz w:val="20"/>
        </w:rPr>
        <w:t>, we will start repaying the outstanding principal amount in equal monthly installments through April 30, 2029 (the "Maturity Date"). Such repayments will commence in the calendar month immediately following the applicable Test Date per the OrbiMed Credit Agreement (see table in Note</w:t>
      </w:r>
      <w:r>
        <w:rPr>
          <w:color w:val="000000"/>
        </w:rPr>
        <w:t xml:space="preserve"> </w:t>
      </w:r>
      <w:r>
        <w:rPr>
          <w:rFonts w:ascii="Times New Roman;serif" w:hAnsi="Times New Roman;serif"/>
          <w:b w:val="false"/>
          <w:i/>
          <w:color w:val="000000"/>
          <w:sz w:val="20"/>
        </w:rPr>
        <w:t>(13) Debt</w:t>
      </w:r>
      <w:r>
        <w:rPr>
          <w:rFonts w:ascii="Times New Roman;serif" w:hAnsi="Times New Roman;serif"/>
          <w:b w:val="false"/>
          <w:color w:val="000000"/>
          <w:sz w:val="20"/>
        </w:rPr>
        <w:t>) and occur on the last day of each calendar month ("Amortization Payment Date"). The repayments are calculated from the first Amortization Payment Date through the Maturity Date and the balance of the principal amount of the loans under the OrbiMed Credit Agreement shall be repaid on the Maturity Date. The repayments include the applicable Repayment Premium and the Exit Fee (see Note</w:t>
      </w:r>
      <w:r>
        <w:rPr>
          <w:color w:val="000000"/>
        </w:rPr>
        <w:t xml:space="preserve"> </w:t>
      </w:r>
      <w:r>
        <w:rPr>
          <w:rFonts w:ascii="Times New Roman;serif" w:hAnsi="Times New Roman;serif"/>
          <w:b w:val="false"/>
          <w:i/>
          <w:color w:val="000000"/>
          <w:sz w:val="20"/>
        </w:rPr>
        <w:t>(13) Debt</w:t>
      </w:r>
      <w:r>
        <w:rPr>
          <w:color w:val="000000"/>
        </w:rPr>
        <w:t xml:space="preserve"> </w:t>
      </w:r>
      <w:r>
        <w:rPr>
          <w:rFonts w:ascii="Times New Roman;serif" w:hAnsi="Times New Roman;serif"/>
          <w:b w:val="false"/>
          <w:color w:val="000000"/>
          <w:sz w:val="20"/>
        </w:rPr>
        <w:t>). The repayment of the loans under the OrbiMed Credit Agreement as aforementioned, is referred to as the “Revenue Base Redemption Liability.” Furthermore, if on the subsequent test date, the revenue-based condition is met, we will stop repaying the outstanding principal amount in equal installments and directly repay the balance amount on the Maturity Date. We determine the value of the Revenue Base Redemption Liability using a Monte Carlo simulation of future revenue and valuing the Term Loan using the with and without method.</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24, 2024, we commenced an offer (the “Offer”) to all holders of Public Warrants, Private Placement Warrants and Working Capital Warrants (collectively, the "Exchange Warrants") to receive 0.30 shares of common stock of the Company in exchange for each Exchange Warrant tendered by the holder and exchanged pursuant to the Offer. The Offer expired at one minute after 11:59 p.m., Eastern Standard Time, on June 25, 2024. The Exchange Warrants tendered were comprised of 6,529,954 Public Warrants and 504,685 Private Placement Warrants. We determined the Exchange Warrants met the criteria to be equity classified at June 26, 2024, and that their fair value was $11.9 million. Adjusting for issuance costs of $1.7 million, the net fair value of the Exchange Warrants was $10.2 million. Accordingly, we recorded that amount as a reduction of the warrant liability and a charge to APIC.</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changes in fair value of our outstanding warrant liabilities, contingent earnout liability, SEPA derivative liability, and revenue base redemption liability for the six months ended June 30, 2025: </w:t>
      </w:r>
    </w:p>
    <w:tbl>
      <w:tblPr>
        <w:tblW w:w="8895"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53"/>
        <w:gridCol w:w="741"/>
        <w:gridCol w:w="131"/>
        <w:gridCol w:w="109"/>
        <w:gridCol w:w="109"/>
        <w:gridCol w:w="109"/>
        <w:gridCol w:w="257"/>
        <w:gridCol w:w="750"/>
        <w:gridCol w:w="132"/>
        <w:gridCol w:w="109"/>
        <w:gridCol w:w="109"/>
        <w:gridCol w:w="109"/>
        <w:gridCol w:w="305"/>
        <w:gridCol w:w="587"/>
        <w:gridCol w:w="158"/>
        <w:gridCol w:w="109"/>
        <w:gridCol w:w="109"/>
        <w:gridCol w:w="109"/>
        <w:gridCol w:w="251"/>
        <w:gridCol w:w="735"/>
        <w:gridCol w:w="183"/>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June 30,</w:t>
              <w:br/>
              <w:t>2025</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35" w:type="dxa"/>
        <w:jc w:val="left"/>
        <w:tblInd w:w="0" w:type="dxa"/>
        <w:tblLayout w:type="fixed"/>
        <w:tblCellMar>
          <w:top w:w="28" w:type="dxa"/>
          <w:left w:w="28" w:type="dxa"/>
          <w:bottom w:w="28" w:type="dxa"/>
          <w:right w:w="28" w:type="dxa"/>
        </w:tblCellMar>
      </w:tblPr>
      <w:tblGrid>
        <w:gridCol w:w="1058"/>
        <w:gridCol w:w="929"/>
        <w:gridCol w:w="938"/>
        <w:gridCol w:w="109"/>
        <w:gridCol w:w="109"/>
        <w:gridCol w:w="109"/>
        <w:gridCol w:w="253"/>
        <w:gridCol w:w="741"/>
        <w:gridCol w:w="131"/>
        <w:gridCol w:w="109"/>
        <w:gridCol w:w="109"/>
        <w:gridCol w:w="109"/>
        <w:gridCol w:w="297"/>
        <w:gridCol w:w="689"/>
        <w:gridCol w:w="154"/>
        <w:gridCol w:w="109"/>
        <w:gridCol w:w="109"/>
        <w:gridCol w:w="109"/>
        <w:gridCol w:w="282"/>
        <w:gridCol w:w="622"/>
        <w:gridCol w:w="146"/>
        <w:gridCol w:w="109"/>
        <w:gridCol w:w="109"/>
        <w:gridCol w:w="109"/>
        <w:gridCol w:w="109"/>
        <w:gridCol w:w="109"/>
        <w:gridCol w:w="251"/>
        <w:gridCol w:w="735"/>
        <w:gridCol w:w="183"/>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Level 3</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June 30,</w:t>
              <w:br/>
              <w:t>2025</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fair value of our outstanding warrant liabilities, contingent earnout liability, SEPA derivative liability, and revenue base redemption liability for the six months ended June 30, 2024:</w:t>
      </w:r>
    </w:p>
    <w:tbl>
      <w:tblPr>
        <w:tblW w:w="8962" w:type="dxa"/>
        <w:jc w:val="left"/>
        <w:tblInd w:w="0" w:type="dxa"/>
        <w:tblLayout w:type="fixed"/>
        <w:tblCellMar>
          <w:top w:w="28" w:type="dxa"/>
          <w:left w:w="28" w:type="dxa"/>
          <w:bottom w:w="28" w:type="dxa"/>
          <w:right w:w="28" w:type="dxa"/>
        </w:tblCellMar>
      </w:tblPr>
      <w:tblGrid>
        <w:gridCol w:w="1124"/>
        <w:gridCol w:w="987"/>
        <w:gridCol w:w="994"/>
        <w:gridCol w:w="109"/>
        <w:gridCol w:w="109"/>
        <w:gridCol w:w="109"/>
        <w:gridCol w:w="228"/>
        <w:gridCol w:w="779"/>
        <w:gridCol w:w="117"/>
        <w:gridCol w:w="109"/>
        <w:gridCol w:w="109"/>
        <w:gridCol w:w="109"/>
        <w:gridCol w:w="257"/>
        <w:gridCol w:w="750"/>
        <w:gridCol w:w="132"/>
        <w:gridCol w:w="109"/>
        <w:gridCol w:w="109"/>
        <w:gridCol w:w="109"/>
        <w:gridCol w:w="211"/>
        <w:gridCol w:w="796"/>
        <w:gridCol w:w="109"/>
        <w:gridCol w:w="109"/>
        <w:gridCol w:w="109"/>
        <w:gridCol w:w="109"/>
        <w:gridCol w:w="227"/>
        <w:gridCol w:w="777"/>
        <w:gridCol w:w="166"/>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June 30,</w:t>
              <w:br/>
              <w:t>2024</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33" w:type="dxa"/>
        <w:jc w:val="left"/>
        <w:tblInd w:w="0" w:type="dxa"/>
        <w:tblLayout w:type="fixed"/>
        <w:tblCellMar>
          <w:top w:w="28" w:type="dxa"/>
          <w:left w:w="28" w:type="dxa"/>
          <w:bottom w:w="28" w:type="dxa"/>
          <w:right w:w="28" w:type="dxa"/>
        </w:tblCellMar>
      </w:tblPr>
      <w:tblGrid>
        <w:gridCol w:w="1058"/>
        <w:gridCol w:w="929"/>
        <w:gridCol w:w="937"/>
        <w:gridCol w:w="109"/>
        <w:gridCol w:w="109"/>
        <w:gridCol w:w="109"/>
        <w:gridCol w:w="228"/>
        <w:gridCol w:w="779"/>
        <w:gridCol w:w="117"/>
        <w:gridCol w:w="109"/>
        <w:gridCol w:w="109"/>
        <w:gridCol w:w="109"/>
        <w:gridCol w:w="238"/>
        <w:gridCol w:w="779"/>
        <w:gridCol w:w="123"/>
        <w:gridCol w:w="109"/>
        <w:gridCol w:w="109"/>
        <w:gridCol w:w="109"/>
        <w:gridCol w:w="282"/>
        <w:gridCol w:w="622"/>
        <w:gridCol w:w="146"/>
        <w:gridCol w:w="109"/>
        <w:gridCol w:w="109"/>
        <w:gridCol w:w="109"/>
        <w:gridCol w:w="109"/>
        <w:gridCol w:w="109"/>
        <w:gridCol w:w="251"/>
        <w:gridCol w:w="735"/>
        <w:gridCol w:w="183"/>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Level 3</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June 30,</w:t>
              <w:b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Initial OrbiMed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Cash, Cash Equivalents and Restricted Cash</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presented in the Condensed Consolidated Statements of Cash Flows, consisted of the following:</w:t>
      </w:r>
    </w:p>
    <w:tbl>
      <w:tblPr>
        <w:tblW w:w="10205" w:type="dxa"/>
        <w:jc w:val="left"/>
        <w:tblInd w:w="0" w:type="dxa"/>
        <w:tblLayout w:type="fixed"/>
        <w:tblCellMar>
          <w:top w:w="28" w:type="dxa"/>
          <w:left w:w="28" w:type="dxa"/>
          <w:bottom w:w="28" w:type="dxa"/>
          <w:right w:w="28" w:type="dxa"/>
        </w:tblCellMar>
      </w:tblPr>
      <w:tblGrid>
        <w:gridCol w:w="2816"/>
        <w:gridCol w:w="2448"/>
        <w:gridCol w:w="2462"/>
        <w:gridCol w:w="211"/>
        <w:gridCol w:w="721"/>
        <w:gridCol w:w="109"/>
        <w:gridCol w:w="109"/>
        <w:gridCol w:w="109"/>
        <w:gridCol w:w="109"/>
        <w:gridCol w:w="238"/>
        <w:gridCol w:w="697"/>
        <w:gridCol w:w="176"/>
      </w:tblGrid>
      <w:tr>
        <w:trPr/>
        <w:tc>
          <w:tcPr>
            <w:tcW w:w="2816"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cash of $350 is held by our bank to support our corporate credit card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Inventory</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w:t>
      </w:r>
    </w:p>
    <w:tbl>
      <w:tblPr>
        <w:tblW w:w="5011" w:type="dxa"/>
        <w:jc w:val="left"/>
        <w:tblInd w:w="0" w:type="dxa"/>
        <w:tblLayout w:type="fixed"/>
        <w:tblCellMar>
          <w:top w:w="28" w:type="dxa"/>
          <w:left w:w="28" w:type="dxa"/>
          <w:bottom w:w="28" w:type="dxa"/>
          <w:right w:w="28" w:type="dxa"/>
        </w:tblCellMar>
      </w:tblPr>
      <w:tblGrid>
        <w:gridCol w:w="945"/>
        <w:gridCol w:w="828"/>
        <w:gridCol w:w="836"/>
        <w:gridCol w:w="211"/>
        <w:gridCol w:w="616"/>
        <w:gridCol w:w="109"/>
        <w:gridCol w:w="109"/>
        <w:gridCol w:w="109"/>
        <w:gridCol w:w="109"/>
        <w:gridCol w:w="211"/>
        <w:gridCol w:w="617"/>
        <w:gridCol w:w="311"/>
      </w:tblGrid>
      <w:tr>
        <w:trPr/>
        <w:tc>
          <w:tcPr>
            <w:tcW w:w="94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obsolete 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Accrued Liabilities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consists of the following:</w:t>
      </w:r>
    </w:p>
    <w:tbl>
      <w:tblPr>
        <w:tblW w:w="5237" w:type="dxa"/>
        <w:jc w:val="left"/>
        <w:tblInd w:w="0" w:type="dxa"/>
        <w:tblLayout w:type="fixed"/>
        <w:tblCellMar>
          <w:top w:w="28" w:type="dxa"/>
          <w:left w:w="28" w:type="dxa"/>
          <w:bottom w:w="28" w:type="dxa"/>
          <w:right w:w="28" w:type="dxa"/>
        </w:tblCellMar>
      </w:tblPr>
      <w:tblGrid>
        <w:gridCol w:w="1025"/>
        <w:gridCol w:w="903"/>
        <w:gridCol w:w="906"/>
        <w:gridCol w:w="211"/>
        <w:gridCol w:w="616"/>
        <w:gridCol w:w="109"/>
        <w:gridCol w:w="109"/>
        <w:gridCol w:w="109"/>
        <w:gridCol w:w="109"/>
        <w:gridCol w:w="245"/>
        <w:gridCol w:w="716"/>
        <w:gridCol w:w="179"/>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general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clinical trials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incentives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liabilities - general includes accruals from our service providers and other miscellaneous operating accruals.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Contingent Earnout Liability</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In connection with the execution of the Merger Agreement (see Note </w:t>
      </w:r>
      <w:r>
        <w:rPr>
          <w:rFonts w:ascii="Times New Roman;serif" w:hAnsi="Times New Roman;serif"/>
          <w:b w:val="false"/>
          <w:i/>
          <w:color w:val="000000"/>
          <w:sz w:val="20"/>
        </w:rPr>
        <w:t>(3) Business Combination)</w:t>
      </w:r>
      <w:r>
        <w:rPr>
          <w:rFonts w:ascii="Times New Roman;serif" w:hAnsi="Times New Roman;serif"/>
          <w:b w:val="false"/>
          <w:color w:val="000000"/>
          <w:sz w:val="20"/>
        </w:rPr>
        <w:t>, MTAC entered into the Sponsor Support Agreement. Pursuant to the Sponsor Support Agreement, the 3,125,000 Sponsor Earnout Shares became unvested and subject to potential forfeiture if certain triggering events are not achieved prior to the 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anniversary of the Closing Date. Pursuant to the Sponsor Support Agreement, (i) 25% of the shares of the unvested Common Stock held by the Sponsor Holders will only vest if, during the five year period following the Closing, the volume weighted average price of our Common Stock equals or exceeds $15.00 for any 20 trading days within a period of 30 consecutive trading days, (ii) 25% of the shares of the unvested Common Stock held by the Sponsor Holders will only vest if, during the five year period following the Closing, the volume weighted average price of our Common Stock equals or exceeds $20.00 for any 20 trading days within a period of 30 consecutive trading days, (iii) 25% of the shares of the unvested Common Stock held by the Sponsor Holders will only vest if, during the five year period following the Closing, the volume weighted average price of our Common Stock equals or exceeds $25.00 for any 20 trading days within a period of 30 consecutive trading days; and (iv) 25% of the shares of the unvested Common Stock held by the Sponsor Holders will only vest if, during the five year period following the Closing, the volume weighted average price of our Common Stock equals or exceeds $30.00 for any 20 trading days within a period of 30 consecutive trading days. Additionally, the Sponsor Earnout Shares will vest if there is a change in control of our company on or before the 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anniversary of the Closing Date that results in the holders of our Common Stock receiving a price per share equal to or in excess of the applicable earnout targets. Any such shares held by the Sponsor Holders that remain unvested after the 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anniversary of the Closing will be forfeited.</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contingent earnout liability on the Closing Date, August 10, 2023, was $28.9 million, based on a Monte Carlo simulation valuation model. The liability was remeasured to its fair value of $7.5 million and $7.4 million, respectively, as of June 30, 2025 and December 31, 2024. This remeasurement resulted in the recording of a gain of $0.7 million and a loss of $0.1 million, respectively, for the three and six months ended June 30, 2025 compared to a gain of $13.7 million and $9.7 million, respectively, for the three and six months ended June 30, 2024, classified as change in fair value of contingent earnout liability in the Condensed Consolidated Statements of Operations. Assumptions used in the valuation are described below: </w:t>
      </w:r>
    </w:p>
    <w:tbl>
      <w:tblPr>
        <w:tblW w:w="5069" w:type="dxa"/>
        <w:jc w:val="left"/>
        <w:tblInd w:w="0" w:type="dxa"/>
        <w:tblLayout w:type="fixed"/>
        <w:tblCellMar>
          <w:top w:w="28" w:type="dxa"/>
          <w:left w:w="28" w:type="dxa"/>
          <w:bottom w:w="28" w:type="dxa"/>
          <w:right w:w="28" w:type="dxa"/>
        </w:tblCellMar>
      </w:tblPr>
      <w:tblGrid>
        <w:gridCol w:w="944"/>
        <w:gridCol w:w="829"/>
        <w:gridCol w:w="837"/>
        <w:gridCol w:w="211"/>
        <w:gridCol w:w="511"/>
        <w:gridCol w:w="271"/>
        <w:gridCol w:w="109"/>
        <w:gridCol w:w="109"/>
        <w:gridCol w:w="109"/>
        <w:gridCol w:w="231"/>
        <w:gridCol w:w="561"/>
        <w:gridCol w:w="347"/>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stock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 price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liability was determined using a Monte Carlo simulation valuation model using a distribution of potential outcomes. The inputs and assumptions utilized in the calculation require management to apply judgment and make estimates including:</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(a)expected volatility, which is based on the historical equity volatility of publicly traded peer companies for a term equal to the expected term of the earnout period;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(b)expected term, which we based on the earnout period per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(c)risk-free interest rate, which was determined by reference to the U.S. Treasury yield curve for time periods commensurate with the expected term of the earnout period; and</w:t>
      </w:r>
    </w:p>
    <w:p>
      <w:pPr>
        <w:pStyle w:val="TextBody"/>
        <w:bidi w:val="0"/>
        <w:spacing w:lineRule="auto" w:line="288" w:before="120" w:after="283"/>
        <w:ind w:left="0" w:right="0" w:hanging="360"/>
        <w:jc w:val="left"/>
        <w:rPr/>
      </w:pPr>
      <w:r>
        <w:rPr>
          <w:rFonts w:ascii="Times New Roman;serif" w:hAnsi="Times New Roman;serif"/>
          <w:b w:val="false"/>
          <w:color w:val="000000"/>
          <w:sz w:val="20"/>
        </w:rPr>
        <w:t>(d)expected dividend yield, which we estimate to be 0%</w:t>
      </w:r>
      <w:r>
        <w:rPr>
          <w:color w:val="000000"/>
        </w:rPr>
        <w:t xml:space="preserve"> </w:t>
      </w:r>
      <w:r>
        <w:rPr>
          <w:rFonts w:ascii="Times New Roman;serif" w:hAnsi="Times New Roman;serif"/>
          <w:b w:val="false"/>
          <w:color w:val="000000"/>
          <w:sz w:val="20"/>
        </w:rPr>
        <w:t xml:space="preserve">based on the fact that we have never paid or declared dividends. </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estimates may be subjective in nature and involve uncertainties and matters of judgment and therefore cannot be determined with exact precision.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Warrants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Warrants that have not been tendered for exchange and outstanding at June 30, 2025, and December 31, 2024, are as follows:</w:t>
      </w:r>
    </w:p>
    <w:tbl>
      <w:tblPr>
        <w:tblW w:w="5331" w:type="dxa"/>
        <w:jc w:val="left"/>
        <w:tblInd w:w="0" w:type="dxa"/>
        <w:tblLayout w:type="fixed"/>
        <w:tblCellMar>
          <w:top w:w="28" w:type="dxa"/>
          <w:left w:w="28" w:type="dxa"/>
          <w:bottom w:w="28" w:type="dxa"/>
          <w:right w:w="28" w:type="dxa"/>
        </w:tblCellMar>
      </w:tblPr>
      <w:tblGrid>
        <w:gridCol w:w="846"/>
        <w:gridCol w:w="745"/>
        <w:gridCol w:w="748"/>
        <w:gridCol w:w="488"/>
        <w:gridCol w:w="488"/>
        <w:gridCol w:w="241"/>
        <w:gridCol w:w="109"/>
        <w:gridCol w:w="109"/>
        <w:gridCol w:w="109"/>
        <w:gridCol w:w="488"/>
        <w:gridCol w:w="488"/>
        <w:gridCol w:w="472"/>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warrants</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7,311,278 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Public, Private Placement and Working Capital Warrant Liabilities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consummation of the Business Combination, we assumed the warrant liabilities associated with 8,333,272 Public Warrants. Each Public Warrant is exercisable to purchase one share of common stock at a price of $11.50 per share, subject to adjustment. As of June 30, 2025 and December 31, 2024, there were 1,751,825 Public Warrants outstanding. The Public Warrants expire on August 10, 2028 or earlier upon redemption or liquidation.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Public Warrants expire 5 years after the completion of the Business Combination or earlier upon redemption or liquidation. We may redeem for cash the outstanding Public Warrants: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a.in whole and not in part;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b.at a price of $0.01 per Public Warrant;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c.upon not less than 30 days’ prior written notice of redemption to each warrant holder;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d.if, and only if, the reported closing price of the Common Stock equals or exceeds $18.00 per share (as adjusted for stock splits, stock dividends, reorganizations, recapitalizations and the like) for any 20 trading days within a 30 trading day period ending three business days before we send the notice of redemption to the warrant holders.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and when the SPAC Warrants become redeemable, we may exercise its redemption right even if it is unable to register or qualify the underlying securities for sale under all applicable state securities laws.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we be required to net cash settle the warrants. Accordingly, the warrants may expire worthless.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Public Warrants, we assumed the warrant liabilities associated with 4,933,333 Private Placement Warrants and 1,000,000 Working Capital Warrants. The Private Placement Warrants and Working Capital Warrants are identical to the Public Warrants, except that the Private Placement Warrants and Working Capital Warrants, and the common stock issuable upon the exercise of the Private Placement Warrants and Working Capital Warrants, were not transferable, assignable or saleable until 30 days after the completion of the Business Combination, subject to certain limited exceptions. Additionally, the Private Placement Warrants and Working Capital Warrants are exercisable on a cashless basis and are non-redeemable so long as they are held by the initial purchasers or their permitted transferees. If the Private Placement Warrants and Working Capital Warrants are held by someone other than the initial purchasers or their permitted transferees, they will be redeemable by the Company and exercisable by such holders on the same basis as the Public Warrants. As of June 30, 2025 and December 31, 2024, there were 4,428,648 Private Placement Warrants and 1,000,000 Working Capital Warrants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We determined that the Public Warrants, Private Placement Warrants, and Working Capital Warrants do not meet the criteria to be equity classified and should be recorded as liabilities. Our analysis concluded liability classification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these warrants include a provision that could allow cash settlement upon an event outside our control, and such event may not result in a change in control of the Company. As a result, the Private and Public Warrants do not meet the criteria for equity classification.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close of the Business Combination, the fair values of the Public Warrants, Private Placement Warrants, and Working Capital Warrants were $1.5 million, $0.9 million, and $0.2 million, respectively. As of June 30, 2025, the fair values of the Public Warrants, Private Placement Warrants and Working Capital Warrants were $2.3 million, $5.7 million, and $1.3 million, respectively. As of December 31, 2024, the fair values of the Public Warrants, Private Placement Warrants and Working Capital Warrants were $1.9 million, $4.9 million, and $1.1 million. The fair value of the Public Warrants has been measured based on the quoted price of such warrants on the Nasdaq Global Market. The transfer of Private Placement Warrants or Working Capital Warrants to anyone outside of a small group of individuals who are permitted transferees would result in the Private Placement Warrants and Working Capital Warrants having substantially the same terms as the Public Warrants. Therefore, we determined that the fair value of each Private Warrant and Working Capital Warrant is equivalent to that of each Public Warrant.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24, 2024, we commenced (i) the Offer and (ii) the solicitation of consent (the “Consent Solicitation”) from holders of the Exchange Warrants to amend the Warrant Agreement, dated as of December 17, 2020 (the “Warrant Agreement” and such amendment, the “Warrant Amendment”), by and between the Company and Continental Stock Transfer &amp; Trust Company, which governs all of the Exchange Warrants.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Offer and Consent Solicitation expired at one minute after 11:59 p.m., Eastern Standard Time, on June 25, 2024. The Exchange Warrants tendered were comprised of 6,529,954 Public Warrants and 504,685 Private Placement Warrants, which represents approximately 78.8% and 10.2% of the outstanding warrants of each respective class. The Warrants were validly tendered and not validly withdrawn prior to the expiration of the Offer and Consent Solicitation. No Working Capital Warrants were tendered. We determined the Exchange Warrants met the criteria to be equity classified at June 26, 2024, and that their fair value was $11.9 million. Accordingly, we recorded that amount as a reduction of the warrant liability and a charge to APIC, partially offset by issuance costs of $1.7 million. On July 1, 2024, we issued 2,110,366 shares of common stock in exchange for the Exchange Warrants.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Warrant Amendment was entered into with respect to the Public Warrants. As a result all (and not less than all) of the outstanding Public Warrants may be exchanged, at our option, at any time while they are exercisable and prior to their expiration, at the office of the warrant agent, upon notice to the holders of the then outstanding Public Warrants, at the exchange rate of 0.27 shares of Common Stock per Public Warrant (subject to equitable adjustment by us in the event of any stock splits, stock dividends, recapitalizations or similar transaction with respect to the Common Stock).</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the Public Warrants, Private Placement Warrants, Working Capital Warrants and Exchange Warrants in the six months ended June 30, 2025 and 2024.</w:t>
      </w:r>
    </w:p>
    <w:tbl>
      <w:tblPr>
        <w:tblW w:w="10205" w:type="dxa"/>
        <w:jc w:val="left"/>
        <w:tblInd w:w="0" w:type="dxa"/>
        <w:tblLayout w:type="fixed"/>
        <w:tblCellMar>
          <w:top w:w="28" w:type="dxa"/>
          <w:left w:w="28" w:type="dxa"/>
          <w:bottom w:w="28" w:type="dxa"/>
          <w:right w:w="28" w:type="dxa"/>
        </w:tblCellMar>
      </w:tblPr>
      <w:tblGrid>
        <w:gridCol w:w="796"/>
        <w:gridCol w:w="685"/>
        <w:gridCol w:w="693"/>
        <w:gridCol w:w="109"/>
        <w:gridCol w:w="109"/>
        <w:gridCol w:w="109"/>
        <w:gridCol w:w="484"/>
        <w:gridCol w:w="472"/>
        <w:gridCol w:w="474"/>
        <w:gridCol w:w="109"/>
        <w:gridCol w:w="109"/>
        <w:gridCol w:w="109"/>
        <w:gridCol w:w="290"/>
        <w:gridCol w:w="290"/>
        <w:gridCol w:w="291"/>
        <w:gridCol w:w="109"/>
        <w:gridCol w:w="109"/>
        <w:gridCol w:w="109"/>
        <w:gridCol w:w="255"/>
        <w:gridCol w:w="255"/>
        <w:gridCol w:w="256"/>
        <w:gridCol w:w="109"/>
        <w:gridCol w:w="109"/>
        <w:gridCol w:w="109"/>
        <w:gridCol w:w="628"/>
        <w:gridCol w:w="628"/>
        <w:gridCol w:w="629"/>
        <w:gridCol w:w="109"/>
        <w:gridCol w:w="109"/>
        <w:gridCol w:w="109"/>
        <w:gridCol w:w="488"/>
        <w:gridCol w:w="488"/>
        <w:gridCol w:w="468"/>
      </w:tblGrid>
      <w:tr>
        <w:trPr/>
        <w:tc>
          <w:tcPr>
            <w:tcW w:w="7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Retirements / 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June 30, 2025</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6"/>
        <w:gridCol w:w="685"/>
        <w:gridCol w:w="693"/>
        <w:gridCol w:w="109"/>
        <w:gridCol w:w="109"/>
        <w:gridCol w:w="109"/>
        <w:gridCol w:w="484"/>
        <w:gridCol w:w="472"/>
        <w:gridCol w:w="474"/>
        <w:gridCol w:w="109"/>
        <w:gridCol w:w="109"/>
        <w:gridCol w:w="109"/>
        <w:gridCol w:w="290"/>
        <w:gridCol w:w="290"/>
        <w:gridCol w:w="291"/>
        <w:gridCol w:w="109"/>
        <w:gridCol w:w="109"/>
        <w:gridCol w:w="109"/>
        <w:gridCol w:w="255"/>
        <w:gridCol w:w="255"/>
        <w:gridCol w:w="256"/>
        <w:gridCol w:w="109"/>
        <w:gridCol w:w="109"/>
        <w:gridCol w:w="109"/>
        <w:gridCol w:w="628"/>
        <w:gridCol w:w="628"/>
        <w:gridCol w:w="629"/>
        <w:gridCol w:w="109"/>
        <w:gridCol w:w="109"/>
        <w:gridCol w:w="109"/>
        <w:gridCol w:w="488"/>
        <w:gridCol w:w="488"/>
        <w:gridCol w:w="468"/>
      </w:tblGrid>
      <w:tr>
        <w:trPr/>
        <w:tc>
          <w:tcPr>
            <w:tcW w:w="7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Retirements / 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June 30, 2024</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8,281,779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(6,529,954)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OrbiMed Warrants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the OrbiMed Credit Agreement, we also issued OrbiMed a warrant to purchase 130,805 shares of our common stock (the "Warrant Shares"), with the initial exercise price of $9.5562, (the "Exercise Price") per share, or approximately $1.25 million in the aggregate, assuming none of the Initial OrbiMed Warrant is exercised through a "cashless" exercise. In the three months ended June 30, 2025, the exercise price was adjusted to $8.8398 per share pursuant to the terms of the Initial OrbiMed Warrant, or approximately $1.16 million in the aggregate. The Initial OrbiMed Warrant expires on April 30, 2031 (the "Expiration Date"). On each of the closings of the Delayed Draw Commitment Amounts, if any, we agreed to issue additional warrants to purchase a number of shares of our common stock determined by dividing 5.0% of the applicable Delayed Draw Commitment Amount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10-day volume weighted average sale price of our common stock as of the issue date (the “Subsequent OrbiMed Warrants” and collectively, with the Initial OrbiMed Warrant, the “OrbiMed Warrants” and together with the SPAC Warrants, the “Warrants”). The Subsequent OrbiMed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In connection with the First Delayed Draw Term Loan Commitment draw on February 18, 2025, we issued the OrbiMed operating entities a warrant to purchase 64,748 and 26,515 shares of our common stock (the "Subsequent OrbiMed Warrant"), with the initial exercise price of $5.4787, or approximately $0.5 million. In the three months ended June 30, 2025, the exercise price was adjusted to $5.3322 per share pursuant to the terms of the Subsequent OrbiMed Warrant, or approximately $0.49 million in the aggregate. The Subsequent OrbiMed Warrant expires on February 18, 2032.</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OrbiMed Warrants may be exercised in whole or in part, at any time prior to the Expiration Date (the "Exercise Period"), by either: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a.making a payment to the Company, in an amount in immediately available funds equal to the aggregate Exercise Price to be paid upon the exercise of the OrbiMed Warrants;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b.instructing the Company to withhold a number of Warrant Shares then issuable upon exercise of the OrbiMed Warrants with an aggregate fair market value as of the exercise date equal to such aggregate Exercise Price to be paid upon the exercise of the OrbiMed Warrants (the “Cashless Exercise”).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either upon (i) the occurrence of the Expiration Date, or (ii) the date on which a Sale of the Company (defined in the OrbiMed Warrants) is consummated pursuant to which the sole consideration payable to the Company or its stockholders in respect of such sale transaction consists of cash, marketable securities or a combination thereof, and the per share fair market value of a Warrant Share is greater than the exercise price, any portion of the OrbiMed Warrants that remains unexercised on such date shall be deemed to have been exercised automatically pursuant to a Cashless Exercise (the “Automatic Cashless Exercise”). </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Ownership Cap</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Holder in any circumstance cannot exercise the OrbiMed Warrants if such exercise would result in the holder and its affiliates to own more than 9.99% of the Company's common stock (the “Ownership Cap”).</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Adjustments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Exercise Price and the number of Warrant Shares underlying the OrbiMed Warrants are subject to certain anti-dilutive adjustments. These are triggered by events such as stock splits, reclassification of shares, combinations, or substitutions. Additionally, the Exercise Price will be adjusted if shares (which include shares, options, and convertible securities settled in common stock) are issued at a price per share less than the current Exercise Price. These adjustments are collectively referred to as "Warrant Adjustments.”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declare or pay a dividend or distribution on our outstanding common shares payable in cash, capital securities or other property, the Holder shall be entitled to receive, at the time such dividend or distribution is paid, without additional cost to the Holder, the total number and kind of cash, capital securities or other property which the Holder would have received had the Holder owned the Warrant Shares of record as of the date such dividend or distribution was paid (the “Pro-Rata Distribution”).</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OrbiMed Warrants are subject to customary price-based anti-dilution protections, such that, in certain circumstances, if we issue shares of our common stock below the current exercise price of the Initial OrbiMed Warrant, the exercise price of the OrbiMed Warrants will be adjusted downward based on such issuance. As a result of any adjustments, the amount of proceeds we receive from the exercise of the OrbiMed Warrants would be less than the amount we would receive immediately prior to such adjustment. In the three months ended June 30, 2025, the exercise price of the Initial OrbiMed Warrant was adjusted to $8.8398 per share, while the Subsequent OrbiMed Warrant was adjusted to an exercise price of $5.3322.</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Transfers of OrbiMed Warrants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OrbiMed Warrants may be transferred or assigned in whole or in part, subject to compliance with applicable federal and state securities laws.</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Allocation of Proceeds and Issuance Costs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agreement explicitly permits the settlement of the OrbiMed Warrants in a cashless manner (i.e., net share settlement) and not indexed to the Company's own stock, therefore, it is considered as a derivative instrument and will be classified as a liability and is subsequently measured at fair value with changes reported to earnings following the proceeds from the issuance of the Initial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Initial OrbiMed Warrant was measured using the Black-Scholes option pricing model. The key inputs used in the valuations were as follows:</w:t>
      </w:r>
    </w:p>
    <w:tbl>
      <w:tblPr>
        <w:tblW w:w="4962" w:type="dxa"/>
        <w:jc w:val="center"/>
        <w:tblInd w:w="0" w:type="dxa"/>
        <w:tblLayout w:type="fixed"/>
        <w:tblCellMar>
          <w:top w:w="28" w:type="dxa"/>
          <w:left w:w="28" w:type="dxa"/>
          <w:bottom w:w="28" w:type="dxa"/>
          <w:right w:w="28" w:type="dxa"/>
        </w:tblCellMar>
      </w:tblPr>
      <w:tblGrid>
        <w:gridCol w:w="695"/>
        <w:gridCol w:w="611"/>
        <w:gridCol w:w="613"/>
        <w:gridCol w:w="424"/>
        <w:gridCol w:w="424"/>
        <w:gridCol w:w="426"/>
        <w:gridCol w:w="517"/>
        <w:gridCol w:w="517"/>
        <w:gridCol w:w="73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term (years) </w:t>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$8.8398</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$9.3722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r>
    </w:tbl>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Subsequent OrbiMed Warrant was measured using the Black-Scholes option pricing model. The key inputs used in the valuations were as follows:</w:t>
      </w:r>
    </w:p>
    <w:tbl>
      <w:tblPr>
        <w:tblW w:w="4873" w:type="dxa"/>
        <w:jc w:val="center"/>
        <w:tblInd w:w="0" w:type="dxa"/>
        <w:tblLayout w:type="fixed"/>
        <w:tblCellMar>
          <w:top w:w="28" w:type="dxa"/>
          <w:left w:w="28" w:type="dxa"/>
          <w:bottom w:w="28" w:type="dxa"/>
          <w:right w:w="28" w:type="dxa"/>
        </w:tblCellMar>
      </w:tblPr>
      <w:tblGrid>
        <w:gridCol w:w="679"/>
        <w:gridCol w:w="597"/>
        <w:gridCol w:w="599"/>
        <w:gridCol w:w="424"/>
        <w:gridCol w:w="424"/>
        <w:gridCol w:w="426"/>
        <w:gridCol w:w="504"/>
        <w:gridCol w:w="504"/>
        <w:gridCol w:w="7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February 18, 2025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$5.3322</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$5.4787</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inputs utilized by management to value the warrant liabilities are subjective. The assumptions used in calculating the fair value of the warrant liabilities represent our best estimates, but these estimates involve inherent uncertainties and the application of management judgment. As a result, if factors change and we use different assumptions, the fair value of the warrant liabilities may be materially different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the end of each interim period, we make our best estimate of the effective tax rate expected to be applicable for the full calendar year and use that rate to provide for income taxes on a current year-to-date basis before discrete items. If a reliable estimate cannot be made, we may make a reasonable estimate of the annual effective tax rate, including use of the actual effective rate for the year-to-date. The impact of the discrete items is recorded in the quarter in which they occur.</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utilize the balance sheet method of accounting for income taxes and deferred taxes which are determined based on the differences between the condensed consolidated financial statements and tax basis of assets and liabilities given the provisions of the enacted tax laws. In assessing the realizability of the deferred tax assets, we considered whether it is more likely than not that some portion or all of the deferred tax assets will not be realized through the generation of future taxable income. In making this determination, we assessed all of the evidence available at the time including recent earnings, forecasted income projections, and historical financial performance. We have fully reserved deferred tax assets as a result of this assessment.</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full valuation allowance against the net deferred tax assets, our effective federal tax rate for the calendar year is zero, and we recorded an immaterial income tax expense in the three and six months ended June 30, 2025 and 2024. We continue to believe it is more likely than not that some or all of the benefits from its deferred tax assets will not be realized, and accordingly, believe a valuation allowance is still warranted on these assets. Management assesses the available positive and negative evidence, including future reversals of temporary differences, tax-planning strategies and future taxable income, to estimate whether sufficient future taxable income will be generated to permit the use of deferred tax assets. If we conclude it is more likely than not that a portion, or all, of our deferred tax assets will not be realized, the deferred tax asset is reduced by a valuation allowance. A significant piece of objective negative evidence evaluated is the cumulative loss incurred over recent years. Such objective negative evidence limits the ability to consider other subjective positive evidence. The amount of the deferred tax asset considered realizable could be adjusted if estimates of future taxable income change or if objective negative evidence, in the form of cumulative losses, is no longer present and additional weight is given to subjective evidence such as future growth. We evaluate the appropriateness of its valuation allowance on a quarterly basis.</w:t>
      </w:r>
    </w:p>
    <w:p>
      <w:pPr>
        <w:pStyle w:val="TextBody"/>
        <w:bidi w:val="0"/>
        <w:spacing w:lineRule="auto" w:line="288" w:before="20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04, 2025, the “One Big Beautiful Bill Act” (the “Act”) was enacted into law. The Act has multiple effective dates, with certain provisions effective in 2025 and others implemented through 2027. These changes include the allowance of immediate expensing of qualifying research and development expenses and permanent extension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120"/>
        <w:jc w:val="left"/>
        <w:rPr>
          <w:rFonts w:ascii="Times New Roman;serif" w:hAnsi="Times New Roman;serif"/>
          <w:b w:val="false"/>
          <w:color w:val="000000"/>
          <w:sz w:val="20"/>
        </w:rPr>
      </w:pPr>
      <w:r>
        <w:rPr>
          <w:rFonts w:ascii="Times New Roman;serif" w:hAnsi="Times New Roman;serif"/>
          <w:b w:val="false"/>
          <w:color w:val="000000"/>
          <w:sz w:val="20"/>
        </w:rPr>
        <w:t>certain provisions within the Tax Cuts and Jobs Act. We are in the process of evaluating the impact of the Act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Dynavax Purchase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purchased all of the intellectual property and trial drug substance for nelitolimod from Dynavax Technologies (“Dynavax”) in 2020. This was a purchase of in-process research and development (“IPR&amp;D”). Nelitolimod, an investigational agent in development, is a toll-like receptor 9 (“TLR9”) agonist which is believed to bind to the TLR9 receptors found on suppressive immune cells including myeloid-derived suppressor cells (“MDSCs”) and antigen-presenting immune cells. We believe that nelitolimod, when delivered using our PEDD devices, can improve therapeutic distribution to solid tumors and improve outcomes for liver metastases and LA-PDAC.</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Payments under the Dynavax purchase agreement consist of: (a) an upfront payment of $9,000, (b) milestone payments upon the achievement of certain development and commercial milestones, and (c) royalty payments based on aggregate annual net sales after nelitolimod receives Food and Drug Administration ("FDA") approval to be sold.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milestone payments range from $1,000 to $10,000, triggered by development achievements for each of up to four indications. The development milestone payments cannot exceed $170,000. We have made milestone payments of $1,000 in September 2021, after initiating our clinical study of uveal melanoma liver metastases, June 2022, after initiating our clinical study for primary liver tumors, and August 2023, after initiating our clinical study for LA-PDAC. In aggregate, the commercial milestones shall not exceed $80,000. We will also pay annual royalties at the rate of 10.0% for aggregate annual net sales less than or equal to $1,000,000 and 12.0% for aggregate annual net sales above that amount.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record the milestone payments in R&amp;D expense when they are incurred. The milestone payments and royalty payments are contingent upon future events and therefore will also be recorded as expense when it is probable that a milestone has been achieved or when royalties are due. During the three and six months ended June 30, 2025 and 2024, we made no payments to Dynavax.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Standby Equity Purchase Agreement</w:t>
      </w:r>
    </w:p>
    <w:p>
      <w:pPr>
        <w:pStyle w:val="TextBody"/>
        <w:bidi w:val="0"/>
        <w:spacing w:lineRule="auto" w:line="333"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2023, we entered into the SEPA with Yorkville. Yorkville is a fund managed by Yorkville Advisors Global, LP.</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SEPA, we have the right, but not the obligation, to sell to Yorkville up to $30.0 million of Common Stock, par value $0.0001 per share, at our request any time during the commitment period commencing on October 2, 2023 (the “Effective Date”), and terminating on the first day of the month following the 24-month anniversary of the Effective Date. Each issuance and sale to Yorkville under the SEPA (an “Advance”) is subject to a maximum limit equal to the greater of: (i) an amount equal to 100% of the average of the daily volume of the Common Stock on the Nasdaq Stock Market (“Nasdaq”) for the 10 trading days immediately preceding an Advance notice, or (ii) 1,000,000 shares of Common Stock. At our election, the shares will be issued and sold to Yorkville at a per-share price equal to: (i) 96.0% of the Market Price (as defined below) for any period commencing on the receipt of the Advance notice by Yorkville and ending on 4:00 p.m. New York City time on the applicable Advance notice date (the “Option 1 Pricing Period”), or (ii) 97.0%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the outstanding voting power or Common Stock. Further, Yorkville cannot purchase shares that would result in it acquiring more than 5,260,704 shares of Common Stock, which represents 19.99% of the outstanding Common Stock, as of the Effective Date of SEPA.</w:t>
      </w:r>
    </w:p>
    <w:p>
      <w:pPr>
        <w:pStyle w:val="TextBody"/>
        <w:bidi w:val="0"/>
        <w:spacing w:lineRule="auto" w:line="288" w:before="160" w:after="283"/>
        <w:ind w:left="0" w:right="0" w:firstLine="360"/>
        <w:jc w:val="left"/>
        <w:rPr/>
      </w:pPr>
      <w:r>
        <w:rPr>
          <w:rFonts w:ascii="Times New Roman;serif" w:hAnsi="Times New Roman;serif"/>
          <w:b w:val="false"/>
          <w:color w:val="000000"/>
          <w:sz w:val="20"/>
        </w:rPr>
        <w:t>As described in Note</w:t>
      </w:r>
      <w:r>
        <w:rPr>
          <w:color w:val="000000"/>
        </w:rPr>
        <w:t xml:space="preserve"> </w:t>
      </w:r>
      <w:r>
        <w:rPr>
          <w:rFonts w:ascii="Times New Roman;serif" w:hAnsi="Times New Roman;serif"/>
          <w:b w:val="false"/>
          <w:i/>
          <w:color w:val="000000"/>
          <w:sz w:val="20"/>
        </w:rPr>
        <w:t>(2) Summary of Significant Accounting Policies</w:t>
      </w:r>
      <w:r>
        <w:rPr>
          <w:rFonts w:ascii="Times New Roman;serif" w:hAnsi="Times New Roman;serif"/>
          <w:b w:val="false"/>
          <w:color w:val="000000"/>
          <w:sz w:val="20"/>
        </w:rPr>
        <w:t>, the SEPA is accounted for as a derivative and is recognized as a liability measured at fair value in accordance with ASC 820. We intend to utilize the SEPA to access capital to fund our operations. We did not issue any Advances during three and six months ended June 30, 2025.</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SEPA liability on December 31, 2024, was $0.1 million, which was determined using a scenario-based valuation model. The liability was remeasured to its fair value of $3.1 thousand as of June 30, 2025, and is classified within other long-term liabilities in the Condensed Consolidated Balance Sheets. This remeasurement resulted in the recognition of a gain of $0.02 million and $0.05 million for three and six months ended June 30, 2025, classified as change in fair value of SEPA, tranche and warrant liabilities in the Condensed Consolidated Statement of Operations. Assumptions used in the valuation are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tbl>
      <w:tblPr>
        <w:tblW w:w="5562" w:type="dxa"/>
        <w:jc w:val="left"/>
        <w:tblInd w:w="0" w:type="dxa"/>
        <w:tblLayout w:type="fixed"/>
        <w:tblCellMar>
          <w:top w:w="28" w:type="dxa"/>
          <w:left w:w="28" w:type="dxa"/>
          <w:bottom w:w="28" w:type="dxa"/>
          <w:right w:w="28" w:type="dxa"/>
        </w:tblCellMar>
      </w:tblPr>
      <w:tblGrid>
        <w:gridCol w:w="930"/>
        <w:gridCol w:w="816"/>
        <w:gridCol w:w="819"/>
        <w:gridCol w:w="402"/>
        <w:gridCol w:w="207"/>
        <w:gridCol w:w="516"/>
        <w:gridCol w:w="109"/>
        <w:gridCol w:w="109"/>
        <w:gridCol w:w="109"/>
        <w:gridCol w:w="511"/>
        <w:gridCol w:w="264"/>
        <w:gridCol w:w="770"/>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Valuation assumptions: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draws</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probability of draws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liability was determined using a scenario-based valuation model which assigned a probability to a number of different outcomes. The inputs and assumptions utilized in the calculation require management to apply judgment and make estimates including: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(a)total expected draws of $2.0 million, respectively, at June 30, 2025, and December 31, 2024 through the issuance of multiple separate advances under the Option 2 Pricing Period at June 30, 2025 and December 31,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(b)the expected probability of the draws on the SEPA, which we estimate based on our expectation of the draws being completed;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(c)risk-free interest rate, which was determined by reference to the U.S. Treasury yield curve for time periods commensurate with the expected term of the agreement in relation to the date of the expected draw.</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estimates may be subjective in nature and involve uncertainties and matters of judgment and therefore cannot be determined with exact precision.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(13) Debt</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2024 (the "OrbiMed Closing Date"), we entered into the Credit Agreement with OrbiMed, a healthcare investment firm, and certain of its affiliates to support the execution of strategic expansion plans, fuel continued growth, and provide financial flexibility. </w:t>
      </w:r>
    </w:p>
    <w:p>
      <w:pPr>
        <w:pStyle w:val="TextBody"/>
        <w:bidi w:val="0"/>
        <w:spacing w:lineRule="auto" w:line="26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Agreement, OrbiMed agreed to provide a term loan facility to the borrower, in an aggregate principal amount of $50.0 million, as follows:</w:t>
      </w:r>
    </w:p>
    <w:p>
      <w:pPr>
        <w:pStyle w:val="TextBody"/>
        <w:bidi w:val="0"/>
        <w:spacing w:lineRule="auto" w:line="26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a.$25.0 million funded on the OrbiMed Closing Date (the “Initial Term Loan”). </w:t>
      </w:r>
    </w:p>
    <w:p>
      <w:pPr>
        <w:pStyle w:val="TextBody"/>
        <w:bidi w:val="0"/>
        <w:spacing w:lineRule="auto" w:line="26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b.$10.0 million term loan available at the election of the borrower, provided that Product Revenue Base (defined below) for the trailing 12-months ending on the last day of the month immediately prior to the funding of such loan was at least $30.0 million (the “First Delayed Draw Term Loan Commitment”). The First Delayed Draw Term Loan Commitment expires on June 30, 2025.</w:t>
      </w:r>
    </w:p>
    <w:p>
      <w:pPr>
        <w:pStyle w:val="TextBody"/>
        <w:bidi w:val="0"/>
        <w:spacing w:lineRule="auto" w:line="26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c.An additional $15.0 million term loan available at the election of the borrower, provided that Product Revenue Base (defined below) for the trailing 12-months ending on the last day of the month immediately prior to the funding of such loan was at least $50.0 million (the “Second Delayed Draw Term Loan Commitment” and together with the First Delayed Draw Term Loan Commitment the “DDTL Commitments”). The Second Delayed Draw Term Loan Commitment expires on December 31, 2025.</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 loan will mature on April 30, 2029. On April 30, 2024, we borrowed the initial commitment amount, resulting in gross proceeds of $25.0 million. On February 18, 2025, we borrowed the First Delayed Draw Term Loan Commitment resulting in gross proceeds of $10.0 million based on achieving the trailing 12-month Product Revenue Base of $30.0 million in January 2025.</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a subjective acceleration clause whereby an event of default, including a material adverse change in the business, operations, or conditions (financial or otherwise), could result in the acceleration of the obligations under the Credit Agreement. Under certain circumstances, a default interest rate of an additional 4.0% per annum will apply, at the election of OrbiMed, on all outstanding obligations during the occurrence and continuance of an event of default. OrbiMed can also declare all or a portion of the outstanding principal amount of the loan due and payable, and cancel any unmade draws. OrbiMed has not exercised its right under this clause, as there have been no such events. </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First Amendment To Credit Agreement and Registration Rights Agreement, effective March 20, 2025, we received a waiver for the prior default events related to the Series A Convertible Preferred Stock conversions and the Agreement was amended to allow for these conversions going forward. In addition, we received a waiver on March 31, 2025 to extend the timing for the required audited financial statements to occur on or before April 15, 2025. Effective on April 30, 2025, the Second Amendment To Credit Agreement allows for the Company accelerate payment of the Series A Preferred Stock dividends in cash payments in lieu of fractional shares upon conversion of the Preferred Stock shares.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Repayment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“Product Revenue Base” (i.e., with respect to any period, the net revenues for such period from sales of TriNav) on a trailing 12-month basis does not equal or exceed the specified amount as stipulated in table below,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Borrower will start repaying the outstanding principal amount of the Term Loans. Such repayments will commence in the calendar month immediately following the applicable Test Date (stipulated in the table below) and occur on the last day of each calendar month ("Amortization Payment Date"). The repayments are made in equal monthly installments, calculated from the first Amortization Payment Date through the Maturity Date and the balance principal amount of the Term Loans shall be repaid on the Maturity Date. The repayments include the applicable Repayment Premium and the Exit Fee (each as defined below). The repayment of the Term Loans as aforementioned, is referred to as the “Revenue Base Redemption Feature.”</w:t>
      </w:r>
    </w:p>
    <w:p>
      <w:pPr>
        <w:pStyle w:val="TextBody"/>
        <w:bidi w:val="0"/>
        <w:spacing w:before="0" w:after="0"/>
        <w:ind w:left="0" w:right="0" w:firstLine="360"/>
        <w:jc w:val="left"/>
        <w:rPr/>
      </w:pPr>
      <w:r>
        <w:rPr/>
      </w:r>
    </w:p>
    <w:tbl>
      <w:tblPr>
        <w:tblW w:w="8489" w:type="dxa"/>
        <w:jc w:val="left"/>
        <w:tblInd w:w="0" w:type="dxa"/>
        <w:tblLayout w:type="fixed"/>
        <w:tblCellMar>
          <w:top w:w="28" w:type="dxa"/>
          <w:left w:w="28" w:type="dxa"/>
          <w:bottom w:w="28" w:type="dxa"/>
          <w:right w:w="28" w:type="dxa"/>
        </w:tblCellMar>
      </w:tblPr>
      <w:tblGrid>
        <w:gridCol w:w="1674"/>
        <w:gridCol w:w="1469"/>
        <w:gridCol w:w="1476"/>
        <w:gridCol w:w="1133"/>
        <w:gridCol w:w="1133"/>
        <w:gridCol w:w="1604"/>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Test Dates (fiscal Quarter Ending)</w:t>
            </w:r>
          </w:p>
        </w:tc>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Product Revenue Base for 12 months Period</w:t>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2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33,400 </w:t>
            </w:r>
          </w:p>
        </w:tc>
        <w:tc>
          <w:tcPr>
            <w:tcW w:w="1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2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42,700 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2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 and each Fiscal Quarter ending thereafter</w:t>
            </w:r>
          </w:p>
        </w:tc>
        <w:tc>
          <w:tcPr>
            <w:tcW w:w="2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we were in compliance with the Product Revenue Base requirement and no repayments were required.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Repayment Premium</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repayments and prepayments of the Term Loans (other than on Maturity Date) shall be accompanied by the payment of the premium, which shall be determined based on the timing of the repayment as follows (the “Repayment Premium”):</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407"/>
        <w:gridCol w:w="2116"/>
        <w:gridCol w:w="2127"/>
        <w:gridCol w:w="1054"/>
        <w:gridCol w:w="1054"/>
        <w:gridCol w:w="1447"/>
      </w:tblGrid>
      <w:tr>
        <w:trPr/>
        <w:tc>
          <w:tcPr>
            <w:tcW w:w="2407"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6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Time of Repayment</w:t>
            </w:r>
          </w:p>
        </w:tc>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Premium Rate</w:t>
            </w:r>
          </w:p>
        </w:tc>
      </w:tr>
      <w:tr>
        <w:trPr/>
        <w:tc>
          <w:tcPr>
            <w:tcW w:w="6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Within the first 12 months from the funding date of each respective loan.</w:t>
            </w:r>
          </w:p>
        </w:tc>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3.0% plus the Make-Whole Amount (defined below)</w:t>
            </w:r>
            <w:r>
              <w:rPr>
                <w:color w:val="000000"/>
              </w:rPr>
              <w:t xml:space="preserve"> </w:t>
            </w:r>
            <w:r>
              <w:rPr>
                <w:rFonts w:ascii="Times New Roman;serif" w:hAnsi="Times New Roman;serif"/>
                <w:b w:val="false"/>
                <w:color w:val="000000"/>
                <w:sz w:val="13"/>
              </w:rPr>
              <w:t>(1)</w:t>
            </w:r>
          </w:p>
        </w:tc>
      </w:tr>
      <w:tr>
        <w:trPr/>
        <w:tc>
          <w:tcPr>
            <w:tcW w:w="6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first 12 months but before the 24-month anniversary of the funding date of each respective loan.</w:t>
            </w:r>
          </w:p>
        </w:tc>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6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24-month anniversary but before the 36-month anniversary of the funding date of each respective loan.</w:t>
            </w:r>
          </w:p>
        </w:tc>
        <w:tc>
          <w:tcPr>
            <w:tcW w:w="35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36-month anniversary but before the 48-month anniversary of the funding date of each respective loan.</w:t>
            </w:r>
          </w:p>
        </w:tc>
        <w:tc>
          <w:tcPr>
            <w:tcW w:w="35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6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48-month anniversary of the funding date of each respective loan.</w:t>
            </w:r>
          </w:p>
        </w:tc>
        <w:tc>
          <w:tcPr>
            <w:tcW w:w="35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180" w:after="283"/>
        <w:ind w:left="0" w:right="0" w:firstLine="360"/>
        <w:jc w:val="left"/>
        <w:rPr/>
      </w:pPr>
      <w:r>
        <w:rPr>
          <w:rFonts w:ascii="Times New Roman;serif" w:hAnsi="Times New Roman;serif"/>
          <w:b w:val="false"/>
          <w:i/>
          <w:color w:val="000000"/>
          <w:sz w:val="13"/>
        </w:rPr>
        <w:t xml:space="preserve">(1) </w:t>
      </w:r>
      <w:r>
        <w:rPr>
          <w:color w:val="000000"/>
        </w:rPr>
        <w:t>“</w:t>
      </w:r>
      <w:r>
        <w:rPr>
          <w:rFonts w:ascii="Times New Roman;serif" w:hAnsi="Times New Roman;serif"/>
          <w:b w:val="false"/>
          <w:i/>
          <w:color w:val="000000"/>
          <w:sz w:val="18"/>
        </w:rPr>
        <w:t xml:space="preserve">Make-Whole Amount” is equal to the sum of the remaining scheduled interest payments through the 12-month anniversary </w:t>
      </w:r>
    </w:p>
    <w:p>
      <w:pPr>
        <w:pStyle w:val="TextBody"/>
        <w:bidi w:val="0"/>
        <w:spacing w:lineRule="auto" w:line="268" w:before="0" w:after="0"/>
        <w:ind w:left="0" w:right="0" w:firstLine="360"/>
        <w:jc w:val="left"/>
        <w:rPr/>
      </w:pPr>
      <w:r>
        <w:rPr>
          <w:rFonts w:ascii="Times New Roman;serif" w:hAnsi="Times New Roman;serif"/>
          <w:b w:val="false"/>
          <w:i/>
          <w:color w:val="000000"/>
          <w:sz w:val="18"/>
        </w:rPr>
        <w:t>of the closing date of each respective loa</w:t>
      </w:r>
      <w:r>
        <w:rPr>
          <w:rFonts w:ascii="Times New Roman;serif" w:hAnsi="Times New Roman;serif"/>
          <w:b w:val="false"/>
          <w:color w:val="000000"/>
          <w:sz w:val="18"/>
        </w:rPr>
        <w:t>n.</w:t>
      </w:r>
      <w:r>
        <w:rPr>
          <w:color w:val="000000"/>
        </w:rPr>
        <w:t xml:space="preserv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Rate and Payment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is calculated as Secured Overnight Financing Rate for the interest period (which shall not be less than 4.0% (the “Floor”)) plus 8.5% (the “Interest Rate”). Until the first full interest period after the 15 months anniversary of the OrbiMed Closing Date, 3.5% of the Interest Rate shall be designated as paid-in-kind interest, which is added to the outstanding principal amount of the Loans (the “PIK Interest”). However, the Borrower upon written notice can elect to pay all interest in cash, or to pay a percentage less than 3.5% as PIK Interest.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and after occurrence of any Event of Default, until such Event of Default is cured, the Borrower is obligated to pay 4.0% in addition to the otherwise applicable Interest Rate (the “Default Rate”).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payments (except PIK Interest) are due on the last day of the month. Whenever a prepayment is made on the principal of the Term Loans, the accrued interest on the amount prepaid is also due on such date.</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Debt Related Fees</w:t>
      </w:r>
    </w:p>
    <w:p>
      <w:pPr>
        <w:pStyle w:val="TextBody"/>
        <w:bidi w:val="0"/>
        <w:spacing w:lineRule="auto" w:line="288" w:before="12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(1) Exit Fee</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Borrower on the repayment of the Term Loans is obligated to pay an additional fee equal to 4.0% of the of the principal amount being repaid. This applies whether the repayment is made on the Maturity Date, or under any other conditions specified in the Agreement (the “Exit Fee”). </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 Commitment Fee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Borrower on the funding date of the Term Loans, shall pay a commitment fee to the Lender, equal to 2.0% of the principal amount drawn (the “Commitment Fee”).</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(3) Undrawn Fee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Every month, the Borrower is obligated to remit a fee to the Lender, calculated as 0.25% per annum of the total undrawn amount under the DDTL Commitments.</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(4) Administrative Fee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Borrower will pay to the Agent for its own account a quarterly loan administration fee of $0.01 million, payable in advance, with the first payment due and payable upon the OrbiMed Closing Date.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Increased Costs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at any time, any Lender incurs additional cost, reductions in any sum receivable by the Lender under the Agreement or reduction in the rate of return with respect to the Term Loans because of any change in applicable law or government rule including laws regarding capital adequacy, reserve requirements, taxes, or similar requirements, etc., (collectively, “Yield Adjustment Events”), the Borrower will pay the Lenders an additional amount to compensate the Lender for such increased costs or reduction in rate of return (the “Yield Protection Adjustment Feature”).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Taxes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required by applicable law, any and all payments shall be made free and clear of and without deduction for any taxes; provided, that if any taxes shall be deducted (as required by law or otherwise) from such payments, then the Borrower or the withholding agent shall be entitled to make such deductions and shall timely pay the full amount deducted to the relevant government authority in accordance with applicable law.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such taxes are Non-Excluded Taxes (as defined in the Agreement), then the sum payable by the Borrower shall be increased as necessary so that after all required deductions have been made, the Lenders receive an amount equal to the sum it would have received had no such deduction been made (the "Tax Gross-Up Feature”).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Warrant</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In connection with the closing of the OrbiMed Credit Agreement, we issued OrbiMed the Initial OrbiMed Warrant. See Note </w:t>
      </w:r>
      <w:r>
        <w:rPr>
          <w:rFonts w:ascii="Times New Roman;serif" w:hAnsi="Times New Roman;serif"/>
          <w:b w:val="false"/>
          <w:i/>
          <w:color w:val="000000"/>
          <w:sz w:val="20"/>
        </w:rPr>
        <w:t>(9) Warrants</w:t>
      </w:r>
      <w:r>
        <w:rPr>
          <w:color w:val="000000"/>
        </w:rPr>
        <w:t xml:space="preserve"> </w:t>
      </w:r>
      <w:r>
        <w:rPr>
          <w:rFonts w:ascii="Times New Roman;serif" w:hAnsi="Times New Roman;serif"/>
          <w:b w:val="false"/>
          <w:color w:val="000000"/>
          <w:sz w:val="20"/>
        </w:rPr>
        <w:t>for further discussion. In addition to issuing the Initial OrbiMed Warrant, on each of the closings of the Delayed Draw Commitment Amounts, if any, we agreed to issue additional warrants to purchase a number of shares of our common stock determined by dividing 5.0% of the applicable Delayed Draw Commitment Amount by the 10-day volume weighted average sale price of our common stock as of the issue date (the “Subsequent OrbiMed Warrant” and collectively, with the Initial OrbiMed Warrant, the “OrbiMed Warrants” and together with the SPAC Warrants, the “Warrants”). The Subsequent OrbiMed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If we fail to comply with certain of our obligations under the OrbiMed Registration Rights Agreement with respect to maintaining an effective registration statement covering shares of Common Stock underlying the OrbiMed Warrants, then the expiration date of an OrbiMed Warrant may be extended.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Initial OrbiMed Warrant is subject to customary price-based anti-dilution protections, such that, in certain circumstances, if we issue shares of our common stock below the current exercise price of the Initial OrbiMed Warrant, the exercise price of the Initial OrbiMed Warrant will be adjusted downward based on such issuance.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Accounting Treatment</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In 2024, we recorded the Initial Term Loan and the First Delay Draw as long-term debt, and recorded the costs incurred to obtain the loan as contra-debt, in accordance with ASC 470, </w:t>
      </w:r>
      <w:r>
        <w:rPr>
          <w:rFonts w:ascii="Times New Roman;serif" w:hAnsi="Times New Roman;serif"/>
          <w:b w:val="false"/>
          <w:i/>
          <w:color w:val="000000"/>
          <w:sz w:val="20"/>
        </w:rPr>
        <w:t>Debt</w:t>
      </w:r>
      <w:r>
        <w:rPr>
          <w:rFonts w:ascii="Times New Roman;serif" w:hAnsi="Times New Roman;serif"/>
          <w:b w:val="false"/>
          <w:color w:val="000000"/>
          <w:sz w:val="20"/>
        </w:rPr>
        <w:t xml:space="preserve">. In addition, we determined that the Initial OrbiMed Warrant met the definition of a derivative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and should be recorded as a liability, and that we should bifurcate and separately recognize the Revenue Base Redemption Feature (see Notes </w:t>
      </w:r>
      <w:r>
        <w:rPr>
          <w:rFonts w:ascii="Times New Roman;serif" w:hAnsi="Times New Roman;serif"/>
          <w:b w:val="false"/>
          <w:i/>
          <w:color w:val="000000"/>
          <w:sz w:val="20"/>
        </w:rPr>
        <w:t>(4) Financial Instruments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(9) Warrants</w:t>
      </w:r>
      <w:r>
        <w:rPr>
          <w:color w:val="000000"/>
        </w:rPr>
        <w:t xml:space="preserve"> </w:t>
      </w:r>
      <w:r>
        <w:rPr>
          <w:rFonts w:ascii="Times New Roman;serif" w:hAnsi="Times New Roman;serif"/>
          <w:b w:val="false"/>
          <w:color w:val="000000"/>
          <w:sz w:val="20"/>
        </w:rPr>
        <w:t xml:space="preserve">for further discussion).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recognized interest of $1.2 million related to the Term Loan, of which $0.3 million was recorded as PIK interest. The remaining $0.9 million was paid in cash to OrbiMed. We also expensed $0.2 million of the capitalized debt issuance costs, which was charged to non-cash interest, and we accreted $0.1 million of the exit fee which will be due at the termination of the Initial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within the Term Loan for the six months ended June 30, 2025:</w:t>
      </w:r>
    </w:p>
    <w:tbl>
      <w:tblPr>
        <w:tblW w:w="4805" w:type="dxa"/>
        <w:jc w:val="left"/>
        <w:tblInd w:w="0" w:type="dxa"/>
        <w:tblLayout w:type="fixed"/>
        <w:tblCellMar>
          <w:top w:w="28" w:type="dxa"/>
          <w:left w:w="28" w:type="dxa"/>
          <w:bottom w:w="28" w:type="dxa"/>
          <w:right w:w="28" w:type="dxa"/>
        </w:tblCellMar>
      </w:tblPr>
      <w:tblGrid>
        <w:gridCol w:w="1341"/>
        <w:gridCol w:w="1178"/>
        <w:gridCol w:w="1185"/>
        <w:gridCol w:w="211"/>
        <w:gridCol w:w="736"/>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5"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OrbiMed Debt</w:t>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Initial draw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costs: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30,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exit fee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22,084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First Delayed Draw Term Loan Commitment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costs: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exit fee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32,274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Convertible Preferred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the Closing Date on August 10, 2023, we issued 4,015,002 shares of Series A Convertible Preferred Stock at a purchase price of $10.00 per share for an aggregate purchase price of $40.2 million, pursuant to separate subscription agreements dated June 7, 2023, and July 4, 2023 (collectively, the “Subscription Agreements”).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we are authorized to issue up to 10,000,000 shares of preferred stock with 6,405,998 shares available for issuance. The original issue price of the Series A Convertible Preferred Stock was $10.00. The Series A Convertible Preferred Stock accrues cumulative dividends at the rate of 8.00% per annum on the original issue price. As of June 30, 2025, total undeclared cumulative dividends were $5.4 million. We have not recorded the undeclared dividends in our condensed consolidated financial statements, except the statement of operations.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shares of Series A Convertible Preferred Stock had the following rights:</w:t>
      </w:r>
    </w:p>
    <w:p>
      <w:pPr>
        <w:pStyle w:val="TextBody"/>
        <w:bidi w:val="0"/>
        <w:spacing w:lineRule="auto" w:line="288" w:before="24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(i)Conversion</w:t>
      </w:r>
    </w:p>
    <w:p>
      <w:pPr>
        <w:pStyle w:val="TextBody"/>
        <w:bidi w:val="0"/>
        <w:spacing w:lineRule="auto" w:line="288" w:before="200" w:after="283"/>
        <w:ind w:left="0" w:right="0" w:hanging="360"/>
        <w:jc w:val="left"/>
        <w:rPr/>
      </w:pPr>
      <w:r>
        <w:rPr>
          <w:rFonts w:ascii="Times New Roman;serif" w:hAnsi="Times New Roman;serif"/>
          <w:b w:val="false"/>
          <w:i/>
          <w:color w:val="000000"/>
          <w:sz w:val="20"/>
        </w:rPr>
        <w:t>(a)</w:t>
      </w:r>
      <w:r>
        <w:rPr>
          <w:rFonts w:ascii="Times New Roman;serif" w:hAnsi="Times New Roman;serif"/>
          <w:b w:val="false"/>
          <w:i/>
          <w:color w:val="231F20"/>
          <w:sz w:val="20"/>
        </w:rPr>
        <w:t>Optional Conversion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A Convertible Preferred Stock are convertible at any time at the option of the holder thereof into the number of shares of our Common Stock determined by the quotient of (i) the sum of $10.00 (as adjusted for any stock dividend, stock split, reverse stock split, combination or similar event affecting the Series A Convertible Preferred Stock) (the “Liquidation Preference”) and, if we have not elected to otherwise pay the accrued Annual Dividends (as defined below) in cash to the holder, the accrued Annual Dividends on such shares as of the date of conversion, divided by (ii) the Conversion Price (as defined in our Certificate of Designations, Preferences, and Rights of Series A Convertible Preferred Stock (the "Certificate of Designations")) of such shares in effect at the time of conversion. </w:t>
      </w:r>
    </w:p>
    <w:p>
      <w:pPr>
        <w:pStyle w:val="TextBody"/>
        <w:bidi w:val="0"/>
        <w:spacing w:lineRule="auto" w:line="288" w:before="200" w:after="283"/>
        <w:ind w:left="0" w:right="0" w:hanging="360"/>
        <w:jc w:val="left"/>
        <w:rPr/>
      </w:pPr>
      <w:r>
        <w:rPr>
          <w:rFonts w:ascii="Times New Roman;serif" w:hAnsi="Times New Roman;serif"/>
          <w:b w:val="false"/>
          <w:i/>
          <w:color w:val="000000"/>
          <w:sz w:val="20"/>
        </w:rPr>
        <w:t>(b)</w:t>
      </w:r>
      <w:r>
        <w:rPr>
          <w:rFonts w:ascii="Times New Roman;serif" w:hAnsi="Times New Roman;serif"/>
          <w:b w:val="false"/>
          <w:i/>
          <w:color w:val="231F20"/>
          <w:sz w:val="20"/>
        </w:rPr>
        <w:t xml:space="preserve">Automatic </w:t>
      </w:r>
      <w:r>
        <w:rPr>
          <w:rFonts w:ascii="Times New Roman;serif" w:hAnsi="Times New Roman;serif"/>
          <w:b w:val="false"/>
          <w:i/>
          <w:color w:val="000000"/>
          <w:sz w:val="20"/>
        </w:rPr>
        <w:t>Conversion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the four-year anniversary of the Closing, all then outstanding shares of Series A Convertible Preferred Stock shall automatically convert into the number of shares of our Common Stock equal to the quotient of (i) the sum of the Liquidation Preference and if we had not elected to otherwise pay the accrued Annual Dividends in cash to the holder, the accrued Annual Dividends on such shares as of the date of conversion, divided by (ii) the Conversion Price of such shares in effect at the time of conversion.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(ii)Voting Rights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Holders of the Series A Convertible Preferred Stock are entitled to vote with the holders of our Common Stock on all matters submitted to a vote of our stockholders, except as otherwise provided in the Certificate of Designations or as required by applicable law, voting together with the holders of our Common Stock as a single class. Each holder is entitled to a number of votes in respect of the shares of Series A Convertible Preferred Stock owned as of the record date by it, or if no such record date is established, as of the date such vote is taken or any written consent of stockholders is solicited, equal to the quotient of (i) $10.00 divided by (ii) the Minimum Price (as defined in Nasdaq Listing Rule 5635(d)) of our Common Stock as determined at Closing.</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long as any shares of Series A Convertible Preferred Stock are outstanding, we shall not, without the affirmative vote of the Holders of a majority of the then-outstanding shares of the Series A Convertible Preferred Stock, (i) amend, alter, repeal or otherwise modify any provision of our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capital stock senior to the Series A Convertible Preferred Stock; (iii) increase the authorized number of shares of Series A Convertible Preferred Stock or enter into any agreement with respect to the foregoing.</w:t>
      </w: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(iii)Dividends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Holders of the Series A Convertible Preferred Stock are entitled to participate equally in any dividends declared to holders of Common Stock. In addition, each holder of the Series A Convertible Preferred Stock is entitled to receive cumulative annual dividends that accrue and accumulate daily at a rate per annum (calculated on the basis of an actual 365- or 366-day year, as applicable) equal to 8.00% of the original issue price of $10.00 per share (the "Annual Dividends”). The Annual Dividends will be either paid in cash, paid by issuing fully paid and nonassessable shares of Common Stock, or a combination thereof when, as and if authorized and declared by our Board. Upon conversion or a change of control, any unpaid Annual Dividends will be paid to the holders, either in the form of common stock upon a conversion, or in cash upon a change of control. So long as any shares of Series A Convertible Preferred Stock remain outstanding, unless all Annual Dividends on all outstanding shares of Series A Convertible Preferred Stock have been declared and paid in cash, we will be prohibited from declaring any dividends on, or making any distributions relating to, other classes of our capital stock ranking junior to the Series A Convertible Preferred Stock, subject to certain exceptions.</w:t>
      </w: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(iv)Anti-dilution Provisions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initial Conversion Price of $10.00 is subject to customary adjustments in the case of certain distributions to holders of our Common Stock payable in shares of our Common Stock, subdivisions, splits or combinations of the shares of our Common Stock and distributions to all holders of shares of our Common Stock of any convertible securities or options or any other assets for which there is no corresponding distribution in respect of the Series A Convertible Preferred Stock.</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Conversion Price automatically reset on February 10, 2025 and will automatically reset on July 10, 2027, the eighteen-month and forty-seven-month anniversaries of the Closing Date, to be equal to the lowest of: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(i)Initial Conversion Price, subject to adjustments for stock dividends and distributions or other distributions made to common stockholders for which there is no corresponding distribution for Preferred Stock,</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(ii)the then-current Conversion Price, and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higher of 1) the Floor Price ($2.10 per share) or 2) the trailing ten-Trading Day VWAP of the Common Stock determined as of the date of such reset.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10, 2025, the Conversion Price was reset to $5.277 based on the trailing ten-trading day VWAP of the Company's common stock. </w:t>
      </w: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(iv)Liquidation Preferences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terms of the Series A Convertible Preferred Stock provide for liquidation preferences in the event of a change in control, liquidation, dissolution, or certain other fundamental transactions of the Company (a “Liquidation Event”), none of which were deemed probable as of June 30, 2025. The Liquidation Preferences of $10.00 per share, plus all unpaid dividends, are payable prior to payment to any class of capital stock that is junior to the Series A Convertible Preferred Stock.</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assets of the Company or the consideration received in such Liquidation Event are insufficient to make payment of the full Liquidation Preferences to all holders of Series A Convertible Preferred Stock, then such assets will be distributed ratably to the holders of Series A Convertible Preferred Stock in proportion to the full amounts to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they would otherwise have been entitled. After payment of the aforementioned Liquidation Preferences, any remaining proceeds from a Liquidation Event will be distributed to all classes of capital stock that are junior to the Series A Convertible Preferred Stock pro rata on an as-if converted basis. </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Series A Convertible Preferred Stock, if-converted, in the six months ended June 30, 2025.</w:t>
      </w:r>
    </w:p>
    <w:tbl>
      <w:tblPr>
        <w:tblW w:w="10205" w:type="dxa"/>
        <w:jc w:val="left"/>
        <w:tblInd w:w="0" w:type="dxa"/>
        <w:tblLayout w:type="fixed"/>
        <w:tblCellMar>
          <w:top w:w="28" w:type="dxa"/>
          <w:left w:w="28" w:type="dxa"/>
          <w:bottom w:w="28" w:type="dxa"/>
          <w:right w:w="28" w:type="dxa"/>
        </w:tblCellMar>
      </w:tblPr>
      <w:tblGrid>
        <w:gridCol w:w="1262"/>
        <w:gridCol w:w="1109"/>
        <w:gridCol w:w="1119"/>
        <w:gridCol w:w="109"/>
        <w:gridCol w:w="109"/>
        <w:gridCol w:w="109"/>
        <w:gridCol w:w="540"/>
        <w:gridCol w:w="541"/>
        <w:gridCol w:w="393"/>
        <w:gridCol w:w="109"/>
        <w:gridCol w:w="109"/>
        <w:gridCol w:w="109"/>
        <w:gridCol w:w="255"/>
        <w:gridCol w:w="255"/>
        <w:gridCol w:w="256"/>
        <w:gridCol w:w="109"/>
        <w:gridCol w:w="109"/>
        <w:gridCol w:w="109"/>
        <w:gridCol w:w="648"/>
        <w:gridCol w:w="518"/>
        <w:gridCol w:w="520"/>
        <w:gridCol w:w="109"/>
        <w:gridCol w:w="109"/>
        <w:gridCol w:w="109"/>
        <w:gridCol w:w="540"/>
        <w:gridCol w:w="541"/>
        <w:gridCol w:w="400"/>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Retirements / 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June 30, 2025</w:t>
            </w:r>
          </w:p>
        </w:tc>
      </w:tr>
      <w:tr>
        <w:trPr/>
        <w:tc>
          <w:tcPr>
            <w:tcW w:w="3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(assuming maximum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25,048,584 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(2,457,715)</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22,590,869 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25,048,584 </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(2,457,715)</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22,590,869 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23, 2025, we commenced an offer (the “Offer”) to all holders of preferred stock shares to receive 3.3 shares of common stock of the Company in exchange for each preferred stock share tendered by the holder and exchanged pursuant to the Offer. The Offer expired at one minute after 11:59 p.m., Eastern Daylight Time, on July 23, 2025. We were advised that approximately 98.8% of the outstanding shares of preferred stock shares were validly tendered through the Offer and not withdrawn prior to the Expiration Date, and were accepted for exchange. Including the remaining preferred stock shares not tendered through the Offer, all preferred stock shares were converted for common stock shares on July 31, 2025, resulting in the issuance of 11,813,059 common stock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Net Loss Per Share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participates in any dividends declared, if any,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six months ended June 30, 2025 and 2024, diluted net loss per common share is the same as basic net loss per common share for those periods.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(in common stock equivalent shares) have been excluded from the computation of diluted weighted-average shares outstanding because such securities have an antidilutive impact due to losses reported:</w:t>
      </w:r>
    </w:p>
    <w:tbl>
      <w:tblPr>
        <w:tblW w:w="5828" w:type="dxa"/>
        <w:jc w:val="left"/>
        <w:tblInd w:w="0" w:type="dxa"/>
        <w:tblLayout w:type="fixed"/>
        <w:tblCellMar>
          <w:top w:w="28" w:type="dxa"/>
          <w:left w:w="28" w:type="dxa"/>
          <w:bottom w:w="28" w:type="dxa"/>
          <w:right w:w="28" w:type="dxa"/>
        </w:tblCellMar>
      </w:tblPr>
      <w:tblGrid>
        <w:gridCol w:w="1074"/>
        <w:gridCol w:w="946"/>
        <w:gridCol w:w="950"/>
        <w:gridCol w:w="540"/>
        <w:gridCol w:w="541"/>
        <w:gridCol w:w="156"/>
        <w:gridCol w:w="109"/>
        <w:gridCol w:w="109"/>
        <w:gridCol w:w="109"/>
        <w:gridCol w:w="540"/>
        <w:gridCol w:w="541"/>
        <w:gridCol w:w="213"/>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22,590,869 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25,237,155 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14,345,917 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5,434,039 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4,866,070 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SEPA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4,510,704 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39,568,250 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49,504,834 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Offer related to the Preferred Stock, the Preferred Stock will be completely converted to Common Stock before the quarter-end September 30, 2025 and will no longer be considered a potentially dilutive security. See Note (14) Convertible Preferred Stock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(16)    Share-Based Compensation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maintain the 2023 Equity Incentive Plan (the “2023 Plan”), which our Board of Directors and stockholders approved in connection with the Business Combination, for purposes of granting equity-based incentive awards to our employees and consultants, including our executive officers and directors. Prior to the Business Combination, TriSalus granted equity incentive awards under the 2009 Amended and Restated Equity Incentive Plan (the “2009 Plan”). The 2009 Plan has not be used following the Business Combination. However, any awards granted under the 2009 Plan remain subject to the terms of the 2009 Plan and the applicable award agreement. Historically, we have used options as an incentive for long-term compensation to our executive officers because options allow our executive officers to realize value from this form of equity compensation only if the value of the underlying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increase relative to the option’s exercise price, which exercise price is set at the fair market value of the underlying equity securities on the grant date.</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2009 Plan and the 2023 Plan are administered by our chief executive officer and chief financial officer, who act on the recommendation of managers of the Company to select the individuals to whom the awards will be granted and to determine the amount and vesting period for the grants. All grants are subject to approval by the board of directors.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the balances under the two plans are below.</w:t>
      </w:r>
    </w:p>
    <w:tbl>
      <w:tblPr>
        <w:tblW w:w="6127" w:type="dxa"/>
        <w:jc w:val="left"/>
        <w:tblInd w:w="0" w:type="dxa"/>
        <w:tblLayout w:type="fixed"/>
        <w:tblCellMar>
          <w:top w:w="28" w:type="dxa"/>
          <w:left w:w="28" w:type="dxa"/>
          <w:bottom w:w="28" w:type="dxa"/>
          <w:right w:w="28" w:type="dxa"/>
        </w:tblCellMar>
      </w:tblPr>
      <w:tblGrid>
        <w:gridCol w:w="342"/>
        <w:gridCol w:w="300"/>
        <w:gridCol w:w="302"/>
        <w:gridCol w:w="540"/>
        <w:gridCol w:w="541"/>
        <w:gridCol w:w="351"/>
        <w:gridCol w:w="109"/>
        <w:gridCol w:w="109"/>
        <w:gridCol w:w="109"/>
        <w:gridCol w:w="488"/>
        <w:gridCol w:w="488"/>
        <w:gridCol w:w="381"/>
        <w:gridCol w:w="109"/>
        <w:gridCol w:w="109"/>
        <w:gridCol w:w="109"/>
        <w:gridCol w:w="508"/>
        <w:gridCol w:w="508"/>
        <w:gridCol w:w="72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3"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Authorized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 for Issue</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2009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1,206,450 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1,206,450 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10,077,467 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4,899,392 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5,178,075 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11,283,917 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6,105,842 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5,178,075 </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2009 Equity Incentive Plan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there were in total 1,172,771 stock options and 33,679 RSUs issued and outstanding under the 2009 Plan. Stock options were granted with an exercise price equal to the estimated fair value of the stock at the date of grant. Prior to the Business Combination, the fair value was determined by a third-party valuation performed in accordance with IRS Section 409A. No awards have been granted subsequent to the Business Combination, as the 2009 Plan was frozen and replaced by the 2023 Plan (see below). Options generally have a ten-year contractual term and typically have graded vesting over one to four years.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we had unrecognized compensation expense of $0.4 million and $0.2 million, respectively, for options and RSUs granted under the 2009 Plan. The June 30, 2025 balance will be recognized over a weighted average period of 0.9 years.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2023 Equity Incentive Plan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there were in total 4,261,268 stock options and 638,124 RSUs and PSUs issued and outstanding under the 2023 Plan. Under the 2023 Plan, the Company’s Board may grant equity-based incentive awards to employees, consultants and other service providers of the Company and its affiliates within the meaning of Section 422 of the Internal Revenue Code of 1986, as amended. Initially, 5,585,008 shares were authorized under the 2023 Plan. In addition, the share reserve will automatically increase on January 1 of each year for a period of 10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On January 1, 2025, the authorized shares under the 2023 Plan increased by 2,383,545 shares to 10,350,022. Options for 45,167 shares of Common Stock were exercised during the six months ended June 30, 2025. During the six months ended June 30, 2025, we granted 1,282,314 options with a weighted average fair value of $5.30, and 487,546 restricted stock units, net of forfeitures, with a weighted average fair value of $5.32. </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we had unrecognized compensation expense of $10.7 million and $3.6 million, respectively, for options and RSUs &amp; PSUs granted under the 2023 Plan. The balance at June 30, 2025, will be recognized over a weighted average period of 2.7 years.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or a duly authorized committee thereof, administers the 2023 Plan. 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options are granted with an exercise price no less than 100% of the estimated fair value of a share of Common Stock at the date of grant.</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 Employee Stock Purchase Plan ("ESPP"), which provides our eligible employees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Initially, 2,350,530 shares of Common Stock were reserved for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2025, the authorized shares under ESPP increased by 953,418 shares to 3,303,948</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49,939 shares were purchased in an offering under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condensed consolidated financial position, results of operations, or cash flows.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Business Combination, we entered into the Amended and Restated Registration Rights Agreement with certain investors in MedTech and Legacy TriSalus. Subject to certain requirements and customary conditions, we granted piggyback registration rights and demand registration rights to the parties thereto, agreed to pay certain expenses related to such registrations and agreed to indemnify the parties thereto against certain liabilities related to such registrations. Our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 </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(18)</w:t>
      </w:r>
      <w:r>
        <w:rPr>
          <w:color w:val="000000"/>
        </w:rPr>
        <w:t xml:space="preserve"> </w:t>
      </w:r>
      <w:r>
        <w:rPr>
          <w:rFonts w:ascii="Times New Roman;serif" w:hAnsi="Times New Roman;serif"/>
          <w:b/>
          <w:color w:val="000000"/>
          <w:sz w:val="20"/>
        </w:rPr>
        <w:t>Leases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two property leases in effect as of June 30, 2025, which we account for as operating leases:</w:t>
      </w:r>
    </w:p>
    <w:p>
      <w:pPr>
        <w:pStyle w:val="TextBody"/>
        <w:bidi w:val="0"/>
        <w:spacing w:lineRule="auto" w:line="288" w:before="180" w:after="283"/>
        <w:ind w:left="0" w:right="0" w:hanging="180"/>
        <w:jc w:val="left"/>
        <w:rPr/>
      </w:pPr>
      <w:r>
        <w:rPr>
          <w:color w:val="000000"/>
        </w:rPr>
        <w:t>•</w:t>
      </w:r>
      <w:r>
        <w:rPr>
          <w:rFonts w:ascii="Times New Roman;serif" w:hAnsi="Times New Roman;serif"/>
          <w:b w:val="false"/>
          <w:color w:val="000000"/>
          <w:sz w:val="20"/>
        </w:rPr>
        <w:t>A lease for our principal administrative and production facility at 6272 West 91st Avenue, Westminster, Colorado, which expires on December 31, 2031. This lease includes one option to extend the lease by five years from the end of the then current term.</w:t>
      </w:r>
    </w:p>
    <w:p>
      <w:pPr>
        <w:pStyle w:val="TextBody"/>
        <w:bidi w:val="0"/>
        <w:spacing w:lineRule="auto" w:line="288" w:before="180" w:after="283"/>
        <w:ind w:left="0" w:right="0" w:hanging="180"/>
        <w:jc w:val="left"/>
        <w:rPr/>
      </w:pPr>
      <w:r>
        <w:rPr>
          <w:color w:val="000000"/>
        </w:rPr>
        <w:t>•</w:t>
      </w:r>
      <w:r>
        <w:rPr>
          <w:rFonts w:ascii="Times New Roman;serif" w:hAnsi="Times New Roman;serif"/>
          <w:b w:val="false"/>
          <w:color w:val="000000"/>
          <w:sz w:val="20"/>
        </w:rPr>
        <w:t>A lease for office space at 2275 Half Day Road, Bannockburn, Illinois, which expires in January 2028. This lease includes an option to extend the lease by three years at the end of the current term.</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have two finance leases for copier equipment in our Westminster and Bannockburn facilities.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2024, we exercised one of the two options to extend the current lease for the Westminster facility for an additional period of five years commencing on January 1, 2027, and ending on December 31, 2031 ("Second Extended Lease Term"). All terms and conditions of the lease shall continue to apply during the Second Extended Lease Term. We will pay approximately $1.5 million in rent over the duration of the Second Extended Lease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interim condensed consolidated financial statements and the related notes thereto included elsewhere in this Quarterly Report on Form 10-Q ("Quarterly Report") and for our audited financial statements and related notes thereto as of and for the year ended December 31, 2024 included in our Annual Report on Form 10-K, filed with the Securities and Exchange Commission (“SEC”), on April 15, 2025 ("Annual Report"). Information included in this Form 10-Q, including information with respect to our plans and strategy for our business, includes forward-looking statements that involve risks and uncertainties. For a complete discussion of forward-looking statements, see the section above entitled “Special Note Regarding Forward Looking Statements.” As a result of many factors, including those factors set forth in the section captioned “Item 1A. Risk Factors” of our Annual Report, our actual results could differ materially from the results described in or implied by the forward-looking statements contained in the following discussion and analysis. You should carefully read the “Risk Factors” section of our Annual Report to gain an understanding of the various factors that could cause actual results to differ materially from our forward-looking statements.</w:t>
      </w:r>
    </w:p>
    <w:p>
      <w:pPr>
        <w:pStyle w:val="TextBody"/>
        <w:bidi w:val="0"/>
        <w:spacing w:lineRule="auto" w:line="288" w:before="20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after the consummation of the Business Combination, unless the context otherwise requires.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immune cells in the tumor and tumor microenvironment of the liver, pancreas and other solid tumors. By systematically addressing these barriers, we aim to improve response to therapies and to enable improved patient outcomes. </w:t>
      </w:r>
    </w:p>
    <w:p>
      <w:pPr>
        <w:pStyle w:val="TextBody"/>
        <w:bidi w:val="0"/>
        <w:spacing w:lineRule="auto" w:line="288" w:before="160" w:after="283"/>
        <w:ind w:left="0" w:right="0" w:firstLine="360"/>
        <w:jc w:val="left"/>
        <w:rPr/>
      </w:pPr>
      <w:r>
        <w:rPr>
          <w:rFonts w:ascii="Times New Roman;serif" w:hAnsi="Times New Roman;serif"/>
          <w:b w:val="false"/>
          <w:color w:val="000000"/>
          <w:sz w:val="20"/>
        </w:rPr>
        <w:t>We market our cutting-edge Pressure Enabled Drug Delivery (PEDD™) infusion systems, which optimize delivery of embolics and therapeutics for the treatment of various solid tumors. Additionally, we have conducted Phase I clinical trials of nelitolimod to study the ability of an immunotherapeutic--when administered via PEDD in combination with systemic treatment--can enhance the effectiveness of other therapeutics and ultimately lead to better patient responses. Once final data is assembled, we plan to pursue a pharmaceutical partner for future development. We believe the combination of our PEDD technology with nelitolimod has the potential to solve two main barriers in the tumor microenvironment that inhibits the success of immunotherapy. The first barrier (mechanical)</w:t>
      </w:r>
      <w:r>
        <w:rPr>
          <w:color w:val="000000"/>
        </w:rPr>
        <w:t xml:space="preserve"> </w:t>
      </w:r>
      <w:r>
        <w:rPr>
          <w:rFonts w:ascii="Times New Roman;serif" w:hAnsi="Times New Roman;serif"/>
          <w:b w:val="false"/>
          <w:color w:val="000000"/>
          <w:sz w:val="20"/>
        </w:rPr>
        <w:t>is comprised of high intratumoral pressure within tumors that limits drug uptake and the second barrier (biological) is the reversal of intratumoral immunosuppression.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launched TriNav™, our therapeutic and embolic delivery device with SmartValve technology for our proprietary PEDD approach. Current sales consist of the TriNav Infusion System, introduced in 2020.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code became effective on January 1, 2024, and may be reported by hospital outpatient departments (HOPDs) and ambulatory surgical centers (ASCs) for the Company to obtain reimbursement for TriNav device. Effective April 1, 2025, TriNav received a second unique and permanent HCPCS code from CMS. This new code provides reimbursement clarity for mapping procedures conducted prior to transarterial radioembolization ("TARE").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expanded our portfolio of PEDD devices with the launch of the TriNav LV Infusion System and TriGuide Guiding Catheter to optimize therapeutic delivery for patients with larger vessels. The TriNav LV is targeted for patients with vessels sized between 3.5 and 5.0mm and is expected to provide a full range of PEDD devices for all vessel sizes and allow us to expand our addressable liver embolization market. The TriGuide Guiding Catheter has a larger inner diameter, lubricious inner lining, and reverse curve design to support femoral access for the TriNav LV, which we believe will enhance procedural efficiency. In June 2025, we launched an additional PEDD device, TriNav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FLX, designed with a more flexible distal tip to facilitate navigation through tortuous anatomy. These new products are eligible for the same HCPCS reimbursement codes as existing TriNav products, enabling seamless integration into current billing structures. In the second quarter of this year,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initiated a registry study called PROTECT (Pressure Enabled Retrograde Occlusive Therapy with Embolization for Control of Thyroid Disease) and intends to enroll 100 patients across ten leading academic sites. It is estimated that approximately 5% of adults have multinodular goiters, and the prevalence in adults over 50 is estimated to be up to 50%. We estimate that this could expand the addressable market by approximately 50,000 procedures, representing an incremental $400.0 million market opportunity. This new procedure utilizing the TriNav system is also eligible for the same Healthcare Common Procedure Coding System (HCPCS) reimbursement code allowing for seamless integration into current billing approaches.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high growth, high margin company approaching a level of revenues that can generate sufficient cash flow to sustain our operations. Beginning in 2020, our mission was to improve the delivery of therapeutics to solid tumors across a range of different diseases and tumor types. Additionally, we acquired an immune-oncology drug, nelitolimod, in July 2020, and conducted several Phase I clinical trials to study the ability and value of our PEDD technology. We have completed Phase I dose escalation (UMLM and LA-PDAC) and Phase Ib (ICC/HCC) clinical trials for nelitolimod. Due to physician and investigator interest, we are supporting two IIT studies, one in patients with advanced HCC in combination with durvalumab and tremelimumab and another in patients with resectable colorectal liver metastases. Based on the changing landscape for second line treatment of uveal melanoma, we do not intend to proceed to Phase II trials for that indication on our own, but we are looking for potential partners to advance that indication. Our PERIO-03 Phase I dose escalation in LA-PDAC has completed enrollment and we anticipate data from the study will be available sometime in 2025, and will begin discussions for a pharmaceutical partner for further clinical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160" w:after="283"/>
        <w:ind w:left="0" w:right="0" w:firstLine="360"/>
        <w:jc w:val="left"/>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the Annual Report titled “</w:t>
      </w:r>
      <w:r>
        <w:rPr>
          <w:rFonts w:ascii="Times New Roman;serif" w:hAnsi="Times New Roman;serif"/>
          <w:b w:val="false"/>
          <w:i/>
          <w:color w:val="000000"/>
          <w:sz w:val="20"/>
        </w:rPr>
        <w:t>Risk Factors</w:t>
      </w:r>
      <w:r>
        <w:rPr>
          <w:rFonts w:ascii="Times New Roman;serif" w:hAnsi="Times New Roman;serif"/>
          <w:b w:val="false"/>
          <w:color w:val="000000"/>
          <w:sz w:val="20"/>
        </w:rPr>
        <w:t>.” In particular, our performance is affected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continued acceptance and growth of TriNav in the marketplace</w:t>
      </w:r>
      <w:r>
        <w:rPr>
          <w:rFonts w:ascii="Times New Roman;serif" w:hAnsi="Times New Roman;serif"/>
          <w:b w:val="false"/>
          <w:color w:val="000000"/>
          <w:sz w:val="20"/>
        </w:rPr>
        <w:t>. While we believe TriNav to be a superior technology for the delivery of therapies to tumors, particularly high-density tumors, there are other technologies with which we compete. Our ability to increase TriNav sales depends on the skills of our sales force and the willingness of the marketplace to use TriNav.</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Our ability to maintain our current TriNav pricing and gross margins to help fund the rest of our activities. </w:t>
      </w:r>
      <w:r>
        <w:rPr>
          <w:rFonts w:ascii="Times New Roman;serif" w:hAnsi="Times New Roman;serif"/>
          <w:b w:val="false"/>
          <w:color w:val="000000"/>
          <w:sz w:val="20"/>
        </w:rPr>
        <w:t>Our current pricing allows us to generate a substantial gross margin, which provides funds to support our growth and our research and development (“R&amp;D”) for both TriNav and nelitolimod. TriNav sells at a significant premium to competitive products. Our higher price was previously supported by the TPT payment program from CMS; however, the TPT authorization expired on December 31, 2023. In December 2023, CMS granted a New Technology HCPCS for both mapping and therapeutic procedures involving TriNav. This code, HCPCS C9797, has been assigned to the Ambulatory Payment Classification (APC) 5194 - Level 4 Endovascular Procedures. The code became effective on January 1, 2024, and may be reported by hospital outpatient departments and ambulatory surgical centers, but there can be no assurance that continuing reimbursement will be available at similar reimbursement rates or at all. Effective April 1, 2025, TriNav received a second unique and permanent HCPCS code from CMS, C8004, which has been assigned to APC 5193 (Level 3 Endovascular Procedures). This new code provides reimbursement clarity for mapping procedures conducted prior to TARE.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success and cost of our clinical trials of nelitolimod</w:t>
      </w:r>
      <w:r>
        <w:rPr>
          <w:rFonts w:ascii="Times New Roman;serif" w:hAnsi="Times New Roman;serif"/>
          <w:b w:val="false"/>
          <w:color w:val="000000"/>
          <w:sz w:val="20"/>
        </w:rPr>
        <w:t>. Nelitolimod is in Phase I human trials to determine if, when delivered via TriNav, it is safe and effective in treating certain cancers. As with all drug candidates, the cost of operating clinical trials can be substantial, with no guarantee that the trials will result in favorable data.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Obtaining FDA approval of nelitolimod for sale</w:t>
      </w:r>
      <w:r>
        <w:rPr>
          <w:rFonts w:ascii="Times New Roman;serif" w:hAnsi="Times New Roman;serif"/>
          <w:b w:val="false"/>
          <w:color w:val="000000"/>
          <w:sz w:val="20"/>
        </w:rPr>
        <w:t>. Our clinical trials are still in early stages, and there is no certainty that we will generate favorable data or that, upon review, the FDA will approve nelitolimod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April 2025 Securities Purchase Agreement</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April 2025, we entered into a securities purchase agreement (the “Purchase Agreement”) with certain institutional and accredited investors named therein (the “Purchasers”) pursuant to which the Company agreed to issue and sell to the Purchasers in a private placement (the “Private Placement”) an aggregate of 5,500,000 shares (the “Shares”) of the Company’s common stock, par value $0.0001 per share (the “Common Stock”), at a purchase price of $4.00 per share.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Purchase Agreement contains customary representations, warranties and agreements by the Company and the Purchasers, indemnification rights and other obligations of the parties. In connection with the Private Placement, the Company and the Purchasers entered into a registration rights agreement (the “Registration Rights Agreement”) at the closing, pursuant to which the Company granted certain registration rights to the Purchasers with respect to their Shares (as further described below). In addition, the Company committed to use commercially reasonable efforts to satisfy all of its obligations set forth in the Support Agreements (as defined below). The Company and its directors and officers have agreed, for a period of 60 days after the date of the Purchase Agreement, to customary lock-up and clear market provisions, as applicable, subject to certain exceptions.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Private Placement closed on May 2, 2025. The Company received aggregate gross proceeds from the Private Placement of approximately $22.0 million, before deducting estimated offering fees and expenses payable by the Company.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23, 2025, we commenced an offer (the “Offer”) to all holders of preferred stock shares to receive 3.3 shares of common stock of the Company in exchange for each preferred stock share tendered by the holder and exchanged pursuant to the Offer. The Offer expired at one minute after 11:59 p.m., Eastern Daylight Time, on July 23, 2025. We were advised that approximately 98.8% of the outstanding shares of preferred stock shares were validly tendered and not withdrawn prior to the Expiration Date, and were accepted for exchange. Including the remaining preferred stock shares not tendered through the Offer, all preferred stock shares were converted on July 31, 2025, resulting in the issuance of 11,813,059 common stock shares.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One Big Beautiful Bill Act</w:t>
      </w:r>
    </w:p>
    <w:p>
      <w:pPr>
        <w:pStyle w:val="TextBody"/>
        <w:bidi w:val="0"/>
        <w:spacing w:lineRule="auto" w:line="288" w:before="18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04, 2025, the “One Big Beautiful Bill Act” (the “Act”) was enacted into law. The Act has multiple effective dates, with certain provisions effective in 2025 and others implemented through 2027. These changes include the allowance of immediate expensing of qualifying research and development expenses and permanent extension of certain provisions within the Tax Cuts and Jobs Act. We are in the process of evaluating the impact of the Act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sets forth certain components of our Condensed Consolidated Statements of Operations as well as factors that impact those items.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operate in one reportable segment and revenue is generated primarily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end-user customers for our products are hospitals, clinics, and physicians, to which we sell directly.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We recognized $0.2 million and $0.4 million, respectively, of rebates for three and six months ended June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goods sold primarily consists of raw materials, direct labor, manufacturing overhead and depreciation costs related to production of TriNav.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and manufacturing costs and efficiencies.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R&amp;D, sales and marketing and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R&amp;D expenses include engineering, regulatory, pre-clinical and clinical activities, including salaries, travel, materials purchased for R&amp;D activities and patent expense.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includes executive management, finance, information technology, human resources, business development, legal, one-time costs associated with the Business Combination,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 We also record public company costs in general and administrative, including board expenses, insurance, audit fees, NASDAQ fees, and costs associated with public company financial reporting.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 in Fair Value of SEPA, Warrant, and Revenue Base Redemption Liabilities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 represents the change in fair value at each reporting period of the SEPA, the change in fair value of the SPAC Warrants we assumed in the Business Combination, and the change in fair value of the OrbiMed Warrants issued in connection with the initial and subsequent draw down under the OrbiMed Credit Agreement.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 in Fair Value of Contingent Earnout Liability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contingent earnout liability represents the change recorded as a result of remeasurement of the fair value.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for each of the periods indicated (in thousands):</w:t>
      </w:r>
    </w:p>
    <w:tbl>
      <w:tblPr>
        <w:tblW w:w="10205" w:type="dxa"/>
        <w:jc w:val="left"/>
        <w:tblInd w:w="0" w:type="dxa"/>
        <w:tblLayout w:type="fixed"/>
        <w:tblCellMar>
          <w:top w:w="28" w:type="dxa"/>
          <w:left w:w="28" w:type="dxa"/>
          <w:bottom w:w="28" w:type="dxa"/>
          <w:right w:w="28" w:type="dxa"/>
        </w:tblCellMar>
      </w:tblPr>
      <w:tblGrid>
        <w:gridCol w:w="1903"/>
        <w:gridCol w:w="1574"/>
        <w:gridCol w:w="1575"/>
        <w:gridCol w:w="226"/>
        <w:gridCol w:w="775"/>
        <w:gridCol w:w="116"/>
        <w:gridCol w:w="226"/>
        <w:gridCol w:w="726"/>
        <w:gridCol w:w="116"/>
        <w:gridCol w:w="109"/>
        <w:gridCol w:w="109"/>
        <w:gridCol w:w="109"/>
        <w:gridCol w:w="109"/>
        <w:gridCol w:w="109"/>
        <w:gridCol w:w="109"/>
        <w:gridCol w:w="308"/>
        <w:gridCol w:w="308"/>
        <w:gridCol w:w="301"/>
        <w:gridCol w:w="121"/>
        <w:gridCol w:w="121"/>
        <w:gridCol w:w="121"/>
        <w:gridCol w:w="336"/>
        <w:gridCol w:w="337"/>
        <w:gridCol w:w="361"/>
      </w:tblGrid>
      <w:tr>
        <w:trPr/>
        <w:tc>
          <w:tcPr>
            <w:tcW w:w="190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of Revenue</w:t>
            </w:r>
          </w:p>
        </w:tc>
      </w:tr>
      <w:tr>
        <w:trPr/>
        <w:tc>
          <w:tcPr>
            <w:tcW w:w="5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common stockholders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05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00"/>
        <w:gridCol w:w="1571"/>
        <w:gridCol w:w="1572"/>
        <w:gridCol w:w="211"/>
        <w:gridCol w:w="779"/>
        <w:gridCol w:w="109"/>
        <w:gridCol w:w="211"/>
        <w:gridCol w:w="779"/>
        <w:gridCol w:w="109"/>
        <w:gridCol w:w="109"/>
        <w:gridCol w:w="109"/>
        <w:gridCol w:w="109"/>
        <w:gridCol w:w="109"/>
        <w:gridCol w:w="109"/>
        <w:gridCol w:w="109"/>
        <w:gridCol w:w="308"/>
        <w:gridCol w:w="308"/>
        <w:gridCol w:w="301"/>
        <w:gridCol w:w="121"/>
        <w:gridCol w:w="121"/>
        <w:gridCol w:w="121"/>
        <w:gridCol w:w="336"/>
        <w:gridCol w:w="337"/>
        <w:gridCol w:w="357"/>
      </w:tblGrid>
      <w:tr>
        <w:trPr/>
        <w:tc>
          <w:tcPr>
            <w:tcW w:w="190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of Revenue</w:t>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by $3.8 million, or 52.3% for the three months ended June 30, 2025, as compared to the three months ended June 30, 2024. The increase in revenue was due to a 52.5% increase based on the units of TriNav sold and the introduction of a price increase.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goods sold increased by $0.9 million, or 97.6% for the three months ended June 30, 2025, as compared to the three months ended June 30, 2024. The increase in cost of goods sold was primarily due to higher production volumes to support our increased revenue.</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increased by $3.0 million, or 45.9% for the three months ended June 30, 2025, and gross margin decreased to 83.9% from 87.6% for the three months ended June 30, 2025, as compared to the three months ended June 30, 2024. The increase in gross profit was due primarily to the increase in sales volume. The year-over-year decline in gross margin was primarily driven by lower manufacturing efficiency associated with newly launched products, a dynamic we expect to improve as production scales and processes mature over the course of the year.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decreased by $0.7 million, or 15.9% for the three months ended June 30, 2025, as compared to the three months ended June 30, 2024. The decrease was primarily driven by a $0.7 million reduction of clinical trial expenses related to nelitolimod. </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$1.2 million, or 19.3% for the three months ended June 30, 2025, as compared to the three months ended June 30, 2024. The changes was due primarily to a $0.8 million increase in the sales and marketing department headcount and a $0.2 million increase in utilizing consultants during the three months ended June 30, 2025 compared to the same period in the prior year. </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$1.7 million, or 43.0%, for the three months ended June 30, 2025, as compared to the three months ended June 30, 2024. The increase was primarily due to professional services as a result of the timing of various filing and audit related expenses. </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$0.5 million for the three months ended June 30, 2025, as compared to the three months ended June 30, 2024. The increase was due to our usage of the OrbiMed Credit Agreement throughout the three months ended June 30, 2025 compared to the prior year period as we entered into the OrbiMed Credit Agreement on April 30, 2024.</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 in Fair Value of the SEPA, Warrant, and Revenue Base Redemption Liabilities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SEPA, warrant, and revenue base redemption liabilities resulted in a change of $8.7 million as a result of a loss of $0.3 million in the three months ended June 30, 2025, compared to a loss of $9.0 million in the three months ended June 30, 2024. The change was primarily due to the increase of the warrant price on the open market and the additions of the Subsequent OrbiMed Warrant as a result of the First Delayed Draw.</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earnout liability resulted in a change of $13.0 million as a result of a gain of $0.7 million in the three months ended June 30, 2025, compared to a gain of $13.7 million for the three months ended June 30, 2024. This is mainly due to the change in the market price of the underlying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Six Months Ended June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by $6.6 million, or 47.5% for the six months ended June 30, 2025, as compared to the six months ended June 30, 2024. The increase in revenue was due to a 48.4% increase based on the units of TriNav sold and the introduction of a price increase effective March 1, 2025.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goods sold increased by $1.4 million, or 75.1% for the six months ended June 30, 2025, as compared to the six months ended June 30, 2024. The increase in cost of goods sold was primarily due to higher production volumes to support our increased revenue.</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increased by $5.1 million, or 43.1% for the six months ended June 30, 2025, and gross margin decreased to 83.8% from 86.4% for the six months ended June 30, 2025, as compared to the six months ended June 30, 2024. The increase in gross profit was due primarily to the increase in sales volume. The year-over-year decline in gross margin was primarily driven by lower manufacturing efficiency associated with lower production volumes for a planned shut down during the current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decreased by $3.3 million, or 31.3% for the six months ended June 30, 2025, as compared to the six months ended June 30, 2024. The decrease was primarily driven by a $2.1 million reduction of clinical trial expenses related to nelitolimod and a decrease in headcount-related expenses of $0.9 million. </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$1.2 million, or 9.5% for the six months ended June 30, 2025, as compared to the six months ended June 30, 2024. The change was due primarily to a $1.2 million increase in the sales and marketing department headcount during the three months ended June 30, 2025 compared to the same period in the prior year. </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$2.0 million, or 23.8%, for the six months ended June 30, 2025, as compared to the six months ended June 30, 2024. The increase was primarily due to professional services as a result of the timing of various filing and audit related expenses. </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$1.8 million for the six months ended June 30, 2025, as compared to the six months ended June 30, 2024. The increase was due to our usage of the OrbiMed Credit Agreement throughout the six months ended June 30, 2025 compared to the prior year period as we entered into the OrbiMed Credit Agreement on April 30, 2024.</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 in Fair Value of the SEPA, Warrant, and Revenue Base Redemption Liabilities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SEPA, warrant, and revenue base redemption liabilities resulted in a change of $5.3 million as a result of a loss of $1.2 million in the six months ended June 30, 2025, compared to a loss of $6.5 million in the six months ended June 30, 2024. The change was primarily due to the increase of the warrant price on the open market and the additions of the Subsequent OrbiMed Warrant as a result of the First Delayed Draw.</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earnout liability resulted in a change of $(9.8) million as a result of a loss of $0.1 million in the six months ended June 30, 2025, compared to a gain of $9.7 million for the six months ended June 30, 2024. This is primarily due to the change in the market price of the underlying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$18.7 million for the six months ended June 30, 2025. We had cash and cash equivalents of approximately $26.5 million at June 30, 2025. Since inception, we have financed operations primarily through the issuance and sales of common and preferred stock, convertible notes, and term loans. We are still in our early stages of development and have yet to generate revenues sufficient to fund cash flows from operations. Our ability to fund future operations and execute our long-term business plan and strategy will require that we raise additional capital. There can be no assurance that we will be able to raise such additional capital on satisfactory terms, if at all. If additional capital is not secured when required, we may need to delay or curtail our operations until such funding is received. </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achieved the trailing 12-month Product Revenue Base of $30.0 million in January 2025 and were able to borrow the First Delayed Draw Term Loan Commitment resulting in gross proceeds of $10.0 million. As of June 30, 2025, the minimum cash requirement increased from $5.0 million to $10.0 million. On April 30, 2025, we raised gross proceeds of approximately $22.0 million through a Private Placement. Although these events have occurred, our existing cash and cash equivalents may not be sufficient to fund our projected liquidity requirements for at least the next 12 months from the date of this Quarterly Report, as the adequacy of available funds will depend on many factors, including those described in the section titled “Risk Factors” in our Annual Report on Form 10-K for the year ended December 31, 2024. See also “Funding Requirements” below.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the Six Months Ended June 30, 2025, and June 30, 2024</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cash from operating, investing, and financing activities (in thousands):</w:t>
      </w:r>
    </w:p>
    <w:tbl>
      <w:tblPr>
        <w:tblW w:w="6984" w:type="dxa"/>
        <w:jc w:val="left"/>
        <w:tblInd w:w="0" w:type="dxa"/>
        <w:tblLayout w:type="fixed"/>
        <w:tblCellMar>
          <w:top w:w="28" w:type="dxa"/>
          <w:left w:w="28" w:type="dxa"/>
          <w:bottom w:w="28" w:type="dxa"/>
          <w:right w:w="28" w:type="dxa"/>
        </w:tblCellMar>
      </w:tblPr>
      <w:tblGrid>
        <w:gridCol w:w="1584"/>
        <w:gridCol w:w="1396"/>
        <w:gridCol w:w="1400"/>
        <w:gridCol w:w="211"/>
        <w:gridCol w:w="796"/>
        <w:gridCol w:w="109"/>
        <w:gridCol w:w="109"/>
        <w:gridCol w:w="109"/>
        <w:gridCol w:w="109"/>
        <w:gridCol w:w="211"/>
        <w:gridCol w:w="79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Used in Operating Activities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used in operating activities was $11.8 million. The net cash used in operating activities consisted of net loss of $18.7 million, adjusted for non-cash charges totaling $6.6 million, primarily related to a loss on share-based compensation of $3.5 million, warrant and SEPA liabilities of $1.3 million, and debt expenses of $1.1 million related to paid-in-kind interest and amortization of debt issuance costs. The change in net operating assets and liabilities decreased $0.2 million, due primarily to a decrease in prepaid expenses offset by an increase in accounts receivable.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2024, net cash used in operating activities was $24.3 million. The net cash used in operating activities consisted of net loss of $17.5 million, adjusted for non-cash charges totaling $0.2 million, primarily related to a loss on the adjustment of the fair value of the warrants to purchase preferred stock of $6.9 million, depreciation and amortization of $0.4 million and stock-based compensation expense of $2.4 million, partially offset a gain from the change in fair value of contingent earnout liability of $9.7 million. In addition, net operating assets and liabilities decreased $6.9 million driven by an increase in accounts payable and accrued liabilities, an increase in prepaid expenses, and an increase in accounts receivable.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$0.6 million for the six months ended June 30, 2025, was primarily due to purchases of property and equipment of $0.7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$30.4 million for the six months ended June 30, 2025, consisted of primarily of $20.5 million, net of expenses, from the April 30, 2025 Private Placement and $9.5 million, net of expenses, from the First Delayed draw under the OrbiMed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$29.1 million for the six months ended June 30, 2024, consisted $6.7 million from the sale of 750,000 shares of common stock under the SEPA and $22.4 million, net of expenses, from the initial draw down under the OrbiMed Credit Agreement.</w:t>
      </w:r>
    </w:p>
    <w:p>
      <w:pPr>
        <w:pStyle w:val="TextBody"/>
        <w:bidi w:val="0"/>
        <w:spacing w:lineRule="auto" w:line="288" w:before="160" w:after="283"/>
        <w:jc w:val="left"/>
        <w:rPr/>
      </w:pPr>
      <w:r>
        <w:rPr>
          <w:rFonts w:ascii="Times New Roman;serif" w:hAnsi="Times New Roman;serif"/>
          <w:b/>
          <w:i/>
          <w:color w:val="000000"/>
          <w:sz w:val="20"/>
        </w:rPr>
        <w:t xml:space="preserve">Funding </w:t>
      </w:r>
      <w:r>
        <w:rPr>
          <w:rFonts w:ascii="Times New Roman;serif" w:hAnsi="Times New Roman;serif"/>
          <w:b/>
          <w:color w:val="000000"/>
          <w:sz w:val="20"/>
        </w:rPr>
        <w:t>Requirements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cash is to fund our operating expenses, which consist of sales and marketing expenses related to the growth of our sole commercial product TriNav, research, development and clinical expenses related primarily to TriNav and, to a lesser extent, nelitolimod, as well as general and administrative expenses. If we obtain approval for our product candidates, we expect to incur commercialization expenses, which may be significant, related to establishing or expanding sales, marketing, manufacturing capabilities, distribution and other commercial infrastructure to commercialize such products. Accordingly, we will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 in Ukraine and conflicts in the Middle East.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expect to continue to incur significant expenses in connection with our ongoing activities related to TriNav, including sales and marketing expenses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our ability to draw the remaining $15.0 million available under the OrbiMed Credit Agreement if and when needed;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 number of affirmative and restrictive covenants pursuant to the OrbiMed Credit Agreement, which limit or restrict our ability to take specific actions, such as incurring additional debt, making capital expenditures or declaring dividends.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capital in order to continue to fund our operations through one or a combination of securities offerings, debt financings, collaborations, strategic alliances and/or licensing arrangements which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available on a timely basis, on favorable terms, or at all, and such capital, if obtained, may not be sufficient to enable us to continue to implement our long-term business strategy. See factors further described in the sections titled "Risk Factors" in this Quarterly Report. </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Our continuation as a going concern is dependent on our ability to generate sufficient cash flows from operations and/or obtain additional capital through one or a combination of securities offerings, debt financings,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w:t>
      </w:r>
      <w:r>
        <w:rPr>
          <w:rFonts w:ascii="Times New Roman;serif" w:hAnsi="Times New Roman;serif"/>
          <w:b w:val="false"/>
          <w:i/>
          <w:color w:val="000000"/>
          <w:sz w:val="20"/>
        </w:rPr>
        <w:t>(1) Nature of Business</w:t>
      </w:r>
      <w:r>
        <w:rPr>
          <w:color w:val="000000"/>
        </w:rPr>
        <w:t xml:space="preserve"> </w:t>
      </w:r>
      <w:r>
        <w:rPr>
          <w:rFonts w:ascii="Times New Roman;serif" w:hAnsi="Times New Roman;serif"/>
          <w:b w:val="false"/>
          <w:color w:val="000000"/>
          <w:sz w:val="20"/>
        </w:rPr>
        <w:t>to our unaudited condensed consolidated financial statements accompanying this Quarterly Report, there is substantial doubt regarding our ability to continue as a going concern as of June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contractual obligations as of June 30, 2025, include lease obligations of $2.1 million, reflecting the minimum commitments for our principal administrative and production facility and other office spaces.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Asset Purchase Agreement, dated July 31, 2020, between TriSalus and Dynavax, we have paid Dynavax $12.0 million as of June 30, 2025, and may be required to pay Dynavax up to an additional $158 million upon the achievement of certain development and regulatory milestones with respect to nelitolimod. Subject to obtaining marketing approval for nelitolimod, we will also be required to pay up to $80 million upon achieving certain commercial milestones.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Our significant accounting policies are summarized in Note </w:t>
      </w:r>
      <w:r>
        <w:rPr>
          <w:rFonts w:ascii="Times New Roman;serif" w:hAnsi="Times New Roman;serif"/>
          <w:b w:val="false"/>
          <w:i/>
          <w:color w:val="000000"/>
          <w:sz w:val="20"/>
        </w:rPr>
        <w:t>(2) Summary of Significant Accounting Policies</w:t>
      </w:r>
      <w:r>
        <w:rPr>
          <w:color w:val="000000"/>
        </w:rPr>
        <w:t xml:space="preserve"> </w:t>
      </w:r>
      <w:r>
        <w:rPr>
          <w:rFonts w:ascii="Times New Roman;serif" w:hAnsi="Times New Roman;serif"/>
          <w:b w:val="false"/>
          <w:color w:val="000000"/>
          <w:sz w:val="20"/>
        </w:rPr>
        <w:t>in the unaudited condensed consolidated financial statements accompanying this Quarterly Report. There have been no significant changes in our critical accounting policies during the six months ended June 30, 2025, as compared to the critical accounting policies disclosed in Management's Discussion and Analysis of Financial Condition and Results of Operations included in our Annual Report on Form 10-K for the year ended December 31, 2024, filed with the SEC on April 15, 2025.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Additionally, changes in accounting estimates could occur in the future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under Item 10(f)(1) of Regulation S-K of the Securities Act; we are not required to provide the information contemplated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disclosure controls and procedures (as defined in the Securities Exchange Act of 1934, as amended (the "Exchange Act") Rule 13a-15) that are designed to provide reasonable assurance that the information required to be disclosed by us in reports that we file or submit under the Exchange Act, is recorded, processed, summarized and reported within the time periods specified in the rules and forms promulgated by the Securities and Exchange Commission, and that such information is accumulated and communicated to our management, including our Chief Executive Officer and Chief Financial Officer, as appropriate to allow timely decisions regarding required disclosure. Because of the inherent limitations to the effectiveness of any system of disclosure controls and procedures, no evaluation of disclosure controls and procedures can provide absolute assurance that all control issues and instances of fraud, if any, with a company have been prevented or detected on a timely basis. Even disclosure controls and procedures determined to be effective can only provide reasonable assurance that their objectives are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Based upon that evaluation, our Chief Executive Officer and Chief Financial Officer concluded that our disclosure controls and procedures are not effective at the reasonable assurance level.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Material Weaknesses</w:t>
      </w:r>
    </w:p>
    <w:p>
      <w:pPr>
        <w:pStyle w:val="TextBody"/>
        <w:bidi w:val="0"/>
        <w:spacing w:lineRule="auto" w:line="288" w:before="160" w:after="283"/>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pStyle w:val="TextBody"/>
        <w:bidi w:val="0"/>
        <w:spacing w:lineRule="auto" w:line="288" w:before="120" w:after="120"/>
        <w:ind w:left="0" w:right="0" w:firstLine="360"/>
        <w:jc w:val="left"/>
        <w:rPr/>
      </w:pPr>
      <w:r>
        <w:rPr>
          <w:rFonts w:ascii="Times New Roman;serif" w:hAnsi="Times New Roman;serif"/>
          <w:b w:val="false"/>
          <w:color w:val="000000"/>
          <w:sz w:val="20"/>
          <w:shd w:fill="FFFFFF" w:val="clear"/>
        </w:rPr>
        <w:t xml:space="preserve">A material weakness is a deficiency or combination of deficiencies in internal control over financial reporting such that there is a reasonable possibility that a material misstatement of our condensed consolidated financial statements would not be prevented or detected on a timely basis. </w:t>
      </w:r>
      <w:r>
        <w:rPr>
          <w:rFonts w:ascii="Times New Roman;serif" w:hAnsi="Times New Roman;serif"/>
          <w:b w:val="false"/>
          <w:color w:val="231F20"/>
          <w:sz w:val="20"/>
        </w:rPr>
        <w:t xml:space="preserve">In connection with our audited consolidated financial statements for the years ended </w:t>
      </w:r>
      <w:r>
        <w:rPr>
          <w:rFonts w:ascii="Times New Roman;serif" w:hAnsi="Times New Roman;serif"/>
          <w:b w:val="false"/>
          <w:color w:val="000000"/>
          <w:sz w:val="20"/>
        </w:rPr>
        <w:t>December 31, 2023</w:t>
      </w:r>
      <w:r>
        <w:rPr>
          <w:rFonts w:ascii="Times New Roman;serif" w:hAnsi="Times New Roman;serif"/>
          <w:b w:val="false"/>
          <w:color w:val="231F20"/>
          <w:sz w:val="20"/>
        </w:rPr>
        <w:t xml:space="preserve">, and </w:t>
      </w:r>
      <w:r>
        <w:rPr>
          <w:rFonts w:ascii="Times New Roman;serif" w:hAnsi="Times New Roman;serif"/>
          <w:b w:val="false"/>
          <w:color w:val="000000"/>
          <w:sz w:val="20"/>
        </w:rPr>
        <w:t>December 31, 2024</w:t>
      </w:r>
      <w:r>
        <w:rPr>
          <w:rFonts w:ascii="Times New Roman;serif" w:hAnsi="Times New Roman;serif"/>
          <w:b w:val="false"/>
          <w:color w:val="231F20"/>
          <w:sz w:val="20"/>
        </w:rPr>
        <w:t xml:space="preserve">, and our unaudited condensed consolidated financial statements for the </w:t>
      </w:r>
      <w:r>
        <w:rPr>
          <w:rFonts w:ascii="Times New Roman;serif" w:hAnsi="Times New Roman;serif"/>
          <w:b w:val="false"/>
          <w:color w:val="000000"/>
          <w:sz w:val="20"/>
        </w:rPr>
        <w:t>three months ended June 30, 2024</w:t>
      </w:r>
      <w:r>
        <w:rPr>
          <w:rFonts w:ascii="Times New Roman;serif" w:hAnsi="Times New Roman;serif"/>
          <w:b w:val="false"/>
          <w:color w:val="231F20"/>
          <w:sz w:val="20"/>
        </w:rPr>
        <w:t>, management identified material weaknesses in our internal control over financial reporting with respect to:</w:t>
      </w:r>
    </w:p>
    <w:p>
      <w:pPr>
        <w:pStyle w:val="TextBody"/>
        <w:bidi w:val="0"/>
        <w:spacing w:lineRule="auto" w:line="288"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(i)a lack of sufficient number of trained resources with the appropriate skills and knowledge and with assigned responsibilities and accountability for the design and operation of internal controls over:</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1.financial reporting,</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2.patent costs,</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3.certain R&amp;D accruals, </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4.certain general accruals,</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5.accounting for leases under ASC 842,</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6.accounting for revenue, and</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7.accounting for significant transactions, including costs associated with the SEPA, the Exchange Warrants, and accounting for the OrbiMed Credit Agreement, including the Initial OrbiMed Commitment amount and the related derivative financial instruments; </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(ii)inadequate controls over the accounting and financial reporting for the Business Combination;</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(iii)inadequate internal controls over the valuation of the warrant and tranche rights and obligations and liabilities resulting from the series B-2 preferred stock financing, and the revenue base redemption liability associated with the Initial OrbiMed Commitment Amount;</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(iv)inadequate design and implementation of controls over the conversion of data from our legacy stock-based compensation management system to our new system, over the assumptions used to calculate fair value of certain equity awards to support the recognition of stock compensation expense, and over the assumptions used to determine the achievement of the performance obligations of certain equity awards; and</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(v)inadequate security management internal controls over certain IT applications supporting financial reporting, related to segregation of privileged IT user rights and to monitor elevated user activity.</w:t>
      </w:r>
    </w:p>
    <w:p>
      <w:pPr>
        <w:pStyle w:val="TextBody"/>
        <w:bidi w:val="0"/>
        <w:spacing w:lineRule="auto" w:line="288" w:before="160" w:after="283"/>
        <w:ind w:left="0" w:right="0" w:firstLine="360"/>
        <w:jc w:val="left"/>
        <w:rPr/>
      </w:pPr>
      <w:r>
        <w:rPr>
          <w:rFonts w:ascii="Times New Roman;serif" w:hAnsi="Times New Roman;serif"/>
          <w:b w:val="false"/>
          <w:color w:val="231F20"/>
          <w:sz w:val="20"/>
        </w:rPr>
        <w:t xml:space="preserve">Our management developed a remediation plan, and we have continued to take steps to remediate each of the material weaknesses described above. The remediation plan included hiring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w:t>
      </w:r>
      <w:r>
        <w:rPr>
          <w:rFonts w:ascii="Times New Roman;serif" w:hAnsi="Times New Roman;serif"/>
          <w:b w:val="false"/>
          <w:color w:val="000000"/>
          <w:sz w:val="20"/>
        </w:rPr>
        <w:t>June 30, 2025</w:t>
      </w:r>
      <w:r>
        <w:rPr>
          <w:rFonts w:ascii="Times New Roman;serif" w:hAnsi="Times New Roman;serif"/>
          <w:b w:val="false"/>
          <w:color w:val="231F20"/>
          <w:sz w:val="20"/>
        </w:rPr>
        <w:t xml:space="preserve">, we are in the process of hiring additional trained resources with such requisite experience or selected outside expert consultants. We will continue to evaluate the existing finance function experience and expertise to identify additional resource and application needs to aid in the remediation of the material weaknesses.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than the material weaknesses and remediation efforts described above, there have been no changes in our internal control procedures over financial reporting (as defined in Rules 13a-15(f) and 15d-15(f) of the Exchange Act) during the three months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subject to litigation and claims arising in the ordinary course of business. We are not currently a party to any material legal proceedings and we are not aware of any pending or threatened legal proceedings against us that we believe could have a material adverse effect on our business, operating results, cash flows,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The Risk Factors identified in Item 1A. Risk Factors in our Annual Report on Form 10-K for the year ended December 31, 2024 continue to represent the most significant risks to the Company’s future results of operations and financial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5"/>
        <w:gridCol w:w="214"/>
        <w:gridCol w:w="217"/>
        <w:gridCol w:w="109"/>
        <w:gridCol w:w="109"/>
        <w:gridCol w:w="109"/>
        <w:gridCol w:w="1597"/>
        <w:gridCol w:w="1455"/>
        <w:gridCol w:w="1470"/>
        <w:gridCol w:w="114"/>
        <w:gridCol w:w="114"/>
        <w:gridCol w:w="114"/>
        <w:gridCol w:w="422"/>
        <w:gridCol w:w="320"/>
        <w:gridCol w:w="295"/>
        <w:gridCol w:w="114"/>
        <w:gridCol w:w="114"/>
        <w:gridCol w:w="114"/>
        <w:gridCol w:w="263"/>
        <w:gridCol w:w="263"/>
        <w:gridCol w:w="264"/>
        <w:gridCol w:w="114"/>
        <w:gridCol w:w="114"/>
        <w:gridCol w:w="114"/>
        <w:gridCol w:w="242"/>
        <w:gridCol w:w="242"/>
        <w:gridCol w:w="243"/>
        <w:gridCol w:w="114"/>
        <w:gridCol w:w="114"/>
        <w:gridCol w:w="114"/>
        <w:gridCol w:w="215"/>
        <w:gridCol w:w="215"/>
        <w:gridCol w:w="328"/>
      </w:tblGrid>
      <w:tr>
        <w:trPr/>
        <w:tc>
          <w:tcPr>
            <w:tcW w:w="2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Certificate of Amendment to Certificate of Designations, Preferences and Rights of Series A Convertible Preferred Stock of TriSalus Life Sciences, Inc.</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001-39813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24, 2025</w:t>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executiveemploy.htm">
              <w:r>
                <w:rPr>
                  <w:rStyle w:val="InternetLink"/>
                  <w:rFonts w:ascii="Times New Roman;serif" w:hAnsi="Times New Roman;serif"/>
                  <w:b w:val="false"/>
                  <w:color w:val="0000FF"/>
                  <w:sz w:val="20"/>
                  <w:u w:val="single"/>
                </w:rPr>
                <w:t>Executive Employment Agreement, by and between the Company and David Patience, dated May 27, 2025</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cfosignxonbonus.htm">
              <w:r>
                <w:rPr>
                  <w:rStyle w:val="InternetLink"/>
                  <w:rFonts w:ascii="Times New Roman;serif" w:hAnsi="Times New Roman;serif"/>
                  <w:b w:val="false"/>
                  <w:color w:val="0000FF"/>
                  <w:sz w:val="20"/>
                  <w:u w:val="single"/>
                </w:rPr>
                <w:t>Sign-on Bonus Agreement, by and between the Company and David Patience, dated May 27, 2025</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consultingagree.htm">
              <w:r>
                <w:rPr>
                  <w:rStyle w:val="InternetLink"/>
                  <w:rFonts w:ascii="Times New Roman;serif" w:hAnsi="Times New Roman;serif"/>
                  <w:b w:val="false"/>
                  <w:color w:val="0000FF"/>
                  <w:sz w:val="20"/>
                  <w:u w:val="single"/>
                </w:rPr>
                <w:t>Consulting Agreement, by and between the Company and David Patience, dated June 2, 2025</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ceo302certificationma.htm">
              <w:r>
                <w:rPr>
                  <w:rStyle w:val="InternetLink"/>
                  <w:rFonts w:ascii="Times New Roman;serif" w:hAnsi="Times New Roman;serif"/>
                  <w:b w:val="false"/>
                  <w:color w:val="0000FF"/>
                  <w:sz w:val="20"/>
                  <w:u w:val="single"/>
                </w:rPr>
                <w:t>Certification of the Principal Executive Officer pursuant to Rule 13a-14(a) and Rule 15d-14(a) under the Securities Exchange Act of 1934, as adopted pursuant to Section 302 of the Sarbanes-Oxley Act of 2002</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cfo302certificationda.htm">
              <w:r>
                <w:rPr>
                  <w:rStyle w:val="InternetLink"/>
                  <w:rFonts w:ascii="Times New Roman;serif" w:hAnsi="Times New Roman;serif"/>
                  <w:b w:val="false"/>
                  <w:color w:val="0000FF"/>
                  <w:sz w:val="20"/>
                  <w:u w:val="single"/>
                </w:rPr>
                <w:t>Certification of the Principal Financial Officer pursuant to Rule 13a-14(a) and Rule 15d-14(a) under the Securities Exchange Act of 1934, as adopted pursuant to Section 302 of the Sarbanes-Oxley Act of 2002</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ceo906certificationma.htm">
              <w:r>
                <w:rPr>
                  <w:rStyle w:val="InternetLink"/>
                  <w:rFonts w:ascii="Times New Roman;serif" w:hAnsi="Times New Roman;serif"/>
                  <w:b w:val="false"/>
                  <w:color w:val="0000FF"/>
                  <w:sz w:val="20"/>
                  <w:u w:val="single"/>
                </w:rPr>
                <w:t>Certification of the Principal Executive Officer pursuant to 18 U.S.C. 1350, as adopted pursuant to Section 906 of the Sarbanes-Oxley Act of 2002</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cfo906certificationda.htm">
              <w:r>
                <w:rPr>
                  <w:rStyle w:val="InternetLink"/>
                  <w:rFonts w:ascii="Times New Roman;serif" w:hAnsi="Times New Roman;serif"/>
                  <w:b w:val="false"/>
                  <w:color w:val="0000FF"/>
                  <w:sz w:val="20"/>
                  <w:u w:val="single"/>
                </w:rPr>
                <w:t>Certification of the Principal Financial Officer pursuant to 18 U.S.C. 1350, as adopted pursuant to Section 906 of the Sarbanes-Oxley Act of 2002</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27"/>
            <w:tcBorders/>
            <w:tcMar>
              <w:top w:w="0" w:type="dxa"/>
              <w:left w:w="0" w:type="dxa"/>
              <w:bottom w:w="0" w:type="dxa"/>
              <w:right w:w="0" w:type="dxa"/>
            </w:tcMar>
            <w:vAlign w:val="center"/>
          </w:tcPr>
          <w:p>
            <w:pPr>
              <w:pStyle w:val="TableContents"/>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Certain portions of this Exhibit have been omitted in accordance with Regulation S-K Item 601(b)(10)(iv) because they are not material and are the type of information that the Registrant treats as private or confidential. The Registrant agrees to furnish supplementally an unredacted copy of the Exhibit, or any section thereof, to the SEC upon request.</w:t>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27"/>
            <w:tcBorders/>
            <w:tcMar>
              <w:top w:w="0" w:type="dxa"/>
              <w:left w:w="0" w:type="dxa"/>
              <w:bottom w:w="0" w:type="dxa"/>
              <w:right w:w="0" w:type="dxa"/>
            </w:tcMar>
            <w:vAlign w:val="center"/>
          </w:tcPr>
          <w:p>
            <w:pPr>
              <w:pStyle w:val="TableContents"/>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This certification is not deemed filed with the Securities and Exchange Commission and is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    </w:t>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has duly caused this report to be signed on its behalf by the undersigned, thereunto duly authorized, on the 12th day of August, 2025.</w:t>
      </w:r>
    </w:p>
    <w:tbl>
      <w:tblPr>
        <w:tblW w:w="3900" w:type="dxa"/>
        <w:jc w:val="left"/>
        <w:tblInd w:w="0" w:type="dxa"/>
        <w:tblLayout w:type="fixed"/>
        <w:tblCellMar>
          <w:top w:w="28" w:type="dxa"/>
          <w:left w:w="28" w:type="dxa"/>
          <w:bottom w:w="28" w:type="dxa"/>
          <w:right w:w="28" w:type="dxa"/>
        </w:tblCellMar>
      </w:tblPr>
      <w:tblGrid>
        <w:gridCol w:w="124"/>
        <w:gridCol w:w="109"/>
        <w:gridCol w:w="109"/>
        <w:gridCol w:w="258"/>
        <w:gridCol w:w="258"/>
        <w:gridCol w:w="258"/>
        <w:gridCol w:w="258"/>
        <w:gridCol w:w="258"/>
        <w:gridCol w:w="258"/>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TriSalus Life 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8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0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120"/>
        <w:jc w:val="right"/>
        <w:rPr>
          <w:rFonts w:ascii="Times New Roman;serif" w:hAnsi="Times New Roman;serif"/>
          <w:b/>
          <w:color w:val="000000"/>
          <w:sz w:val="24"/>
        </w:rPr>
      </w:pPr>
      <w:r>
        <w:rPr>
          <w:rFonts w:ascii="Times New Roman;serif" w:hAnsi="Times New Roman;serif"/>
          <w:b/>
          <w:color w:val="000000"/>
          <w:sz w:val="24"/>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Confidential</w:t>
      </w:r>
    </w:p>
    <w:p>
      <w:pPr>
        <w:pStyle w:val="TextBody"/>
        <w:bidi w:val="0"/>
        <w:spacing w:lineRule="auto" w:line="288" w:before="0" w:after="12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EXECUTIVE EMPLOYMENT AGREEMENT</w:t>
      </w:r>
    </w:p>
    <w:p>
      <w:pPr>
        <w:pStyle w:val="TextBody"/>
        <w:bidi w:val="0"/>
        <w:spacing w:lineRule="auto" w:line="288" w:before="0" w:after="120"/>
        <w:jc w:val="left"/>
        <w:rPr/>
      </w:pPr>
      <w:r>
        <w:rPr>
          <w:rFonts w:ascii="Times New Roman;serif" w:hAnsi="Times New Roman;serif"/>
          <w:b w:val="false"/>
          <w:color w:val="000000"/>
          <w:sz w:val="24"/>
        </w:rPr>
        <w:t>THIS EMPLOYMENT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as of July 1,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between TriSalus Life Sciences,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Dr. David Patience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Executive and the Company are entering into this Agreement setting forth the terms and conditions of Executive’s employment with the Company. The Company hereby employs Executive, and Executive hereby accepts employment with the Company, upon the terms and conditions contained in this Agreement.</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As an executive employee of the Company, Executive will have access to and Executive will become familiar with, acquire knowledge of and develop or maintain the Confidential Information (as defined below), whether currently existing or to be developed in the future, which Executive recognizes permits the Company to enjoy a competitive advantage, and the disclosure to and/or use of such Confidential Information by competitors, potential competitors and/or any third-party would cause irreparable harm to the Company. Executive and the Company desire to enter into this Agreement in order to, among other things, protect the Confidential Information and the Company’s business relationships.</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facts, the mutual covenants and agreements contained herein and other good and valuable consideration, the Company and Executive agree as follows:</w:t>
      </w:r>
    </w:p>
    <w:p>
      <w:pPr>
        <w:pStyle w:val="TextBody"/>
        <w:bidi w:val="0"/>
        <w:spacing w:lineRule="auto" w:line="288" w:before="0" w:after="12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As used herein, the following terms shall have the meanings ascribed to them in this </w:t>
      </w:r>
      <w:r>
        <w:rPr>
          <w:rFonts w:ascii="Times New Roman;serif" w:hAnsi="Times New Roman;serif"/>
          <w:b w:val="false"/>
          <w:color w:val="000000"/>
          <w:sz w:val="24"/>
          <w:u w:val="single"/>
        </w:rPr>
        <w:t>Section 1</w:t>
      </w:r>
      <w:r>
        <w:rPr>
          <w:rFonts w:ascii="Times New Roman;serif" w:hAnsi="Times New Roman;serif"/>
          <w:b w:val="false"/>
          <w:color w:val="000000"/>
          <w:sz w:val="24"/>
        </w:rPr>
        <w:t>:</w:t>
      </w:r>
    </w:p>
    <w:p>
      <w:pPr>
        <w:pStyle w:val="TextBody"/>
        <w:bidi w:val="0"/>
        <w:spacing w:lineRule="auto" w:line="288" w:before="0" w:after="120"/>
        <w:ind w:left="0" w:right="0" w:firstLine="1440"/>
        <w:jc w:val="left"/>
        <w:rPr/>
      </w:pPr>
      <w:r>
        <w:rPr>
          <w:rFonts w:ascii="Times New Roman;serif" w:hAnsi="Times New Roman;serif"/>
          <w:b w:val="false"/>
          <w:color w:val="000000"/>
          <w:sz w:val="24"/>
        </w:rPr>
        <w:t>(a)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party, any corporation, limited liability company, partnership, joint venture, firm and/or other entity which directly or indirectly Controls, is Controlled by or is under common Control with such party.</w:t>
      </w:r>
    </w:p>
    <w:p>
      <w:pPr>
        <w:pStyle w:val="TextBody"/>
        <w:bidi w:val="0"/>
        <w:spacing w:lineRule="auto" w:line="288" w:before="0" w:after="120"/>
        <w:ind w:left="0" w:right="0" w:firstLine="1440"/>
        <w:jc w:val="left"/>
        <w:rPr/>
      </w:pPr>
      <w:r>
        <w:rPr>
          <w:rFonts w:ascii="Times New Roman;serif" w:hAnsi="Times New Roman;serif"/>
          <w:b w:val="false"/>
          <w:color w:val="000000"/>
          <w:sz w:val="24"/>
        </w:rPr>
        <w:t>(b)     “</w:t>
      </w:r>
      <w:r>
        <w:rPr>
          <w:rFonts w:ascii="Times New Roman;serif" w:hAnsi="Times New Roman;serif"/>
          <w:b/>
          <w:color w:val="000000"/>
          <w:sz w:val="24"/>
        </w:rPr>
        <w:t>Board of Directors</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120"/>
        <w:ind w:left="0" w:right="0" w:firstLine="1440"/>
        <w:jc w:val="left"/>
        <w:rPr/>
      </w:pPr>
      <w:r>
        <w:rPr>
          <w:rFonts w:ascii="Times New Roman;serif" w:hAnsi="Times New Roman;serif"/>
          <w:b w:val="false"/>
          <w:color w:val="000000"/>
          <w:sz w:val="24"/>
        </w:rPr>
        <w:t>(c)     “</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shall mean the occurrence of any of the following events:</w:t>
      </w:r>
    </w:p>
    <w:p>
      <w:pPr>
        <w:pStyle w:val="TextBody"/>
        <w:bidi w:val="0"/>
        <w:spacing w:lineRule="auto" w:line="288" w:before="0" w:after="120"/>
        <w:ind w:left="0" w:right="0" w:firstLine="2160"/>
        <w:jc w:val="left"/>
        <w:rPr/>
      </w:pPr>
      <w:r>
        <w:rPr>
          <w:rFonts w:ascii="Times New Roman;serif" w:hAnsi="Times New Roman;serif"/>
          <w:b w:val="false"/>
          <w:color w:val="000000"/>
          <w:sz w:val="24"/>
        </w:rPr>
        <w:t>(i)     </w:t>
      </w:r>
      <w:r>
        <w:rPr>
          <w:rFonts w:ascii="Times New Roman;serif" w:hAnsi="Times New Roman;serif"/>
          <w:b w:val="false"/>
          <w:color w:val="000000"/>
          <w:sz w:val="24"/>
          <w:u w:val="single"/>
        </w:rPr>
        <w:t>Change in Ownership of the Company</w:t>
      </w:r>
      <w:r>
        <w:rPr>
          <w:rFonts w:ascii="Times New Roman;serif" w:hAnsi="Times New Roman;serif"/>
          <w:b w:val="false"/>
          <w:color w:val="000000"/>
          <w:sz w:val="24"/>
        </w:rPr>
        <w:t xml:space="preserve">.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private financing of the Company that is approved by the Board of Directors will not be considered a Change in Control; or</w:t>
      </w:r>
    </w:p>
    <w:p>
      <w:pPr>
        <w:pStyle w:val="TextBody"/>
        <w:bidi w:val="0"/>
        <w:spacing w:lineRule="auto" w:line="288" w:before="0" w:after="120"/>
        <w:ind w:left="0" w:right="0" w:firstLine="2160"/>
        <w:jc w:val="left"/>
        <w:rPr/>
      </w:pPr>
      <w:r>
        <w:rPr>
          <w:rFonts w:ascii="Times New Roman;serif" w:hAnsi="Times New Roman;serif"/>
          <w:b w:val="false"/>
          <w:color w:val="000000"/>
          <w:sz w:val="24"/>
        </w:rPr>
        <w:t>(ii)     </w:t>
      </w:r>
      <w:r>
        <w:rPr>
          <w:rFonts w:ascii="Times New Roman;serif" w:hAnsi="Times New Roman;serif"/>
          <w:b w:val="false"/>
          <w:color w:val="000000"/>
          <w:sz w:val="24"/>
          <w:u w:val="single"/>
        </w:rPr>
        <w:t>Change in Effective Control of the Company</w:t>
      </w:r>
      <w:r>
        <w:rPr>
          <w:rFonts w:ascii="Times New Roman;serif" w:hAnsi="Times New Roman;serif"/>
          <w:b w:val="false"/>
          <w:color w:val="000000"/>
          <w:sz w:val="24"/>
        </w:rPr>
        <w:t xml:space="preserve">. If the Company has a class of securities registered pursuant to Section 12 of the Securities Exchange Act of 1934, as amended a change in the effective control of the Company which occurs on the date that a majority of members of the Board of Directors is replaced during any twelve (12) month period by directors whose appointment or election is not endorsed by a majority of the members of the Board of Directors prior to the date of the appointment or election. For purposes of this clause (ii), if any Person is considered to be in effective control of the Company, the acquisition of additional control of the Company by the same Person will not be considered a Change in Control; or </w:t>
      </w:r>
    </w:p>
    <w:p>
      <w:pPr>
        <w:pStyle w:val="TextBody"/>
        <w:bidi w:val="0"/>
        <w:spacing w:lineRule="auto" w:line="288" w:before="0" w:after="120"/>
        <w:ind w:left="0" w:right="0" w:firstLine="2160"/>
        <w:jc w:val="left"/>
        <w:rPr/>
      </w:pPr>
      <w:r>
        <w:rPr>
          <w:rFonts w:ascii="Times New Roman;serif" w:hAnsi="Times New Roman;serif"/>
          <w:b w:val="false"/>
          <w:color w:val="000000"/>
          <w:sz w:val="24"/>
        </w:rPr>
        <w:t>(iii)     </w:t>
      </w:r>
      <w:r>
        <w:rPr>
          <w:rFonts w:ascii="Times New Roman;serif" w:hAnsi="Times New Roman;serif"/>
          <w:b w:val="false"/>
          <w:color w:val="000000"/>
          <w:sz w:val="24"/>
          <w:u w:val="single"/>
        </w:rPr>
        <w:t>Change in Ownership of a Substantial Portion of the Company’s Assets</w:t>
      </w:r>
      <w:r>
        <w:rPr>
          <w:rFonts w:ascii="Times New Roman;serif" w:hAnsi="Times New Roman;serif"/>
          <w:b w:val="false"/>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288" w:before="0" w:after="120"/>
        <w:ind w:left="0" w:right="0" w:firstLine="1440"/>
        <w:jc w:val="left"/>
        <w:rPr/>
      </w:pPr>
      <w:r>
        <w:rPr>
          <w:rFonts w:ascii="Times New Roman;serif" w:hAnsi="Times New Roman;serif"/>
          <w:b w:val="false"/>
          <w:color w:val="000000"/>
          <w:sz w:val="24"/>
        </w:rPr>
        <w:t>(d)     “</w:t>
      </w:r>
      <w:r>
        <w:rPr>
          <w:rFonts w:ascii="Times New Roman;serif" w:hAnsi="Times New Roman;serif"/>
          <w:b/>
          <w:color w:val="000000"/>
          <w:sz w:val="24"/>
        </w:rPr>
        <w:t>Compensation Committee</w:t>
      </w:r>
      <w:r>
        <w:rPr>
          <w:color w:val="000000"/>
        </w:rPr>
        <w:t xml:space="preserve">” </w:t>
      </w:r>
      <w:r>
        <w:rPr>
          <w:rFonts w:ascii="Times New Roman;serif" w:hAnsi="Times New Roman;serif"/>
          <w:b w:val="false"/>
          <w:color w:val="000000"/>
          <w:sz w:val="24"/>
        </w:rPr>
        <w:t>means a committee of the Board of Directors which has been delegated responsibility for employee compensation matters or, in the absence thereof, the entire Board of Directors.</w:t>
      </w:r>
    </w:p>
    <w:p>
      <w:pPr>
        <w:pStyle w:val="TextBody"/>
        <w:bidi w:val="0"/>
        <w:spacing w:lineRule="auto" w:line="288" w:before="0" w:after="120"/>
        <w:ind w:left="0" w:right="0" w:firstLine="1440"/>
        <w:jc w:val="left"/>
        <w:rPr/>
      </w:pPr>
      <w:r>
        <w:rPr>
          <w:rFonts w:ascii="Times New Roman;serif" w:hAnsi="Times New Roman;serif"/>
          <w:b w:val="false"/>
          <w:color w:val="000000"/>
          <w:sz w:val="24"/>
        </w:rPr>
        <w:t>(e)     “</w:t>
      </w:r>
      <w:r>
        <w:rPr>
          <w:rFonts w:ascii="Times New Roman;serif" w:hAnsi="Times New Roman;serif"/>
          <w:b/>
          <w:color w:val="000000"/>
          <w:sz w:val="24"/>
        </w:rPr>
        <w:t>Competing Business</w:t>
      </w:r>
      <w:r>
        <w:rPr>
          <w:color w:val="000000"/>
        </w:rPr>
        <w:t xml:space="preserve">” </w:t>
      </w:r>
      <w:r>
        <w:rPr>
          <w:rFonts w:ascii="Times New Roman;serif" w:hAnsi="Times New Roman;serif"/>
          <w:b w:val="false"/>
          <w:color w:val="000000"/>
          <w:sz w:val="24"/>
        </w:rPr>
        <w:t>means a business that is engaged in researching, designing, developing, manufacturing, marketing and/or sales of medical devices for regional delivery and therapeutics used in that delivery to treat solid tumors.</w:t>
      </w:r>
    </w:p>
    <w:p>
      <w:pPr>
        <w:pStyle w:val="TextBody"/>
        <w:bidi w:val="0"/>
        <w:spacing w:lineRule="auto" w:line="288" w:before="0" w:after="120"/>
        <w:ind w:left="0" w:right="0" w:firstLine="1440"/>
        <w:jc w:val="left"/>
        <w:rPr/>
      </w:pPr>
      <w:r>
        <w:rPr>
          <w:rFonts w:ascii="Times New Roman;serif" w:hAnsi="Times New Roman;serif"/>
          <w:b w:val="false"/>
          <w:color w:val="000000"/>
          <w:sz w:val="24"/>
        </w:rPr>
        <w:t>(f)     “</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means confidential or proprietary information and/or techniques of the Company or any of its Subsidiaries or Affiliates entrusted to, developed by, or made available to Executive, whether in writing, in computer form, reduced to a tangible form in any medium, or conveyed orally, that is not generally known by others in the form in which it is or was used by the Company or any of its Subsidiaries or Affiliates. Examples of Confidential Information include, without limitation: (i) sales, sales volume, sales methods, sales proposals, business plans or statements of work; (ii) Customers, Prospective Customers, and Customer records, including contact, preference and other Customer information; (iii) costs and general price lists and prices charged to specific Customers; (iv) the names, addresses, contact information and other information concerning any and all brokers, vendors and suppliers and prospective brokers, vendors and suppliers; (v) terms of contracts; (vi) non-public information and materials describing or relating to the business or financial affairs of the Company or any of its Subsidiaries or Affiliates, including but not limited to, financial statements, budgets, projections financial and/or investment performance information, research reports, personnel matters, products, services, operating procedures, organizational responsibilities and marketing matters, policies or procedures; (vii) information and materials describing existing or new processes, products and services of the Company or any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Subsidiaries or Affiliates, including marketing materials, analytical data and techniques, and product, service or marketing concepts under development by or for the Company or any of its Subsidiaries or Affiliates, and the status of such development; (viii) the business or strategic plans of the Company or any of its Subsidiaries or Affiliates; (ix) the information technology systems, network designs, computer program code, and application practices of the Company or any of its Subsidiaries or Affiliates; (x) acquisition candidates of the Company or any of its Subsidiaries or Affiliates or any business plans, studies or assessments relating thereto; (xi) information relating to Executive Developments; and (xii) trademarks, service marks, trade secrets, trade names and logos. The terms of this Agreement shall be deemed to be Confidential Information. Confidential Information does not include information that becomes generally known to and available for use by the public other than as a result of Executive’s acts or omissions to act, including any breach of this Agreement.</w:t>
      </w:r>
    </w:p>
    <w:p>
      <w:pPr>
        <w:pStyle w:val="TextBody"/>
        <w:bidi w:val="0"/>
        <w:spacing w:lineRule="auto" w:line="288" w:before="0" w:after="120"/>
        <w:ind w:left="0" w:right="0" w:firstLine="1440"/>
        <w:jc w:val="left"/>
        <w:rPr/>
      </w:pPr>
      <w:r>
        <w:rPr>
          <w:rFonts w:ascii="Times New Roman;serif" w:hAnsi="Times New Roman;serif"/>
          <w:b w:val="false"/>
          <w:color w:val="000000"/>
          <w:sz w:val="24"/>
        </w:rPr>
        <w:t>(g)     “</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(including the terms “Controlling,” “Controlled by” and “under common Control with”) means the power to direct the management and policies of another person, directly or indirectly, whether through the ownership of voting securities, by contract or otherwise.</w:t>
      </w:r>
    </w:p>
    <w:p>
      <w:pPr>
        <w:pStyle w:val="TextBody"/>
        <w:bidi w:val="0"/>
        <w:spacing w:lineRule="auto" w:line="288" w:before="0" w:after="0"/>
        <w:ind w:left="0" w:right="0" w:firstLine="1440"/>
        <w:jc w:val="left"/>
        <w:rPr/>
      </w:pPr>
      <w:r>
        <w:rPr>
          <w:rFonts w:ascii="Times New Roman;serif" w:hAnsi="Times New Roman;serif"/>
          <w:b w:val="false"/>
          <w:color w:val="000000"/>
          <w:sz w:val="24"/>
        </w:rPr>
        <w:t>(h)     “</w:t>
      </w:r>
      <w:r>
        <w:rPr>
          <w:rFonts w:ascii="Times New Roman;serif" w:hAnsi="Times New Roman;serif"/>
          <w:b/>
          <w:color w:val="000000"/>
          <w:sz w:val="24"/>
        </w:rPr>
        <w:t>Covered Entity</w:t>
      </w:r>
      <w:r>
        <w:rPr>
          <w:color w:val="000000"/>
        </w:rPr>
        <w:t xml:space="preserve">” </w:t>
      </w:r>
      <w:r>
        <w:rPr>
          <w:rFonts w:ascii="Times New Roman;serif" w:hAnsi="Times New Roman;serif"/>
          <w:b w:val="false"/>
          <w:color w:val="000000"/>
          <w:sz w:val="24"/>
        </w:rPr>
        <w:t>means every Affiliate of Executive, and every business, association, trust, corporation, partnership, limited liability company, proprietorship or other entity in or to which Executive has an investment (whether through debt or equity securities), maintains any capital contribution or has made any advances, or in which any Affiliate of Executive has an ownership interest or profit sharing percentage. The agreements of Executive contained herein specifically apply to each entity which is presently a Covered Entity, or which becomes a Covered Entity subsequent to the date of this Agreement. Notwithstanding the foregoing, nothing contained in this Agreement prohibits Executive from owning less than 3% of any class of voting securities,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publicly held and quoted on a recognized securities exchange or inter-dealer quotation system, of</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any issuer, and no such issuer shall be considered a Covered Entity solely by virtue of such ownership or the incidents thereof.</w:t>
      </w:r>
    </w:p>
    <w:p>
      <w:pPr>
        <w:pStyle w:val="TextBody"/>
        <w:bidi w:val="0"/>
        <w:spacing w:lineRule="auto" w:line="288" w:before="0" w:after="120"/>
        <w:ind w:left="0" w:right="0" w:firstLine="1440"/>
        <w:jc w:val="left"/>
        <w:rPr/>
      </w:pPr>
      <w:r>
        <w:rPr>
          <w:rFonts w:ascii="Times New Roman;serif" w:hAnsi="Times New Roman;serif"/>
          <w:b w:val="false"/>
          <w:color w:val="000000"/>
          <w:sz w:val="24"/>
        </w:rPr>
        <w:t>(i)     “</w:t>
      </w:r>
      <w:r>
        <w:rPr>
          <w:rFonts w:ascii="Times New Roman;serif" w:hAnsi="Times New Roman;serif"/>
          <w:b/>
          <w:color w:val="000000"/>
          <w:sz w:val="24"/>
        </w:rPr>
        <w:t>Customer</w:t>
      </w:r>
      <w:r>
        <w:rPr>
          <w:color w:val="000000"/>
        </w:rPr>
        <w:t xml:space="preserve">” </w:t>
      </w:r>
      <w:r>
        <w:rPr>
          <w:rFonts w:ascii="Times New Roman;serif" w:hAnsi="Times New Roman;serif"/>
          <w:b w:val="false"/>
          <w:color w:val="000000"/>
          <w:sz w:val="24"/>
        </w:rPr>
        <w:t>means any person or entity for whom the Company or any of its Subsidiaries or Affiliates (i) provides (or contracted to provide) goods or services as of the date hereof or at any time during the Term or (ii) has provided goods or services at any time during the one-year period prior to the date hereof.</w:t>
      </w:r>
    </w:p>
    <w:p>
      <w:pPr>
        <w:pStyle w:val="TextBody"/>
        <w:bidi w:val="0"/>
        <w:spacing w:lineRule="auto" w:line="288" w:before="0" w:after="120"/>
        <w:ind w:left="0" w:right="0" w:firstLine="1440"/>
        <w:jc w:val="left"/>
        <w:rPr/>
      </w:pPr>
      <w:r>
        <w:rPr>
          <w:rFonts w:ascii="Times New Roman;serif" w:hAnsi="Times New Roman;serif"/>
          <w:b w:val="false"/>
          <w:color w:val="000000"/>
          <w:sz w:val="24"/>
        </w:rPr>
        <w:t>(j)     “</w:t>
      </w:r>
      <w:r>
        <w:rPr>
          <w:rFonts w:ascii="Times New Roman;serif" w:hAnsi="Times New Roman;serif"/>
          <w:b/>
          <w:color w:val="000000"/>
          <w:sz w:val="24"/>
        </w:rPr>
        <w:t>Discharge for Cause</w:t>
      </w:r>
      <w:r>
        <w:rPr>
          <w:color w:val="000000"/>
        </w:rPr>
        <w:t xml:space="preserve">” </w:t>
      </w:r>
      <w:r>
        <w:rPr>
          <w:rFonts w:ascii="Times New Roman;serif" w:hAnsi="Times New Roman;serif"/>
          <w:b w:val="false"/>
          <w:color w:val="000000"/>
          <w:sz w:val="24"/>
        </w:rPr>
        <w:t>means termination of Executive’s employment by the Company for any one or more of the following:</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Executive's failure to perform Executive's duties consistent with Executive’s position under this Agreement (other than any such failure resulting from incapacity due to physical or mental illness);</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the Company’s reasonable determination that Executive failed to comply with any valid and legal directive from the Chief Executive Officer or the Board consistent with Executive’s position and duties under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Executive's commission of an act constituting dishonesty, embezzlement, misappropriation, or fraud in the course of Executive’s performance of duties and responsibilities under the Agreement;</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Executive's commission, indictment, plea of no contest, plea of nolo contendere, or imposition of an un-adjudicated probation for any felony or crime involving moral turpitude;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Executive's breach of a material provision of this Agreement, receiving notice from the Company specifically identifying Employee’s violation, and if curable in the reasonable discretion of the Company, the Executive being given ten (10) days’ notice to</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cure such breach, and Executive has failed to remedy such breach within the ten (10) day period;</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     Executive’s violation of any Company policies that are written or otherwise communicated to the Executive, receiving notice from the Company specifically identifying Executive’s breach, and if curable in the reasonable discretion of the Company, the Executive being given ten (10) days’ notice to cure such violation, and Executive has failed to remedy such violation within the ten (10) day period;</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vii.     Executive's engagement in conduct that brings or is reasonably likely to bring the Company negative publicity or into public disgrace, embarrassment, or disrepute;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viii.     Executive’s unlawful use (including being under the influence) or possession of illegal drugs on the Company’s (or any of its Affiliate’s) premises or while performing Employee’s duties and</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responsibilities under this Agreement; or</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ix.     Executive’s commencement of employment or engagement with another company or enterprise while Executive is an employee of the Company without the prior consent of the Board of Directors.</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specifically required, notice is not required for Discharge for Cause prior to termination by the Company.</w:t>
      </w:r>
    </w:p>
    <w:p>
      <w:pPr>
        <w:pStyle w:val="TextBody"/>
        <w:bidi w:val="0"/>
        <w:spacing w:lineRule="auto" w:line="288" w:before="0" w:after="120"/>
        <w:ind w:left="0" w:right="0" w:firstLine="1440"/>
        <w:jc w:val="left"/>
        <w:rPr/>
      </w:pPr>
      <w:r>
        <w:rPr>
          <w:rFonts w:ascii="Times New Roman;serif" w:hAnsi="Times New Roman;serif"/>
          <w:b w:val="false"/>
          <w:color w:val="000000"/>
          <w:sz w:val="24"/>
        </w:rPr>
        <w:t>(k)     “</w:t>
      </w:r>
      <w:r>
        <w:rPr>
          <w:rFonts w:ascii="Times New Roman;serif" w:hAnsi="Times New Roman;serif"/>
          <w:b/>
          <w:color w:val="000000"/>
          <w:sz w:val="24"/>
        </w:rPr>
        <w:t>Discharge Without Cause</w:t>
      </w:r>
      <w:r>
        <w:rPr>
          <w:color w:val="000000"/>
        </w:rPr>
        <w:t xml:space="preserve">” </w:t>
      </w:r>
      <w:r>
        <w:rPr>
          <w:rFonts w:ascii="Times New Roman;serif" w:hAnsi="Times New Roman;serif"/>
          <w:b w:val="false"/>
          <w:color w:val="000000"/>
          <w:sz w:val="24"/>
        </w:rPr>
        <w:t>means the Company’s termination of Executive’s employment hereunder during the Term for any reason other than a Discharge For Cause or due to Executive’s death or permanent disability.</w:t>
      </w:r>
    </w:p>
    <w:p>
      <w:pPr>
        <w:pStyle w:val="TextBody"/>
        <w:bidi w:val="0"/>
        <w:spacing w:lineRule="auto" w:line="288" w:before="0" w:after="120"/>
        <w:ind w:left="0" w:right="0" w:firstLine="1440"/>
        <w:jc w:val="left"/>
        <w:rPr/>
      </w:pPr>
      <w:r>
        <w:rPr>
          <w:rFonts w:ascii="Times New Roman;serif" w:hAnsi="Times New Roman;serif"/>
          <w:b w:val="false"/>
          <w:color w:val="000000"/>
          <w:sz w:val="24"/>
        </w:rPr>
        <w:t>(l)     “</w:t>
      </w:r>
      <w:r>
        <w:rPr>
          <w:rFonts w:ascii="Times New Roman;serif" w:hAnsi="Times New Roman;serif"/>
          <w:b/>
          <w:color w:val="000000"/>
          <w:sz w:val="24"/>
        </w:rPr>
        <w:t>Executive Developments</w:t>
      </w:r>
      <w:r>
        <w:rPr>
          <w:color w:val="000000"/>
        </w:rPr>
        <w:t xml:space="preserve">” </w:t>
      </w:r>
      <w:r>
        <w:rPr>
          <w:rFonts w:ascii="Times New Roman;serif" w:hAnsi="Times New Roman;serif"/>
          <w:b w:val="false"/>
          <w:color w:val="000000"/>
          <w:sz w:val="24"/>
        </w:rPr>
        <w:t xml:space="preserve">means any invention, discovery, design, idea, copyrightable work, trademark or service mark, patent, information, material or other development which is or was conceived, discovered, created, reduced to practice or otherwise developed by Executive, either solely or with others: (i) within the scope of Executive’s employment with the Company, (ii) with the use of materials, technology, information, facilities, equipment or other resources of the Company or any of its Subsidiaries or Affiliates, or (iii)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relating to any past, present or contemplated publication, product or activity of the Company or any of its Subsidiaries or Affiliates of which Executive has knowledge while employed by the Company. Examples of Executive Developments include, without limitation, (A) Customer proposals and statements of work, (B) contact, preference and other information relating to Customers and Prospective Customers, (C) research reports and other research results for the Company’s or any of its Subsidiaries’ or Affiliates’ publications, consulting activities or client projects, (D) business and marketing plans and research results, (E) cost and pricing information, (F) financial statements, records and information, (G) computer program code, architectures, specifications and documentation, (H) system and network designs and configurations, (I) technical memoranda, specifications, designs, manuals and research results, (J) concepts, processes, machines, technologies, algorithms, ideas and concepts, (K) writings, drawings, graphic works and audiovisual works, (L) trademarks, service marks, trade names and logos and (M) any portions, combinations, modifications and derivatives of the foregoing.</w:t>
      </w:r>
    </w:p>
    <w:p>
      <w:pPr>
        <w:pStyle w:val="TextBody"/>
        <w:bidi w:val="0"/>
        <w:spacing w:lineRule="auto" w:line="288" w:before="0" w:after="120"/>
        <w:ind w:left="0" w:right="0" w:firstLine="1440"/>
        <w:jc w:val="left"/>
        <w:rPr/>
      </w:pPr>
      <w:r>
        <w:rPr>
          <w:rFonts w:ascii="Times New Roman;serif" w:hAnsi="Times New Roman;serif"/>
          <w:b w:val="false"/>
          <w:color w:val="000000"/>
          <w:sz w:val="24"/>
        </w:rPr>
        <w:t>(m)     “</w:t>
      </w:r>
      <w:r>
        <w:rPr>
          <w:rFonts w:ascii="Times New Roman;serif" w:hAnsi="Times New Roman;serif"/>
          <w:b/>
          <w:color w:val="000000"/>
          <w:sz w:val="24"/>
        </w:rPr>
        <w:t>Prospective Customer</w:t>
      </w:r>
      <w:r>
        <w:rPr>
          <w:color w:val="000000"/>
        </w:rPr>
        <w:t xml:space="preserve">” </w:t>
      </w:r>
      <w:r>
        <w:rPr>
          <w:rFonts w:ascii="Times New Roman;serif" w:hAnsi="Times New Roman;serif"/>
          <w:b w:val="false"/>
          <w:color w:val="000000"/>
          <w:sz w:val="24"/>
        </w:rPr>
        <w:t>means any person or entity with whom the Company or any of its Subsidiaries or Affiliates has communicated or whom the Company or any of its Subsidiaries or Affiliates has solicited for the purposes of obtaining such person or entity as a Customer and/or whom the Company or any of its Subsidiaries or Affiliates has analyzed concerning the potential of such person or entity to become a Customer, at any time during the one-year period prior to the date hereof or at any time during the Term.</w:t>
      </w:r>
    </w:p>
    <w:p>
      <w:pPr>
        <w:pStyle w:val="TextBody"/>
        <w:bidi w:val="0"/>
        <w:spacing w:lineRule="auto" w:line="288" w:before="0" w:after="120"/>
        <w:ind w:left="0" w:right="0" w:firstLine="1440"/>
        <w:jc w:val="left"/>
        <w:rPr/>
      </w:pPr>
      <w:r>
        <w:rPr>
          <w:rFonts w:ascii="Times New Roman;serif" w:hAnsi="Times New Roman;serif"/>
          <w:b w:val="false"/>
          <w:color w:val="000000"/>
          <w:sz w:val="24"/>
        </w:rPr>
        <w:t>(n)     “</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any corporation, trust, general or limited partnership, limited liability company, limited liability partnership, firm, company or other business enterprise in which the Company owns, directly or indirectly, 50% or more of the voting stock or any other class of securities having the power to elect directors or managers, as applicable.</w:t>
      </w:r>
    </w:p>
    <w:p>
      <w:pPr>
        <w:pStyle w:val="TextBody"/>
        <w:bidi w:val="0"/>
        <w:spacing w:lineRule="auto" w:line="288"/>
        <w:ind w:left="0" w:right="0" w:firstLine="1440"/>
        <w:jc w:val="left"/>
        <w:rPr/>
      </w:pPr>
      <w:r>
        <w:rPr>
          <w:rFonts w:ascii="Times New Roman;serif" w:hAnsi="Times New Roman;serif"/>
          <w:b w:val="false"/>
          <w:color w:val="000000"/>
          <w:sz w:val="24"/>
        </w:rPr>
        <w:t>(o)     “</w:t>
      </w:r>
      <w:r>
        <w:rPr>
          <w:rFonts w:ascii="Times New Roman;serif" w:hAnsi="Times New Roman;serif"/>
          <w:b/>
          <w:color w:val="000000"/>
          <w:sz w:val="24"/>
        </w:rPr>
        <w:t>Resignation For Good Reason</w:t>
      </w:r>
      <w:r>
        <w:rPr>
          <w:color w:val="000000"/>
        </w:rPr>
        <w:t xml:space="preserve">” </w:t>
      </w:r>
      <w:r>
        <w:rPr>
          <w:rFonts w:ascii="Times New Roman;serif" w:hAnsi="Times New Roman;serif"/>
          <w:b w:val="false"/>
          <w:color w:val="000000"/>
          <w:sz w:val="24"/>
        </w:rPr>
        <w:t xml:space="preserve">means voluntary resignation by Executive of his employment with the Company within thirty (30) days after: (i) there is a material reduction by the Company in Executive’s base salary then in effect; (ii) the Company acts in any way that would materially adversely affect Executive’s participation in or materially reduce Executive’s benefits under any benefit plan of the Company in which Executive is participating, other than any change generally affecting similarly situated employees of the Company other than any action not taken in bad faith and which is remedied by the Company promptly upon receipt of notice thereof given by Executive; (iii) the Company materially breaches the terms of this Agreement; (iv) a material permanent reduction in Executive’s authority, duties or, responsibilities that was not caused by performance, from that consistent with the title and position set forth in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(other than in connection with a corporate transaction where Executive’s authority, duties, or responsibilities exist prior to consummation of the transaction but after such transaction, Executive does not hold such authority, duties, or responsibilities with respect to the successor entity of the transaction); or (v) Executive is required to relocate his principal place of employment to a location more than fifty (50) miles from the location of such Executive’s principal place of employment as of the Effective Date; provided however, that, in each case, the event or change is without the Executive’s consent and the Company shall have been provided detailed written notice of the change or event constituting “Good Reason” within thirty (30) days’ of such change or event and the Company has failed to remedy such event or breach within the 30-day period after receiving such notice.</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1440"/>
        <w:jc w:val="left"/>
        <w:rPr/>
      </w:pPr>
      <w:r>
        <w:rPr>
          <w:rFonts w:ascii="Times New Roman;serif" w:hAnsi="Times New Roman;serif"/>
          <w:b w:val="false"/>
          <w:color w:val="000000"/>
          <w:sz w:val="24"/>
        </w:rPr>
        <w:t>(p)     “</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means the United States, China and all territories and political subdivisions therein.</w:t>
      </w:r>
    </w:p>
    <w:p>
      <w:pPr>
        <w:pStyle w:val="TextBody"/>
        <w:bidi w:val="0"/>
        <w:spacing w:lineRule="auto" w:line="288" w:before="0" w:after="12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Capacities and Duties</w:t>
      </w:r>
      <w:r>
        <w:rPr>
          <w:rFonts w:ascii="Times New Roman;serif" w:hAnsi="Times New Roman;serif"/>
          <w:b w:val="false"/>
          <w:color w:val="000000"/>
          <w:sz w:val="24"/>
        </w:rPr>
        <w:t>.</w:t>
      </w:r>
    </w:p>
    <w:p>
      <w:pPr>
        <w:pStyle w:val="TextBody"/>
        <w:bidi w:val="0"/>
        <w:spacing w:lineRule="auto" w:line="288" w:before="0" w:after="12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Title</w:t>
      </w:r>
      <w:r>
        <w:rPr>
          <w:rFonts w:ascii="Times New Roman;serif" w:hAnsi="Times New Roman;serif"/>
          <w:b w:val="false"/>
          <w:color w:val="000000"/>
          <w:sz w:val="24"/>
        </w:rPr>
        <w:t>. Executive is hereby employed in the capacity of Chief Financial Officer (“CFO”). Executive shall report directly to the Chief Executive Officer (“CEO”). Executive will at all times abide by the Company’s written personnel policies applicable to similarly situated employees of the Company as in effect from time to time and provided to Executive, and will faithfully, industriously and to the best of Executive’s ability, experience and talents perform all of the duties that are reasonably requested by the CEO and Board of Directors consistent with Executive’s position and title and that may be required of and from Executive pursuant to the terms hereof.</w:t>
      </w:r>
    </w:p>
    <w:p>
      <w:pPr>
        <w:pStyle w:val="TextBody"/>
        <w:bidi w:val="0"/>
        <w:spacing w:lineRule="auto" w:line="288" w:before="0" w:after="12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Exclusive Services</w:t>
      </w:r>
      <w:r>
        <w:rPr>
          <w:rFonts w:ascii="Times New Roman;serif" w:hAnsi="Times New Roman;serif"/>
          <w:b w:val="false"/>
          <w:color w:val="000000"/>
          <w:sz w:val="24"/>
        </w:rPr>
        <w:t xml:space="preserve">. During the Term, Executive agrees to devote Executive’s best efforts and full business time to rendering services to the Company. Executive is specifically restricted from being employed by any other company, other than a Subsidiary or an Affiliate of the Company, while under the Company’s employ pursuant to this Agreement. During the Term, the Executive shall not engage in any other business activity that would interfere with his responsibilities or the performance of his duties under this Agreement. Notwithstanding the foregoing, Executive may continue (i) to serve as a member of the board of directors of those entities for which Executive serves as of the Effective Date: and (ii) continue with current consulting work for the companies set forth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w:t>
      </w:r>
      <w:r>
        <w:rPr>
          <w:color w:val="000000"/>
        </w:rPr>
        <w:t>“</w:t>
      </w:r>
      <w:r>
        <w:rPr>
          <w:rFonts w:ascii="Times New Roman;serif" w:hAnsi="Times New Roman;serif"/>
          <w:b/>
          <w:color w:val="000000"/>
          <w:sz w:val="24"/>
        </w:rPr>
        <w:t>Existing Board Positions”</w:t>
      </w:r>
      <w:r>
        <w:rPr>
          <w:rFonts w:ascii="Times New Roman;serif" w:hAnsi="Times New Roman;serif"/>
          <w:b w:val="false"/>
          <w:color w:val="000000"/>
          <w:sz w:val="24"/>
        </w:rPr>
        <w:t>). In the event that, during his employment by the Company, Executive desires (i) to serve as a member of the board of directors or (ii) engage in consulting work for entities currently not identified, Executive will, prior to engaging in such activity, first seek written approval from the CEO and Chairman of the Board of Directors. Service shall not exceed two (2) boards or three (3) minor consulting projects or some combination thereof, at any given time.</w:t>
      </w:r>
    </w:p>
    <w:p>
      <w:pPr>
        <w:pStyle w:val="TextBody"/>
        <w:bidi w:val="0"/>
        <w:spacing w:lineRule="auto" w:line="288" w:before="0" w:after="0"/>
        <w:ind w:left="0" w:right="0" w:firstLine="144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Principal Place of Employment</w:t>
      </w:r>
      <w:r>
        <w:rPr>
          <w:rFonts w:ascii="Times New Roman;serif" w:hAnsi="Times New Roman;serif"/>
          <w:b w:val="false"/>
          <w:color w:val="000000"/>
          <w:sz w:val="24"/>
        </w:rPr>
        <w:t>. Executive acknowledges that Executive’s principal place of employment is Westminster, Colorado, corporate headquarters to the Company. Further, Executive acknowledges and agrees that substantial travel will be required in connection with the performance of Executive’s duties as Chief Financial Officer, such travel to include frequent and/or extended travel to the Company’s principal offices in Colorado and elsewhere as the business requires. The Company shall bear the cost of such travel and shall reimburse all reasonable travel and accommodation expenses of Executive’s business travel, including to the Company’s principal offices. Executive may reside outside of the state of Colorado, but Executive acknowledges that this does not change Executives agreement to Colorado being the choice of law or the location of any potential arbitrations as specified in Section 14.</w:t>
      </w:r>
    </w:p>
    <w:p>
      <w:pPr>
        <w:pStyle w:val="TextBody"/>
        <w:bidi w:val="0"/>
        <w:spacing w:lineRule="auto" w:line="288" w:before="0" w:after="12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Compensation and Benefits</w:t>
      </w:r>
      <w:r>
        <w:rPr>
          <w:rFonts w:ascii="Times New Roman;serif" w:hAnsi="Times New Roman;serif"/>
          <w:b w:val="false"/>
          <w:color w:val="000000"/>
          <w:sz w:val="24"/>
        </w:rPr>
        <w:t>. In consideration for Executive’s services, the Company agrees to pay Executive compensation as follows:</w:t>
      </w:r>
    </w:p>
    <w:p>
      <w:pPr>
        <w:pStyle w:val="TextBody"/>
        <w:bidi w:val="0"/>
        <w:spacing w:lineRule="auto" w:line="288" w:before="0" w:after="12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Salary</w:t>
      </w:r>
      <w:r>
        <w:rPr>
          <w:rFonts w:ascii="Times New Roman;serif" w:hAnsi="Times New Roman;serif"/>
          <w:b w:val="false"/>
          <w:color w:val="000000"/>
          <w:sz w:val="24"/>
        </w:rPr>
        <w:t>. Executive’s annual base salary will be $450,000 to be paid according to the Company’s payroll practices applicable to similarly situated employees. Executive’s base compensation will be subject to annual review by the Board of Directors and the Compensation Committee who shall review and may increase Executive’s base compensation for the following year in the sole discretion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Annual Bonus</w:t>
      </w:r>
      <w:r>
        <w:rPr>
          <w:rFonts w:ascii="Times New Roman;serif" w:hAnsi="Times New Roman;serif"/>
          <w:b w:val="false"/>
          <w:color w:val="000000"/>
          <w:sz w:val="24"/>
        </w:rPr>
        <w:t>. Executive shall be entitled to participate in an annual bonus plan each calendar year. The award of this annual bonus (the “Annual Bonus”) requires realization of certain profitability or other financial objectives by the Company, business initiatives and other criteria to be determined by the Board of Directors or its designee and the Executive’s manager. The Annual Bonus, if any, will be up to 50% of Executive’s current base salary in effect from time to time, and it will be earned and paid in accordance with the Company’s policies applicable to similarly situated employees. However, subject to the terms of Section 4, Executive need not be employed by the Company at the time of any such Annual Bonus payment in order to be eligible for any such payment. Notwithstanding the foregoing, Executive and the Company agree that the payable amount of an Annual Bonus, if any, in any year, may be greater than or less than an amount referenced in this Section in the event that actual performance either exceeds or does not meet the Annual Bonus objectives, as the case may be, as determined by the Company.</w:t>
      </w:r>
    </w:p>
    <w:p>
      <w:pPr>
        <w:pStyle w:val="TextBody"/>
        <w:bidi w:val="0"/>
        <w:spacing w:lineRule="auto" w:line="288" w:before="0" w:after="120"/>
        <w:ind w:left="0" w:right="0" w:firstLine="144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Reimbursement of Expenses</w:t>
      </w:r>
      <w:r>
        <w:rPr>
          <w:rFonts w:ascii="Times New Roman;serif" w:hAnsi="Times New Roman;serif"/>
          <w:b w:val="false"/>
          <w:color w:val="000000"/>
          <w:sz w:val="24"/>
        </w:rPr>
        <w:t>. The Company shall reimburse Executive for any reasonable business expenses incurred by Executive in the ordinary course of the Company’s business in accordance with the Company’s reimbursement policies then in effect. These expenses shall be substantiated by invoices and receipts, to be submitted by Executive within 30 days after incurrence.</w:t>
      </w:r>
    </w:p>
    <w:p>
      <w:pPr>
        <w:pStyle w:val="TextBody"/>
        <w:bidi w:val="0"/>
        <w:spacing w:lineRule="auto" w:line="288" w:before="0" w:after="120"/>
        <w:ind w:left="0" w:right="0" w:firstLine="144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Benefits</w:t>
      </w:r>
      <w:r>
        <w:rPr>
          <w:rFonts w:ascii="Times New Roman;serif" w:hAnsi="Times New Roman;serif"/>
          <w:b w:val="false"/>
          <w:color w:val="000000"/>
          <w:sz w:val="24"/>
        </w:rPr>
        <w:t>. During the Term, Executive shall be entitled to participate in all benefits of employment generally available to the Company’s other similarly situated employees when and as such benefits, if any, become available and Executive becomes eligible for them, including any vacation, sick leave, medical, dental, life and disability insurance benefits, long term incentive plan and/or profit-sharing plan. In addition, in connection with Executive’s employment, Executive has received and may in the future be eligible to receive, from time to time, grants of stock options or other equity-based incentives that will vest over time or based on performance milestones or other criteria. The continued vesting of all such equity incentives will be subject to Executive’s continued service to the Company through each applicable vesting date, and in the event Executive’s continued service to the Company is terminated for any reason, all further vesting of such equity incentives will cease as of the date of such termination. The equity incentives will be subject to the terms and conditions of the Company’s Amended and Restated Equity Incentive Plan, as amended (the “Plan”), and a stock option agreement (or other type of agreement for equity incentives that are not stock options) to be entered into between Executive and the Company. That agreement will include such purchase, forfeiture, vesting and other customary provisions as may be required under such equity incentive plan or otherwise approved by the Board of Directors.</w:t>
      </w:r>
    </w:p>
    <w:p>
      <w:pPr>
        <w:pStyle w:val="TextBody"/>
        <w:bidi w:val="0"/>
        <w:spacing w:lineRule="auto" w:line="288" w:before="0" w:after="0"/>
        <w:ind w:left="0" w:right="0" w:firstLine="1440"/>
        <w:jc w:val="left"/>
        <w:rPr/>
      </w:pPr>
      <w:r>
        <w:rPr>
          <w:rFonts w:ascii="Times New Roman;serif" w:hAnsi="Times New Roman;serif"/>
          <w:b w:val="false"/>
          <w:color w:val="000000"/>
          <w:sz w:val="24"/>
        </w:rPr>
        <w:t>(e)     </w:t>
      </w:r>
      <w:r>
        <w:rPr>
          <w:rFonts w:ascii="Times New Roman;serif" w:hAnsi="Times New Roman;serif"/>
          <w:b w:val="false"/>
          <w:color w:val="000000"/>
          <w:sz w:val="24"/>
          <w:u w:val="single"/>
        </w:rPr>
        <w:t>Vacation</w:t>
      </w:r>
      <w:r>
        <w:rPr>
          <w:rFonts w:ascii="Times New Roman;serif" w:hAnsi="Times New Roman;serif"/>
          <w:b w:val="false"/>
          <w:color w:val="000000"/>
          <w:sz w:val="24"/>
        </w:rPr>
        <w:t>. During the Term, Executive shall be entitled to the reasonable use of unlimited vacation per the Company’s Discretionary Vacation Policy. Such vacation time will be taken in accordance with the Company's vacation policies. Executive will use his reasonable efforts to schedule vacation periods to minimize disruption of the Company’s business. Vacation time will not be accrued.</w:t>
      </w:r>
    </w:p>
    <w:p>
      <w:pPr>
        <w:pStyle w:val="TextBody"/>
        <w:bidi w:val="0"/>
        <w:spacing w:lineRule="auto" w:line="288" w:before="0" w:after="120"/>
        <w:ind w:left="0" w:right="0" w:firstLine="144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Withholding</w:t>
      </w:r>
      <w:r>
        <w:rPr>
          <w:rFonts w:ascii="Times New Roman;serif" w:hAnsi="Times New Roman;serif"/>
          <w:b w:val="false"/>
          <w:color w:val="000000"/>
          <w:sz w:val="24"/>
        </w:rPr>
        <w:t>. Executive authorizes the Company to make any and all applicable withholdings of federal and state taxes and other items the Company may be required to deduct, as such items may exist under this Agreement or otherwise from time to time.</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144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Freedom to Contract</w:t>
      </w:r>
      <w:r>
        <w:rPr>
          <w:rFonts w:ascii="Times New Roman;serif" w:hAnsi="Times New Roman;serif"/>
          <w:b w:val="false"/>
          <w:color w:val="000000"/>
          <w:sz w:val="24"/>
        </w:rPr>
        <w:t>. The Executive represents and warrants that Executive has the right to enter into this Agreement, that Executive is eligible for employment by the Company and that no other written or verbal agreements exist that would be in conflict with or prevent performance of any portion of this Agreement. The Executive further agrees to hold the Company harmless from any and all liability arising out of any contractual obligations entered into by the Executive that would prevent Executive from performing the services Executive is required to perform under this Agreement.</w:t>
      </w:r>
    </w:p>
    <w:p>
      <w:pPr>
        <w:pStyle w:val="TextBody"/>
        <w:bidi w:val="0"/>
        <w:spacing w:lineRule="auto" w:line="288" w:before="0" w:after="120"/>
        <w:ind w:left="0" w:right="0" w:firstLine="1440"/>
        <w:jc w:val="left"/>
        <w:rPr/>
      </w:pPr>
      <w:r>
        <w:rPr>
          <w:rFonts w:ascii="Times New Roman;serif" w:hAnsi="Times New Roman;serif"/>
          <w:b w:val="false"/>
          <w:color w:val="000000"/>
          <w:sz w:val="24"/>
        </w:rPr>
        <w:t>(h)     </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The Parties intend that the benefits provided in this Agreement qualify for the exceptions from coverage under Section 409A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(and the regulations or other applicable guidance issued pursuant to the Code), such as the exception for “short-term deferrals” under Treas. Reg. Section 1.409A-1(b)(4) and the exception for “involuntary” separation pay plans under Treas. Reg. Section 1.409A-1(b)(9)(iii). To the extent Code Section 409A is applicable to this Agreement and the benefits provided hereunder, the Company intends that this Agreement comply with the deferral, payout and other limitations and restrictions imposed under Code Section 409A. Without limiting the generality of the foregoing and notwithstanding any other provision of this Agreement to the contrary, (i) with respect to any payments and benefits under this Agreement to which Code Section 409A applies, all references in this Agreement to the termination date or other termination of Executive’s employment are intended to mean Executive’s “separation from service” within the meaning of Code Section 409A(a)(2)(A)(i), and (ii) each payment made under this Agreement shall be treated as a separate payment and the right to a series of installment payments under this Agreement, including, without limitation, under Sections 4(c) and (d), shall be treated as a right to a series of separate payments. In addition, if Executive is a “specified employee” within the meaning of Code Section 409A at the time of Executive’s separation from service, then to the extent necessary to avoid subjecting Executive to the imposition of any additional tax under Code Section 409A, amounts that would otherwise be payable under this Agreement during the six-month period immediately following Executive’s “separation from service” shall not be paid to Executive during such period, but shall instead be accumulated and paid to Executive in a lump sum on the first business day after the earlier of the date that is six months following Executive’s separation from service. Notwithstanding the foregoing, no provision of this Agreement shall be interpreted or construed to transfer any liability for failure to comply with Section 409A from Executive or any other individual to the Company or any of its Affiliates.</w:t>
      </w:r>
    </w:p>
    <w:p>
      <w:pPr>
        <w:pStyle w:val="TextBody"/>
        <w:bidi w:val="0"/>
        <w:spacing w:lineRule="auto" w:line="288" w:before="0" w:after="120"/>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88" w:before="0" w:after="12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this Agreement shall be one (1) year commencing on the Effective Date, unless terminated earlier pursuant to the terms herein (the “Initial Term”). Unless earlier terminated pursuant to the terms hereof, the Initial Term shall be automatically extended for additional one-year terms (each, a “</w:t>
      </w:r>
      <w:r>
        <w:rPr>
          <w:rFonts w:ascii="Times New Roman;serif" w:hAnsi="Times New Roman;serif"/>
          <w:b w:val="false"/>
          <w:color w:val="000000"/>
          <w:sz w:val="24"/>
          <w:u w:val="single"/>
        </w:rPr>
        <w:t>Renewal Term</w:t>
      </w:r>
      <w:r>
        <w:rPr>
          <w:color w:val="000000"/>
        </w:rPr>
        <w:t>”</w:t>
      </w:r>
      <w:r>
        <w:rPr>
          <w:rFonts w:ascii="Times New Roman;serif" w:hAnsi="Times New Roman;serif"/>
          <w:b w:val="false"/>
          <w:color w:val="000000"/>
          <w:sz w:val="24"/>
        </w:rPr>
        <w:t xml:space="preserve">) upon the expiration of the Initial Term or any Renewal Term, unless the Company or Executive delivers to the other at least thirty (30) days prior to the expiration of the Initial Term or the then-current Renewal Term, as the case may be, a written notice specifying that the term of Executive’s employment will not be renewed at the end of the Initial Term or the then-current Renewal Term, as the case may be. The Initial Term or, in the event that Executive’s employment hereunder is terminated earlier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pPr>
      <w:r>
        <w:rPr>
          <w:rFonts w:ascii="Times New Roman;serif" w:hAnsi="Times New Roman;serif"/>
          <w:b w:val="false"/>
          <w:color w:val="000000"/>
          <w:sz w:val="24"/>
        </w:rPr>
        <w:t xml:space="preserve">pursuant to the terms hereof or renewed pursuant to this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such shorter or longer period, as the case may be, is referred to herein as the “</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88" w:before="0" w:after="12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Discharge For Cause</w:t>
      </w:r>
      <w:r>
        <w:rPr>
          <w:rFonts w:ascii="Times New Roman;serif" w:hAnsi="Times New Roman;serif"/>
          <w:b w:val="false"/>
          <w:color w:val="000000"/>
          <w:sz w:val="24"/>
        </w:rPr>
        <w:t xml:space="preserve">. If Executive’s employment is terminated by the Company as a Discharge for Cause, the Company has no further obligation of compensation to the Executive hereunder, except for payment of any base salary compensation, any accrued or vested benefits, and out of pocket expense reimbursement earned (pursuant to </w:t>
      </w:r>
      <w:r>
        <w:rPr>
          <w:rFonts w:ascii="Times New Roman;serif" w:hAnsi="Times New Roman;serif"/>
          <w:b w:val="false"/>
          <w:color w:val="000000"/>
          <w:sz w:val="24"/>
          <w:u w:val="single"/>
        </w:rPr>
        <w:t>Sections 3(a)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respectively) and unpaid through the effective date of termination, which, except as otherwise required by law, shall be a date selected at the discretion of the Company. Executive will no longer be eligible for bonus for period prior to termination.</w:t>
      </w:r>
    </w:p>
    <w:p>
      <w:pPr>
        <w:pStyle w:val="TextBody"/>
        <w:bidi w:val="0"/>
        <w:spacing w:lineRule="auto" w:line="288" w:before="0" w:after="120"/>
        <w:ind w:left="0" w:right="0" w:firstLine="144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Discharge Without Cause</w:t>
      </w:r>
      <w:r>
        <w:rPr>
          <w:rFonts w:ascii="Times New Roman;serif" w:hAnsi="Times New Roman;serif"/>
          <w:b w:val="false"/>
          <w:color w:val="000000"/>
          <w:sz w:val="24"/>
        </w:rPr>
        <w:t xml:space="preserve">. If Executive’s employment is terminated by the Company as a Discharge Without Cause, the Company shall continue, subject to Executive’s compliance with the obligations set forth in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rFonts w:ascii="Times New Roman;serif" w:hAnsi="Times New Roman;serif"/>
          <w:b w:val="false"/>
          <w:color w:val="000000"/>
          <w:sz w:val="24"/>
        </w:rPr>
        <w:t>, to pay to Executive an amount equal to Executive’s base salary, as provided in Section 3(a), at the annual rate in effect at the time of termination, for a period equal to six (6) months from the date of such termination (“</w:t>
      </w:r>
      <w:r>
        <w:rPr>
          <w:rFonts w:ascii="Times New Roman;serif" w:hAnsi="Times New Roman;serif"/>
          <w:b w:val="false"/>
          <w:color w:val="000000"/>
          <w:sz w:val="24"/>
          <w:u w:val="single"/>
        </w:rPr>
        <w:t>Without Cause Severance Pay</w:t>
      </w:r>
      <w:r>
        <w:rPr>
          <w:color w:val="000000"/>
        </w:rPr>
        <w:t>”</w:t>
      </w:r>
      <w:r>
        <w:rPr>
          <w:rFonts w:ascii="Times New Roman;serif" w:hAnsi="Times New Roman;serif"/>
          <w:b w:val="false"/>
          <w:color w:val="000000"/>
          <w:sz w:val="24"/>
        </w:rPr>
        <w:t xml:space="preserve">). Without Cause Severance Pay shall also include, in addition to the foregoing, all amounts of base salary compensation, any accrued or vested benefits, and expense reimbursement earned to the effective date of termination but not yet paid by the Company. In addition, if the Executive is terminated in a Discharge Without Cause in the fourth calendar quarter of a year and the Executive and Company achieves the financial objectives on which Executive’s Annual Bonus for such year is based, then Executive shall be eligible to receive a pro-rata share of the Annual Bonus for such (pro-rata based on number of days Executive is employed by the Company in the year of his termination). Other than the foregoing, Executive shall not be entitled to any compensation hereunder for subsequent periods upon Executive’s termination of employment upon a Discharge Without Cause. Without Cause Severance Pay shall be payable to Executive in accordance with the Company’s general payroll practices as the same may exist from time to time. Without Cause Severance Pay will be paid to Executive in equal installments in accordance with the Company’s regular payroll schedule, commencing on the first normal payroll date of the Company following the Release Effective Date (as defined below) and continuing for the applicable period thereafter, with any amounts that otherwise would have been payable prior to the Release Effective Date being added to the initial installment. Other than Executive’s claims for earned amounts required to be paid, as a condition to receiving Without Cause Severance Pay, Executive shall execute a release of claims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and the effective date of such release shall be referred to herein as the “</w:t>
      </w:r>
      <w:r>
        <w:rPr>
          <w:rFonts w:ascii="Times New Roman;serif" w:hAnsi="Times New Roman;serif"/>
          <w:b w:val="false"/>
          <w:color w:val="000000"/>
          <w:sz w:val="24"/>
          <w:u w:val="single"/>
        </w:rPr>
        <w:t>Release Effective Date</w:t>
      </w:r>
      <w:r>
        <w:rPr>
          <w:color w:val="000000"/>
        </w:rPr>
        <w:t>”</w:t>
      </w:r>
      <w:r>
        <w:rPr>
          <w:rFonts w:ascii="Times New Roman;serif" w:hAnsi="Times New Roman;serif"/>
          <w:b w:val="false"/>
          <w:color w:val="000000"/>
          <w:sz w:val="24"/>
        </w:rPr>
        <w:t>) within 30 days following the date of Executive’s Discharge Without Cause.</w:t>
      </w:r>
    </w:p>
    <w:p>
      <w:pPr>
        <w:pStyle w:val="TextBody"/>
        <w:bidi w:val="0"/>
        <w:spacing w:lineRule="auto" w:line="288" w:before="0" w:after="120"/>
        <w:ind w:left="0" w:right="0" w:firstLine="144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Resignation For Good Reason</w:t>
      </w:r>
      <w:r>
        <w:rPr>
          <w:rFonts w:ascii="Times New Roman;serif" w:hAnsi="Times New Roman;serif"/>
          <w:b w:val="false"/>
          <w:color w:val="000000"/>
          <w:sz w:val="24"/>
        </w:rPr>
        <w:t xml:space="preserve">. Executive’s employment may be immediately terminated by Executive, subject to the notice and time limitations set forth in </w:t>
      </w:r>
      <w:r>
        <w:rPr>
          <w:rFonts w:ascii="Times New Roman;serif" w:hAnsi="Times New Roman;serif"/>
          <w:b w:val="false"/>
          <w:color w:val="000000"/>
          <w:sz w:val="24"/>
          <w:u w:val="single"/>
        </w:rPr>
        <w:t>Section 1(o)</w:t>
      </w:r>
      <w:r>
        <w:rPr>
          <w:rFonts w:ascii="Times New Roman;serif" w:hAnsi="Times New Roman;serif"/>
          <w:b w:val="false"/>
          <w:color w:val="000000"/>
          <w:sz w:val="24"/>
        </w:rPr>
        <w:t xml:space="preserve">, upon written notice to the Company of a Resignation For Good Reason. Upon termination pursuant to this </w:t>
      </w:r>
      <w:r>
        <w:rPr>
          <w:rFonts w:ascii="Times New Roman;serif" w:hAnsi="Times New Roman;serif"/>
          <w:b w:val="false"/>
          <w:color w:val="000000"/>
          <w:sz w:val="24"/>
          <w:u w:val="single"/>
        </w:rPr>
        <w:t>Section 4(d)</w:t>
      </w:r>
      <w:r>
        <w:rPr>
          <w:rFonts w:ascii="Times New Roman;serif" w:hAnsi="Times New Roman;serif"/>
          <w:b w:val="false"/>
          <w:color w:val="000000"/>
          <w:sz w:val="24"/>
        </w:rPr>
        <w:t xml:space="preserve">, the Company shall continue to pay Executive an amount equal to Executive’s base salary, as provided in </w:t>
      </w:r>
      <w:r>
        <w:rPr>
          <w:rFonts w:ascii="Times New Roman;serif" w:hAnsi="Times New Roman;serif"/>
          <w:b w:val="false"/>
          <w:color w:val="000000"/>
          <w:sz w:val="24"/>
          <w:u w:val="single"/>
        </w:rPr>
        <w:t>Section 3(a)</w:t>
      </w:r>
      <w:r>
        <w:rPr>
          <w:rFonts w:ascii="Times New Roman;serif" w:hAnsi="Times New Roman;serif"/>
          <w:b w:val="false"/>
          <w:color w:val="000000"/>
          <w:sz w:val="24"/>
        </w:rPr>
        <w:t>, at the annual rate in effect at the time of termination, for a period equal to six (6) months from the date of such termination (“</w:t>
      </w:r>
      <w:r>
        <w:rPr>
          <w:rFonts w:ascii="Times New Roman;serif" w:hAnsi="Times New Roman;serif"/>
          <w:b w:val="false"/>
          <w:color w:val="000000"/>
          <w:sz w:val="24"/>
          <w:u w:val="single"/>
        </w:rPr>
        <w:t>Good Reason Severance Pay</w:t>
      </w:r>
      <w:r>
        <w:rPr>
          <w:color w:val="000000"/>
        </w:rPr>
        <w:t>”</w:t>
      </w:r>
      <w:r>
        <w:rPr>
          <w:rFonts w:ascii="Times New Roman;serif" w:hAnsi="Times New Roman;serif"/>
          <w:b w:val="false"/>
          <w:color w:val="000000"/>
          <w:sz w:val="24"/>
        </w:rPr>
        <w:t xml:space="preserve">). Good Reason Severance Pay shall also include, in addition to the foregoing, all amounts of base salary compensation, any accrued or vested benefits, and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expense reimbursement earned to the effective date of termination but not yet paid by the Company. In addition, if the Executive resigns for Good Reason in the fourth calendar quarter of a year and the Company achieves the financial objectives on which Executive’s Annual Bonus for such year is based, then Executive shall be eligible to receive a pro-rata share of the Annual Bonus for such (pro-rata based on number of days Executive is employed by the Company in the year of his termination). Such eligibility is not available if the Resignation for Good Reason is in lieu of a Termination for Cause as determined by the Board of Directors. Other than the foregoing, Executive shall not be entitled to any payment upon Executive’s termination of employment upon a Resignation For Good Reason. Good Reason Severance Pay shall be payable in accordance with the Company’s general payroll practices as the same may exist from time to time. Good Reason Severance Pay will be paid to Executive in equal installments in accordance with the Company’s regular payroll schedule, commencing on the first normal payroll date of the Company following the Release Effective Date and continuing for the applicable period thereafter, with any amounts that otherwise would have been payable prior to such effective date being added to the initial installment. Other than Executive’s claims for earned amounts required to be paid, as a condition to receiving Good Reason Severance Pay, Executive shall execute a Release within 30 days following the date of Executive’s Resignation For Good Reason.</w:t>
      </w:r>
    </w:p>
    <w:p>
      <w:pPr>
        <w:pStyle w:val="TextBody"/>
        <w:bidi w:val="0"/>
        <w:spacing w:lineRule="auto" w:line="288" w:before="0" w:after="120"/>
        <w:ind w:left="0" w:right="0" w:firstLine="1440"/>
        <w:jc w:val="left"/>
        <w:rPr/>
      </w:pPr>
      <w:r>
        <w:rPr>
          <w:rFonts w:ascii="Times New Roman;serif" w:hAnsi="Times New Roman;serif"/>
          <w:b w:val="false"/>
          <w:color w:val="000000"/>
          <w:sz w:val="24"/>
        </w:rPr>
        <w:t>(e)     </w:t>
      </w:r>
      <w:r>
        <w:rPr>
          <w:rFonts w:ascii="Times New Roman;serif" w:hAnsi="Times New Roman;serif"/>
          <w:b w:val="false"/>
          <w:color w:val="000000"/>
          <w:sz w:val="24"/>
          <w:u w:val="single"/>
        </w:rPr>
        <w:t>Termination Upon Death</w:t>
      </w:r>
      <w:r>
        <w:rPr>
          <w:rFonts w:ascii="Times New Roman;serif" w:hAnsi="Times New Roman;serif"/>
          <w:b w:val="false"/>
          <w:color w:val="000000"/>
          <w:sz w:val="24"/>
        </w:rPr>
        <w:t>. This Agreement shall be immediately terminated without action or notice by either party upon the death of Executive and without further obligation by the Company, except for payment of all amounts of base salary compensation and expense reimbursement accrued to the effective date of termination, and except as otherwise required by law.</w:t>
      </w:r>
    </w:p>
    <w:p>
      <w:pPr>
        <w:pStyle w:val="TextBody"/>
        <w:bidi w:val="0"/>
        <w:spacing w:lineRule="auto" w:line="288" w:before="0" w:after="120"/>
        <w:ind w:left="0" w:right="0" w:firstLine="1440"/>
        <w:jc w:val="left"/>
        <w:rPr/>
      </w:pPr>
      <w:r>
        <w:rPr>
          <w:rFonts w:ascii="Times New Roman;serif" w:hAnsi="Times New Roman;serif"/>
          <w:b w:val="false"/>
          <w:color w:val="000000"/>
          <w:sz w:val="24"/>
        </w:rPr>
        <w:t xml:space="preserve">(f) Termination Upon Permanent Disability. Executive’s employment under this Agreement may be immediately terminated by the Company upon written notice of a termination for the permanent disability of Executive. Upon termination pursuant to this </w:t>
      </w:r>
      <w:r>
        <w:rPr>
          <w:rFonts w:ascii="Times New Roman;serif" w:hAnsi="Times New Roman;serif"/>
          <w:b w:val="false"/>
          <w:color w:val="000000"/>
          <w:sz w:val="24"/>
          <w:u w:val="single"/>
        </w:rPr>
        <w:t>Section 3(f)</w:t>
      </w:r>
      <w:r>
        <w:rPr>
          <w:rFonts w:ascii="Times New Roman;serif" w:hAnsi="Times New Roman;serif"/>
          <w:b w:val="false"/>
          <w:color w:val="000000"/>
          <w:sz w:val="24"/>
        </w:rPr>
        <w:t>, the Company shall have no further obligation to Executive, except payment of all amounts of base salary compensation and expense reimbursement accrued to the effective date of termination, except as otherwise required by law.</w:t>
      </w:r>
    </w:p>
    <w:p>
      <w:pPr>
        <w:pStyle w:val="TextBody"/>
        <w:bidi w:val="0"/>
        <w:spacing w:lineRule="auto" w:line="288" w:before="0" w:after="0"/>
        <w:ind w:left="0" w:right="0" w:firstLine="144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Termination by Executive other than a Resignation for Good Reason</w:t>
      </w:r>
      <w:r>
        <w:rPr>
          <w:rFonts w:ascii="Times New Roman;serif" w:hAnsi="Times New Roman;serif"/>
          <w:b w:val="false"/>
          <w:color w:val="000000"/>
          <w:sz w:val="24"/>
        </w:rPr>
        <w:t>.</w:t>
      </w:r>
    </w:p>
    <w:p>
      <w:pPr>
        <w:pStyle w:val="TextBody"/>
        <w:bidi w:val="0"/>
        <w:spacing w:lineRule="auto" w:line="288" w:before="0" w:after="120"/>
        <w:jc w:val="left"/>
        <w:rPr/>
      </w:pPr>
      <w:r>
        <w:rPr>
          <w:rFonts w:ascii="Times New Roman;serif" w:hAnsi="Times New Roman;serif"/>
          <w:b w:val="false"/>
          <w:color w:val="000000"/>
          <w:sz w:val="24"/>
        </w:rPr>
        <w:t xml:space="preserve">Executive shall have the right to terminate his employment with the Company for any reason or for no reason; provided, that if such termination does not constitute a Resignation for Good Reason, Executive shall provide thirty (30) days’ prior written notice to the Company of such termination. Upon termination pursuant to this </w:t>
      </w:r>
      <w:r>
        <w:rPr>
          <w:rFonts w:ascii="Times New Roman;serif" w:hAnsi="Times New Roman;serif"/>
          <w:b w:val="false"/>
          <w:color w:val="000000"/>
          <w:sz w:val="24"/>
          <w:u w:val="single"/>
        </w:rPr>
        <w:t>Section 3(g)</w:t>
      </w:r>
      <w:r>
        <w:rPr>
          <w:rFonts w:ascii="Times New Roman;serif" w:hAnsi="Times New Roman;serif"/>
          <w:b w:val="false"/>
          <w:color w:val="000000"/>
          <w:sz w:val="24"/>
        </w:rPr>
        <w:t>, the Company shall have no further obligation to Executive, except payment of all amounts of base salary compensation and expense reimbursement accrued to the effective date of termination, except as otherwise required by law.</w:t>
      </w:r>
    </w:p>
    <w:p>
      <w:pPr>
        <w:pStyle w:val="TextBody"/>
        <w:bidi w:val="0"/>
        <w:spacing w:lineRule="auto" w:line="288" w:before="0" w:after="120"/>
        <w:ind w:left="0" w:right="0" w:firstLine="1440"/>
        <w:jc w:val="left"/>
        <w:rPr/>
      </w:pPr>
      <w:r>
        <w:rPr>
          <w:rFonts w:ascii="Times New Roman;serif" w:hAnsi="Times New Roman;serif"/>
          <w:b w:val="false"/>
          <w:color w:val="000000"/>
          <w:sz w:val="24"/>
        </w:rPr>
        <w:t>(h)     </w:t>
      </w:r>
      <w:r>
        <w:rPr>
          <w:rFonts w:ascii="Times New Roman;serif" w:hAnsi="Times New Roman;serif"/>
          <w:b w:val="false"/>
          <w:color w:val="000000"/>
          <w:sz w:val="24"/>
          <w:u w:val="single"/>
        </w:rPr>
        <w:t>Non-Disclosure and Non-Use of Confidential Information</w:t>
      </w:r>
      <w:r>
        <w:rPr>
          <w:rFonts w:ascii="Times New Roman;serif" w:hAnsi="Times New Roman;serif"/>
          <w:b w:val="false"/>
          <w:color w:val="000000"/>
          <w:sz w:val="24"/>
        </w:rPr>
        <w:t xml:space="preserve">. At all times both during employment of Executive with the Company, and after Executive’s employment relationship with the Company has ended for any reason, Executive agrees that Executive will not, either directly or indirectly, nor will Executive permit any Covered Entity which is Controlled by Executive to, either directly or indirectly, (i) divulge, use, disclose (in any way or in any manner, including by posting on the Internet), reproduce, distribute, or reverse engineer or otherwise provide Confidential Information to any person, firm, corporation, reporter, author, producer or similar person or entity; (ii) take any action that would make available Confidential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Information to the general public in any form; (iii) take any action that uses Confidential Information to solicit any Customer or Prospective Customer; or (iv) take any action that uses Confidential Information for solicitation or marketing for any service or product or on Executive’s behalf or on behalf of any entity other than the Company or any of its Subsidiaries or Affiliates with which Executive may become associated, except (A) as required in connection with the performance of such Executive’s duties to the Company, (B) as required to be included in any report, statement or testimony requested by any municipal, state or national regulatory body having jurisdiction over Executive or any Covered Entity which is Controlled by Executive, (C) as required in response to any summons or subpoena or in connection with any litigation, (D) to the extent necessary in order to comply with any law, order, regulation, ruling or governmental request applicable to Executive or any Covered Entity which is Controlled by Executive, (E) as required in connection with an audit by any taxing authority, or (F) as permitted by the express written consent of the Board of Directors. In the event that Executive or any such Covered Entity that is Controlled by Executive is required to disclose Confidential Information pursuant to the foregoing exceptions, Executive shall promptly notify the Company of such pending disclosure and assist the Company (at the Company’s expense) in seeking a protective order or in objecting to such request, summons or subpoena with regard to the Confidential Information. If the Company does not obtain such relief prior to the time that Executive (or such Covered Entity) is legally compelled to disclose such Confidential Information, Executive (or such Covered Entity) may disclose that portion of the Confidential Information that counsel to Executive advises that Executive is legally compelled to disclose or else stand liable for contempt or suffer censure or penalty. In such cases, Executive shall promptly provide the Company with a copy of the Confidential Information so disclosed. This provision applies without limitation to unauthorized use of Confidential Information in any medium, including film, videotape, audiotape and writings of any kind (including books, articles, e-mails, texts, blogs and websites).</w:t>
      </w:r>
    </w:p>
    <w:p>
      <w:pPr>
        <w:pStyle w:val="TextBody"/>
        <w:bidi w:val="0"/>
        <w:spacing w:lineRule="auto" w:line="288" w:before="0" w:after="0"/>
        <w:ind w:left="0" w:right="0" w:firstLine="1440"/>
        <w:jc w:val="left"/>
        <w:rPr/>
      </w:pPr>
      <w:r>
        <w:rPr>
          <w:rFonts w:ascii="Times New Roman;serif" w:hAnsi="Times New Roman;serif"/>
          <w:b w:val="false"/>
          <w:color w:val="000000"/>
          <w:sz w:val="24"/>
        </w:rPr>
        <w:t>(i)     </w:t>
      </w:r>
      <w:r>
        <w:rPr>
          <w:rFonts w:ascii="Times New Roman;serif" w:hAnsi="Times New Roman;serif"/>
          <w:b w:val="false"/>
          <w:color w:val="000000"/>
          <w:sz w:val="24"/>
          <w:u w:val="single"/>
        </w:rPr>
        <w:t>Other Agreements</w:t>
      </w:r>
      <w:r>
        <w:rPr>
          <w:rFonts w:ascii="Times New Roman;serif" w:hAnsi="Times New Roman;serif"/>
          <w:b w:val="false"/>
          <w:color w:val="000000"/>
          <w:sz w:val="24"/>
        </w:rPr>
        <w:t>. In addition to this Agreement, upon commencement of employment with the Company, Executive agrees to enter into and abide by the Company’s other standard agreements and Company policies that all employees are required to enter into and follow upon commencement of employment, including the Company’s standard form of “At Will Employment, Confidential Information, Invention Assignment and Arbitration Agreement” (the</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At Will Employment Agreement”). This Agreement and the At Will Employment Agreement are intended to be read together, as far as practicable, as one agreement; however, in the event of a conflict between this Agreement and the At Will Employment Agreement, the terms of this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Agreement shall control and will be deemed to supersede the associated conflicting term in the At Will Employment Agreement. Any termination of this Agreement shall not, in itself, terminate the At Will Employment Agreement.</w:t>
      </w:r>
    </w:p>
    <w:p>
      <w:pPr>
        <w:pStyle w:val="TextBody"/>
        <w:bidi w:val="0"/>
        <w:spacing w:lineRule="auto" w:line="288" w:before="0" w:after="120"/>
        <w:ind w:left="0" w:right="0" w:firstLine="1440"/>
        <w:jc w:val="left"/>
        <w:rPr/>
      </w:pPr>
      <w:r>
        <w:rPr>
          <w:rFonts w:ascii="Times New Roman;serif" w:hAnsi="Times New Roman;serif"/>
          <w:b w:val="false"/>
          <w:color w:val="000000"/>
          <w:sz w:val="24"/>
        </w:rPr>
        <w:t>(j)     </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xml:space="preserve">. If Executive ceases to work for the Company for any reason, Executive shall (i) return to the Company all Company property and Confidential Information (and will not keep such Confidential Information in his possession, or recreate or deliver it to anyone else) in any form or media and all copies thereof, (ii) return all Company owned Property including all Confidential Information from any personal devices Executive owns or uses outside the Company and delete all Confidential Information after returning such Confidential Information to the Company from any personal devices Executive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owns or uses outside the Company, and (iii) participate in an exit interview for the purpose of ensuring that the Confidential Information and business relationships will not be put at risk in any new position Executive may assume. If Executive uses a personal device against the advice of the Company to conduct business, that device shall be subject to an inspection by the Company, at a location it designates, to ensure all Confidential Information has been properly removed.</w:t>
      </w:r>
    </w:p>
    <w:p>
      <w:pPr>
        <w:pStyle w:val="TextBody"/>
        <w:bidi w:val="0"/>
        <w:spacing w:lineRule="auto" w:line="288" w:before="0" w:after="120"/>
        <w:ind w:left="0" w:right="0" w:firstLine="1440"/>
        <w:jc w:val="left"/>
        <w:rPr/>
      </w:pPr>
      <w:r>
        <w:rPr>
          <w:rFonts w:ascii="Times New Roman;serif" w:hAnsi="Times New Roman;serif"/>
          <w:b w:val="false"/>
          <w:color w:val="000000"/>
          <w:sz w:val="24"/>
        </w:rPr>
        <w:t>(k)     </w:t>
      </w:r>
      <w:r>
        <w:rPr>
          <w:rFonts w:ascii="Times New Roman;serif" w:hAnsi="Times New Roman;serif"/>
          <w:b w:val="false"/>
          <w:color w:val="000000"/>
          <w:sz w:val="24"/>
          <w:u w:val="single"/>
        </w:rPr>
        <w:t>Non-Competition and Non-Solicitation</w:t>
      </w:r>
      <w:r>
        <w:rPr>
          <w:rFonts w:ascii="Times New Roman;serif" w:hAnsi="Times New Roman;serif"/>
          <w:b w:val="false"/>
          <w:color w:val="000000"/>
          <w:sz w:val="24"/>
        </w:rPr>
        <w:t>.</w:t>
      </w:r>
    </w:p>
    <w:p>
      <w:pPr>
        <w:pStyle w:val="TextBody"/>
        <w:bidi w:val="0"/>
        <w:spacing w:lineRule="auto" w:line="288" w:before="0" w:after="120"/>
        <w:ind w:left="0" w:right="0" w:firstLine="2160"/>
        <w:jc w:val="left"/>
        <w:rPr/>
      </w:pPr>
      <w:r>
        <w:rPr>
          <w:rFonts w:ascii="Times New Roman;serif" w:hAnsi="Times New Roman;serif"/>
          <w:b w:val="false"/>
          <w:color w:val="000000"/>
          <w:sz w:val="24"/>
        </w:rPr>
        <w:t>(i)     In recognition of the consideration set forth herein, the sufficiency of which is hereby acknowledged, Executive hereby covenants and agrees that, subject to extension as set forth below, while employed during the Term and for one (1) year after Executive’s termination of employment for any reason (the “</w:t>
      </w:r>
      <w:r>
        <w:rPr>
          <w:rFonts w:ascii="Times New Roman;serif" w:hAnsi="Times New Roman;serif"/>
          <w:b w:val="false"/>
          <w:color w:val="000000"/>
          <w:sz w:val="24"/>
          <w:u w:val="single"/>
        </w:rPr>
        <w:t>Non-Compete Term</w:t>
      </w:r>
      <w:r>
        <w:rPr>
          <w:color w:val="000000"/>
        </w:rPr>
        <w:t>”</w:t>
      </w:r>
      <w:r>
        <w:rPr>
          <w:rFonts w:ascii="Times New Roman;serif" w:hAnsi="Times New Roman;serif"/>
          <w:b w:val="false"/>
          <w:color w:val="000000"/>
          <w:sz w:val="24"/>
        </w:rPr>
        <w:t xml:space="preserve">), Executive shall not, either directly or indirectly, individually or by or through any Covered Entity, whether for consideration or otherwise: (1) engage in (except on behalf of the Company or any of its Subsidiaries or Affiliates), or compete with the Company or any of its Subsidiaries or Affiliates in, a Competing Business anywhere in the Territory; or (2) form or assist others in forming, be employed by, perform services for, become an officer, director, member or partner of, or participant in, or consultant or independent contractor to, invest in or own any interest in (whether through equity or debt securities), assist (financially or otherwise) or lend Executive’s name, counsel or assistance to any entity engaged in a Competing Business anywhere in the Territory. Notwithstanding the foregoing, Executive’s continuance of service in the Existing Board Positions shall not be a violation of this </w:t>
      </w:r>
      <w:r>
        <w:rPr>
          <w:rFonts w:ascii="Times New Roman;serif" w:hAnsi="Times New Roman;serif"/>
          <w:b w:val="false"/>
          <w:color w:val="000000"/>
          <w:sz w:val="24"/>
          <w:u w:val="single"/>
        </w:rPr>
        <w:t>Section 4(k)</w:t>
      </w:r>
      <w:r>
        <w:rPr>
          <w:rFonts w:ascii="Times New Roman;serif" w:hAnsi="Times New Roman;serif"/>
          <w:b w:val="false"/>
          <w:color w:val="000000"/>
          <w:sz w:val="24"/>
        </w:rPr>
        <w:t>.</w:t>
      </w:r>
    </w:p>
    <w:p>
      <w:pPr>
        <w:pStyle w:val="TextBody"/>
        <w:bidi w:val="0"/>
        <w:spacing w:lineRule="auto" w:line="288" w:before="0" w:after="120"/>
        <w:ind w:left="0" w:right="0" w:firstLine="2160"/>
        <w:jc w:val="left"/>
        <w:rPr/>
      </w:pPr>
      <w:r>
        <w:rPr>
          <w:rFonts w:ascii="Times New Roman;serif" w:hAnsi="Times New Roman;serif"/>
          <w:b w:val="false"/>
          <w:color w:val="000000"/>
          <w:sz w:val="24"/>
        </w:rPr>
        <w:t xml:space="preserve">(ii)     Also in recognition of the consideration set forth herein, Executive hereby covenants and agrees that, during the Non-Compete Term, Executive shall not, either directly or indirectly, individually or by or through any Covered Entity, whether for consideration or otherwise: (A) solicit or accept business from any Customer or Prospective Customer, in each case, for the purpose of providing goods or services in a Competing Business, (B) solicit or induce any Customer to terminate, reduce or alter, in a manner adverse to the Company, any existing business arrangement or agreement with the Company, or (C) solicit, hire, attempt to solicit or attempt to hire any person who is or was an employee, third party consultant or independent contractor of the Company or any of its Subsidiaries or Affiliates at any time during the 24 months prior to such solicitation or hiring. The restrictions set forth in this </w:t>
      </w:r>
      <w:r>
        <w:rPr>
          <w:rFonts w:ascii="Times New Roman;serif" w:hAnsi="Times New Roman;serif"/>
          <w:b w:val="false"/>
          <w:color w:val="000000"/>
          <w:sz w:val="24"/>
          <w:u w:val="single"/>
        </w:rPr>
        <w:t>Section 4(k)(ii)</w:t>
      </w:r>
      <w:r>
        <w:rPr>
          <w:color w:val="000000"/>
        </w:rPr>
        <w:t xml:space="preserve"> </w:t>
      </w:r>
      <w:r>
        <w:rPr>
          <w:rFonts w:ascii="Times New Roman;serif" w:hAnsi="Times New Roman;serif"/>
          <w:b w:val="false"/>
          <w:color w:val="000000"/>
          <w:sz w:val="24"/>
        </w:rPr>
        <w:t>shall not prohibit any form of general advertising or solicitation that is not directed at a specific person or entity and does not relate to a Competing Business.</w:t>
      </w:r>
    </w:p>
    <w:p>
      <w:pPr>
        <w:pStyle w:val="TextBody"/>
        <w:bidi w:val="0"/>
        <w:spacing w:lineRule="auto" w:line="288" w:before="0" w:after="120"/>
        <w:ind w:left="0" w:right="0" w:firstLine="2160"/>
        <w:jc w:val="left"/>
        <w:rPr/>
      </w:pPr>
      <w:r>
        <w:rPr>
          <w:rFonts w:ascii="Times New Roman;serif" w:hAnsi="Times New Roman;serif"/>
          <w:b w:val="false"/>
          <w:color w:val="000000"/>
          <w:sz w:val="24"/>
        </w:rPr>
        <w:t xml:space="preserve">(iii)     Executive agrees that the payment of any severance, including Without Cause Severance Pay or Good Reason Severance Pay, is conditioned on Executive’s compliance with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4(j)</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4(k)</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4(l)</w:t>
      </w:r>
      <w:r>
        <w:rPr>
          <w:color w:val="000000"/>
        </w:rPr>
        <w:t xml:space="preserve"> </w:t>
      </w:r>
      <w:r>
        <w:rPr>
          <w:rFonts w:ascii="Times New Roman;serif" w:hAnsi="Times New Roman;serif"/>
          <w:b w:val="false"/>
          <w:color w:val="000000"/>
          <w:sz w:val="24"/>
        </w:rPr>
        <w:t>and that, if Executive breaches any of those sections, Executive (A) forfeits his rights to receive any Without Cause Severance Pay or Good Reason Severance Pay and (B) will repay, or cause to be repaid, to the Company the full amount of any severance, including Without Cause Severance Pay or Good Reason Severance Pay paid by the Company to him prior to the date of such breach.</w:t>
      </w:r>
    </w:p>
    <w:p>
      <w:pPr>
        <w:pStyle w:val="TextBody"/>
        <w:bidi w:val="0"/>
        <w:spacing w:lineRule="auto" w:line="288" w:before="0" w:after="120"/>
        <w:ind w:left="0" w:right="0" w:firstLine="1440"/>
        <w:jc w:val="left"/>
        <w:rPr/>
      </w:pPr>
      <w:r>
        <w:rPr>
          <w:rFonts w:ascii="Times New Roman;serif" w:hAnsi="Times New Roman;serif"/>
          <w:b w:val="false"/>
          <w:color w:val="000000"/>
          <w:sz w:val="24"/>
        </w:rPr>
        <w:t>(l)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The Executive agrees that, during the Term and thereafter, the Executive will make no disparaging or detrimental comments about the Company or its Affiliates or any of their respective officers, directors, managers, employees or agents, nor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will the Executive authorize, encourage or participate with anyone on the Executive’s behalf to make such statements.</w:t>
      </w:r>
    </w:p>
    <w:p>
      <w:pPr>
        <w:pStyle w:val="TextBody"/>
        <w:bidi w:val="0"/>
        <w:spacing w:lineRule="auto" w:line="288" w:before="0" w:after="120"/>
        <w:ind w:left="0" w:right="0" w:firstLine="1440"/>
        <w:jc w:val="left"/>
        <w:rPr/>
      </w:pPr>
      <w:r>
        <w:rPr>
          <w:rFonts w:ascii="Times New Roman;serif" w:hAnsi="Times New Roman;serif"/>
          <w:b w:val="false"/>
          <w:color w:val="000000"/>
          <w:sz w:val="24"/>
        </w:rPr>
        <w:t>(m)     </w:t>
      </w:r>
      <w:r>
        <w:rPr>
          <w:rFonts w:ascii="Times New Roman;serif" w:hAnsi="Times New Roman;serif"/>
          <w:b w:val="false"/>
          <w:color w:val="000000"/>
          <w:sz w:val="24"/>
          <w:u w:val="single"/>
        </w:rPr>
        <w:t>Change in Control Severance</w:t>
      </w:r>
      <w:r>
        <w:rPr>
          <w:rFonts w:ascii="Times New Roman;serif" w:hAnsi="Times New Roman;serif"/>
          <w:b w:val="false"/>
          <w:color w:val="000000"/>
          <w:sz w:val="24"/>
        </w:rPr>
        <w:t>. If a Change in Control shall occur and within one (1) year after the date of the occurrence of such Change in Control Executive’s employment is terminated by the Company as a Discharge Without Cause or Executive shall terminate Executive’s employment pursuant to a Resignation for Good Reason (in either case, a “Change in Control Severance”), then subject to Executive’s execution of the Release and in lieu of the benefits otherwise set forth in this Section 4: (i) The Company shall pay Executive within thirty (30) days of the Date of Termination (but not earlier than the date on which the Release becomes irrevocable) a lump sum payment equal to (A) one year of Executive’s annual Base Salary; (B) the Annual Bonus Executive would receive for the year of termination assuming target individual and Company performance; and (C) the one year cost of continued medical, dental and vision benefits (but no other benefits) at the same level as if Executive remained actively employed during the Change in Control severance period, and (ii) all outstanding stock options and other equity incentives issued by the Company to Executive which are subject to vesting over time based on length of service with the Company shall automatically become fully vested when the Release is effective and becomes irrevocable.</w:t>
      </w:r>
    </w:p>
    <w:p>
      <w:pPr>
        <w:pStyle w:val="TextBody"/>
        <w:bidi w:val="0"/>
        <w:spacing w:lineRule="auto" w:line="288" w:before="0" w:after="120"/>
        <w:ind w:left="0" w:right="0" w:firstLine="1440"/>
        <w:jc w:val="left"/>
        <w:rPr/>
      </w:pPr>
      <w:r>
        <w:rPr>
          <w:rFonts w:ascii="Times New Roman;serif" w:hAnsi="Times New Roman;serif"/>
          <w:b w:val="false"/>
          <w:color w:val="000000"/>
          <w:sz w:val="24"/>
        </w:rPr>
        <w:t>(n)     </w:t>
      </w:r>
      <w:r>
        <w:rPr>
          <w:rFonts w:ascii="Times New Roman;serif" w:hAnsi="Times New Roman;serif"/>
          <w:b w:val="false"/>
          <w:color w:val="000000"/>
          <w:sz w:val="24"/>
          <w:u w:val="single"/>
        </w:rPr>
        <w:t>Enforcement; Survival</w:t>
      </w:r>
      <w:r>
        <w:rPr>
          <w:rFonts w:ascii="Times New Roman;serif" w:hAnsi="Times New Roman;serif"/>
          <w:b w:val="false"/>
          <w:color w:val="000000"/>
          <w:sz w:val="24"/>
        </w:rPr>
        <w:t xml:space="preserve">. Executive acknowledges that no specification in this Agreement of a specific legal or equitable remedy may be construed as a waiver of or prohibition against pursuing other legal or equitable remedies in the event of a breach of this Agreement by Executive. In the event of a breach or violation by Executive of any of the provisions of </w:t>
      </w:r>
      <w:r>
        <w:rPr>
          <w:rFonts w:ascii="Times New Roman;serif" w:hAnsi="Times New Roman;serif"/>
          <w:b w:val="false"/>
          <w:color w:val="000000"/>
          <w:sz w:val="24"/>
          <w:u w:val="single"/>
        </w:rPr>
        <w:t>Section 4</w:t>
      </w:r>
      <w:r>
        <w:rPr>
          <w:rFonts w:ascii="Times New Roman;serif" w:hAnsi="Times New Roman;serif"/>
          <w:b w:val="false"/>
          <w:color w:val="000000"/>
          <w:sz w:val="24"/>
        </w:rPr>
        <w:t>, the running of the Non-Compete Term shall be tolled with respect to Executive during the continuance of any actual breach or violation. Executive’s sole and exclusive remedy in the event of a breach of this Agreement by the Company shall be, as applicable, payment of Without Cause Severance Pay or Good Reason Severance Pay or the compensation and benefits provided in the event of a termination following a Change in Control. The provisions of Sections 4(h) through 4(n) of this Agreement, and any other provisions which, by their nature, ought to survive, shall survive any termination of this Agreement.</w:t>
      </w:r>
    </w:p>
    <w:p>
      <w:pPr>
        <w:pStyle w:val="TextBody"/>
        <w:bidi w:val="0"/>
        <w:spacing w:lineRule="auto" w:line="288" w:before="0" w:after="12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terms and provisions set forth in this Agreement inure to the benefit of and are enforceable by the Company and its successors, assigns and successors-in-interest, including without limitation, any corporation or other entity with which the Company may be merged or by which it may be acquired, or which may be the acquiring entity in a sale of substantially all of its assets or similar form of reorganization. This Agreement may not be assigned by Executive, and any such assignment shall be null and void.</w:t>
      </w:r>
    </w:p>
    <w:p>
      <w:pPr>
        <w:pStyle w:val="TextBody"/>
        <w:bidi w:val="0"/>
        <w:spacing w:lineRule="auto" w:line="288" w:before="0" w:after="120"/>
        <w:ind w:left="0" w:right="0" w:firstLine="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(including agreements referenced in this Agreement, such as the At Will Employment Agreement, and any attachments and exhibits hereto) contains the Parties’ sole and entire agreement regarding the employment of Executive by the Company and supersedes all prior understandings and agreements, whether written or oral, including, but not limited to, any offer letters or other agreements regarding Executive’s compensation or terms of employment entered into prior to the Effective Date. The parties acknowledge and agree that no party hereto has made any representations (a) concerning the subject matter hereof or (b) inducing the other party to execute and deliver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except those representations specifically referenced herein. The parties have relied on their own judgment in entering into this Agreement.</w:t>
      </w:r>
    </w:p>
    <w:p>
      <w:pPr>
        <w:pStyle w:val="TextBody"/>
        <w:bidi w:val="0"/>
        <w:spacing w:lineRule="auto" w:line="288" w:before="0" w:after="0"/>
        <w:ind w:left="0" w:right="0" w:firstLine="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Amendment; Waiver</w:t>
      </w:r>
      <w:r>
        <w:rPr>
          <w:rFonts w:ascii="Times New Roman;serif" w:hAnsi="Times New Roman;serif"/>
          <w:b w:val="false"/>
          <w:color w:val="000000"/>
          <w:sz w:val="24"/>
        </w:rPr>
        <w:t>. No modification or amendment of or supplement to this Agreement shall be binding unless executed in writing by the Company and Executive. Any term or provision of this Agreement may be waived in writing at any time by the party entitled to the benefits thereof. No failure to exercise and no delay in exercising any right, power or privilege shall operate as a waiver thereof, nor shall any single or partial exercise of any right, power or privilege preclude the exercise of any other right, power or privilege. No waiver of any breach of</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any covenant or agreement hereunder shall be deemed a waiver of any preceding or subsequent breach of the same or any other covenant or agreement.</w:t>
      </w:r>
    </w:p>
    <w:p>
      <w:pPr>
        <w:pStyle w:val="TextBody"/>
        <w:bidi w:val="0"/>
        <w:spacing w:lineRule="auto" w:line="288" w:before="0" w:after="12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construed, interpreted and enforced in accordance with its express terms, and otherwise in accordance with the substantive laws of the State of Colorado without reference to the principles of conflicts of law of the State of Colorado or any other jurisdiction, and where applicable, the laws of the United States.</w:t>
      </w:r>
    </w:p>
    <w:p>
      <w:pPr>
        <w:pStyle w:val="TextBody"/>
        <w:bidi w:val="0"/>
        <w:spacing w:lineRule="auto" w:line="288" w:before="0" w:after="120"/>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or term of </w:t>
      </w:r>
      <w:r>
        <w:rPr>
          <w:rFonts w:ascii="Times New Roman;serif" w:hAnsi="Times New Roman;serif"/>
          <w:b w:val="false"/>
          <w:color w:val="000000"/>
          <w:sz w:val="24"/>
          <w:u w:val="single"/>
        </w:rPr>
        <w:t>Section 4(h) or 4(k)</w:t>
      </w:r>
      <w:r>
        <w:rPr>
          <w:rFonts w:ascii="Times New Roman;serif" w:hAnsi="Times New Roman;serif"/>
          <w:b w:val="false"/>
          <w:color w:val="000000"/>
          <w:sz w:val="24"/>
        </w:rPr>
        <w:t xml:space="preserve">, or any word, phrase, clause, sentence or other portion thereof (including, without limitation, the geographic and temporal restrictions and provisions contained in </w:t>
      </w:r>
      <w:r>
        <w:rPr>
          <w:rFonts w:ascii="Times New Roman;serif" w:hAnsi="Times New Roman;serif"/>
          <w:b w:val="false"/>
          <w:color w:val="000000"/>
          <w:sz w:val="24"/>
          <w:u w:val="single"/>
        </w:rPr>
        <w:t>4(h) or 4(k)</w:t>
      </w:r>
      <w:r>
        <w:rPr>
          <w:color w:val="000000"/>
        </w:rPr>
        <w:t xml:space="preserve"> </w:t>
      </w:r>
      <w:r>
        <w:rPr>
          <w:rFonts w:ascii="Times New Roman;serif" w:hAnsi="Times New Roman;serif"/>
          <w:b w:val="false"/>
          <w:color w:val="000000"/>
          <w:sz w:val="24"/>
        </w:rPr>
        <w:t xml:space="preserve">is held to be unenforceable or invalid for any reason, such provision or portion thereof will be modified or deleted in such a manner as to be effective for the maximum period of time for which it/they may be enforceable and over the maximum geographical area as to which it/they may be enforceable and to the maximum extent in all other respects as to which it/they may be enforceable. Such modified restriction(s) shall be enforced by the court or adjudicator. In the event that modification is not possible, because each of Executive’s obligations in </w:t>
      </w:r>
      <w:r>
        <w:rPr>
          <w:rFonts w:ascii="Times New Roman;serif" w:hAnsi="Times New Roman;serif"/>
          <w:b w:val="false"/>
          <w:color w:val="000000"/>
          <w:sz w:val="24"/>
          <w:u w:val="single"/>
        </w:rPr>
        <w:t>Section 4(h) and Section 4(k)</w:t>
      </w:r>
      <w:r>
        <w:rPr>
          <w:color w:val="000000"/>
        </w:rPr>
        <w:t xml:space="preserve"> </w:t>
      </w:r>
      <w:r>
        <w:rPr>
          <w:rFonts w:ascii="Times New Roman;serif" w:hAnsi="Times New Roman;serif"/>
          <w:b w:val="false"/>
          <w:color w:val="000000"/>
          <w:sz w:val="24"/>
        </w:rPr>
        <w:t>are separate and independent covenants, any unenforceable obligation shall be severed, and all remaining obligations shall be enforced. If any term or provision of this Agreement or the application thereof to any circumstance shall, in any jurisdiction and to any extent, be invalid or unenforceable, such term or provision shall be ineffective as to such jurisdiction to the extent of such invalidity or unenforceability without invalidating or rendering unenforceable such term or provision in any other jurisdiction, the remaining terms and provisions of this Agreement or the application of such terms and provisions to circumstances other than those as to which it is held invalid or enforceable.</w:t>
      </w:r>
    </w:p>
    <w:p>
      <w:pPr>
        <w:pStyle w:val="TextBody"/>
        <w:bidi w:val="0"/>
        <w:spacing w:lineRule="auto" w:line="288" w:before="0" w:after="120"/>
        <w:ind w:left="0" w:right="0" w:firstLine="72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Construction</w:t>
      </w:r>
      <w:r>
        <w:rPr>
          <w:rFonts w:ascii="Times New Roman;serif" w:hAnsi="Times New Roman;serif"/>
          <w:b w:val="false"/>
          <w:color w:val="000000"/>
          <w:sz w:val="24"/>
        </w:rPr>
        <w:t>.</w:t>
      </w:r>
    </w:p>
    <w:p>
      <w:pPr>
        <w:pStyle w:val="TextBody"/>
        <w:bidi w:val="0"/>
        <w:spacing w:lineRule="auto" w:line="288" w:before="0" w:after="12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Section Headings</w:t>
      </w:r>
      <w:r>
        <w:rPr>
          <w:rFonts w:ascii="Times New Roman;serif" w:hAnsi="Times New Roman;serif"/>
          <w:b w:val="false"/>
          <w:color w:val="000000"/>
          <w:sz w:val="24"/>
        </w:rPr>
        <w:t>. The section and subsection headings of this Agreement are included for purposes of convenience only, and shall not affect the construction or interpretation of any of its provisions.</w:t>
      </w:r>
    </w:p>
    <w:p>
      <w:pPr>
        <w:pStyle w:val="TextBody"/>
        <w:bidi w:val="0"/>
        <w:spacing w:lineRule="auto" w:line="288" w:before="0" w:after="12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Gender and Number</w:t>
      </w:r>
      <w:r>
        <w:rPr>
          <w:rFonts w:ascii="Times New Roman;serif" w:hAnsi="Times New Roman;serif"/>
          <w:b w:val="false"/>
          <w:color w:val="000000"/>
          <w:sz w:val="24"/>
        </w:rPr>
        <w:t>. Whenever required by the context, the singular shall include the plural, the plural shall include the singular, and the masculine gender shall include the neuter and feminine genders and vice versa.</w:t>
      </w:r>
    </w:p>
    <w:p>
      <w:pPr>
        <w:pStyle w:val="TextBody"/>
        <w:bidi w:val="0"/>
        <w:spacing w:lineRule="auto" w:line="288" w:before="0" w:after="120"/>
        <w:ind w:left="0" w:right="0" w:firstLine="144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Joint Preparation</w:t>
      </w:r>
      <w:r>
        <w:rPr>
          <w:rFonts w:ascii="Times New Roman;serif" w:hAnsi="Times New Roman;serif"/>
          <w:b w:val="false"/>
          <w:color w:val="000000"/>
          <w:sz w:val="24"/>
        </w:rPr>
        <w:t xml:space="preserve">. The Parties to this Agreement have negotiated it at length, and have had the opportunity to consult with and be represented by their own competent counsel. This Agreement is therefore deemed to have been jointly prepared by the parties, and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any uncertainty or ambiguity existing in it shall not be interpreted against any party, but rather shall be interpreted according to the rules generally governing the interpretation of contracts.</w:t>
      </w:r>
    </w:p>
    <w:p>
      <w:pPr>
        <w:pStyle w:val="TextBody"/>
        <w:bidi w:val="0"/>
        <w:spacing w:lineRule="auto" w:line="288" w:before="0" w:after="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under or in connection with this Agreement shall be in writing and shall be deemed given (a) if delivered personally, upon delivery, (b) if delivered by recognized overnight courier or registered or certified mail (return receipt requested), upon the earlier of actual delivery or refusal of delivery by the addressee or his, his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agent or representative, or (c) if given by facsimile or email, upon non-automated confirmation of transmission. In each case to the Parties at the following addresses: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To the Company:         Human Resources and General Counsel</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6272 W. 91st Avenue</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Westminster, CO 80031</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(b) To Executive:         To the address listed on the signature page hereto.</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(c) or at any other address as any Party shall have specified by notice in writing to the other Party.</w:t>
      </w:r>
    </w:p>
    <w:p>
      <w:pPr>
        <w:pStyle w:val="TextBody"/>
        <w:bidi w:val="0"/>
        <w:spacing w:lineRule="auto" w:line="288" w:before="0" w:after="120"/>
        <w:ind w:left="0" w:right="0" w:firstLine="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Third-Party Rights</w:t>
      </w:r>
      <w:r>
        <w:rPr>
          <w:rFonts w:ascii="Times New Roman;serif" w:hAnsi="Times New Roman;serif"/>
          <w:b w:val="false"/>
          <w:color w:val="000000"/>
          <w:sz w:val="24"/>
        </w:rPr>
        <w:t>. Except to the extent specifically contemplated by this Agreement, this Agreement shall not create benefits on behalf of any other person or entity not a party to this Agreement, and this Agreement shall be effective only as between the Parties hereto, their successors and permitted assigns.</w:t>
      </w:r>
    </w:p>
    <w:p>
      <w:pPr>
        <w:pStyle w:val="TextBody"/>
        <w:bidi w:val="0"/>
        <w:spacing w:lineRule="auto" w:line="288"/>
        <w:ind w:left="0" w:right="0" w:firstLine="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Arbitration</w:t>
      </w:r>
      <w:r>
        <w:rPr>
          <w:rFonts w:ascii="Times New Roman;serif" w:hAnsi="Times New Roman;serif"/>
          <w:b w:val="false"/>
          <w:color w:val="000000"/>
          <w:sz w:val="24"/>
        </w:rPr>
        <w:t>. Any controversy, claim or dispute involving the Parties hereto (or their Affiliates) arising out of or relating to this Agreement, or the subject matter thereof, shall be solely and exclusively settled by a binding arbitration held in Denver, Colorado to be administered by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Such arbitration shall be conducted in accordance with the then-existing Employment Arbitration Rules of the AAA, with the following exceptions if in conflict: (a) the arbitrator shall be selected by the mutual agreement of the Parties; if the Parties cannot agree on an arbitrator, the Parties shall alternately strike names from a list provided by the AAA until only one name remains; (b) the Company shall pay fees and administrative costs charged by the arbitrator and American Arbitration Association; and (c) arbitration may proceed in the absence of any Party if written notice (pursuant to AAA rules and regulations) of the proceedings has been given to such Party. Each Party shall bear its own attorney fees and expenses. The arbitrator shall have the power to award any remedies available under applicable law. In addition, the arbitrator shall award attorneys’ fees and costs to the prevailing party, in an amount no greater than allowable by law. The Parties hereto agree that the arbitrator will allow only such discovery as is required by law. The Parties agree to abide by all decisions and awards rendered in such arbitration proceedings. Such decisions and awards rendered by the arbitrator shall be final and conclusive. This dispute resolution process and any arbitration hereunder shall be confidential and neither any Party nor the neutral arbitrator shall disclose the existence, contents or results of such process without the prior written consent of all Parties. Notwithstanding the foregoing, claims of worker’s compensation and unemployment compensation benefits shall not be subject to arbitration under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Consent to Jurisdiction and Venue</w:t>
      </w:r>
      <w:r>
        <w:rPr>
          <w:rFonts w:ascii="Times New Roman;serif" w:hAnsi="Times New Roman;serif"/>
          <w:b w:val="false"/>
          <w:color w:val="000000"/>
          <w:sz w:val="24"/>
        </w:rPr>
        <w:t xml:space="preserve">. An action or proceeding by either of the Parties to compel arbitration under this Agreement may be brought in the United States District Court for the District of Colorado or, if such court does not have jurisdiction over such matter, the appropriate Colorado State or County court that has jurisdiction. Application may also be made to such court for confirmation of any decision or award of the arbitrator, for an order of enforcement and for any other remedies which may be necessary to effectuate such decision or award. The Parties hereto hereby consent to the jurisdiction of the arbitrator and of such court and waive any objection to the jurisdiction of such arbitrator and court. The Parties hereby irrevocably submit to the exclusive jurisdiction of these courts and waive the defense of inconvenient forum to the maintenance of any action or proceeding in such venue. The Parties irrevocably agree that that all actions or proceedings arising out of or relating to this Agreement which are not subject to arbitration as set forth in this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rPr>
        <w:t>shall be litigated in such court and consent to personal jurisdiction within and venue of such court. Executive consents not to initiate or pursue any action related to her employment or this Agreement in any jurisdiction or venue other than as set forth in this Agreement.</w:t>
      </w:r>
    </w:p>
    <w:p>
      <w:pPr>
        <w:pStyle w:val="TextBody"/>
        <w:bidi w:val="0"/>
        <w:spacing w:lineRule="auto" w:line="288" w:before="0" w:after="120"/>
        <w:ind w:left="0" w:right="0" w:firstLine="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Injunctive Relief</w:t>
      </w:r>
      <w:r>
        <w:rPr>
          <w:rFonts w:ascii="Times New Roman;serif" w:hAnsi="Times New Roman;serif"/>
          <w:b w:val="false"/>
          <w:color w:val="000000"/>
          <w:sz w:val="24"/>
        </w:rPr>
        <w:t xml:space="preserve">. Executive understands and acknowledges that the covenants set forth in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impose a reasonable restraint on Executive in light of the business and activities of the Company and its Subsidiaries and Affiliates. Executive acknowledges that Executive’s expertise is of a special and unique character which gives this expertise a particular value, and that a breach of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rFonts w:ascii="Times New Roman;serif" w:hAnsi="Times New Roman;serif"/>
          <w:b w:val="false"/>
          <w:color w:val="000000"/>
          <w:sz w:val="24"/>
        </w:rPr>
        <w:t xml:space="preserve">) by Executive will cause serious and potentially irreparable harm to the Company and its Subsidiaries and Affiliates. Executive therefore acknowledges that a breach of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by Executive cannot be adequately compensated in an action for damages at law, and equitable relief would be necessary to protect the Company and its Subsidiaries and Affiliates from a violation of this Agreement and from the harm which this Agreement is intended to prevent. By reason thereof, Executive acknowledges that notwithstanding Section 14 of hereof, the Company is entitled to seek injunctive relief in court for any violation of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and the Company and its Subsidiaries and Affiliates are entitled, in addition to any other remedies they may have under this Agreement or otherwise, to preliminary and permanent injunctive and other equitable relief to prevent or curtail any breach of this Agreement.</w:t>
      </w:r>
    </w:p>
    <w:p>
      <w:pPr>
        <w:pStyle w:val="TextBody"/>
        <w:bidi w:val="0"/>
        <w:spacing w:lineRule="auto" w:line="288" w:before="0" w:after="120"/>
        <w:ind w:left="0" w:right="0" w:firstLine="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Cooperation and Further Actions</w:t>
      </w:r>
      <w:r>
        <w:rPr>
          <w:rFonts w:ascii="Times New Roman;serif" w:hAnsi="Times New Roman;serif"/>
          <w:b w:val="false"/>
          <w:color w:val="000000"/>
          <w:sz w:val="24"/>
        </w:rPr>
        <w:t>. The Parties agree to perform any and all acts and to execute and deliver any and all documents necessary or convenient to carry out the terms of this Agreement.</w:t>
      </w:r>
    </w:p>
    <w:p>
      <w:pPr>
        <w:pStyle w:val="TextBody"/>
        <w:bidi w:val="0"/>
        <w:spacing w:lineRule="auto" w:line="288" w:before="0" w:after="120"/>
        <w:ind w:left="0" w:right="0" w:firstLine="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including electronically transmitted counterparts, each of which shall be deemed an original, and all such counterparts together shall be considered one and the same instrument.</w:t>
      </w:r>
    </w:p>
    <w:p>
      <w:pPr>
        <w:pStyle w:val="TextBody"/>
        <w:bidi w:val="0"/>
        <w:spacing w:lineRule="auto" w:line="288" w:before="0" w:after="0"/>
        <w:ind w:left="0" w:right="0" w:firstLine="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Executive Acknowledgment</w:t>
      </w:r>
      <w:r>
        <w:rPr>
          <w:rFonts w:ascii="Times New Roman;serif" w:hAnsi="Times New Roman;serif"/>
          <w:b w:val="false"/>
          <w:color w:val="000000"/>
          <w:sz w:val="24"/>
        </w:rPr>
        <w:t>. Executive acknowledges that Executive has read and understands this Agreement, is fully aware of its legal effect, has not acted in reliance upon any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representations or promises made by the Company other than those contained in this Agreement.</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Parties have entered into this Agreement based on their own judgment after being advised to, and having the opportunity to, consult with legal counsel.</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or caused their duly authorized representatives to execute, this Executive Employment Agreement as of the Effective Date.</w:t>
      </w:r>
    </w:p>
    <w:p>
      <w:pPr>
        <w:pStyle w:val="TextBody"/>
        <w:bidi w:val="0"/>
        <w:spacing w:before="0" w:after="0"/>
        <w:jc w:val="left"/>
        <w:rPr/>
      </w:pPr>
      <w:r>
        <w:rPr/>
      </w:r>
    </w:p>
    <w:tbl>
      <w:tblPr>
        <w:tblW w:w="3369" w:type="dxa"/>
        <w:jc w:val="left"/>
        <w:tblInd w:w="0" w:type="dxa"/>
        <w:tblLayout w:type="fixed"/>
        <w:tblCellMar>
          <w:top w:w="28" w:type="dxa"/>
          <w:left w:w="28" w:type="dxa"/>
          <w:bottom w:w="28" w:type="dxa"/>
          <w:right w:w="28" w:type="dxa"/>
        </w:tblCellMar>
      </w:tblPr>
      <w:tblGrid>
        <w:gridCol w:w="505"/>
        <w:gridCol w:w="442"/>
        <w:gridCol w:w="442"/>
        <w:gridCol w:w="576"/>
        <w:gridCol w:w="576"/>
        <w:gridCol w:w="828"/>
      </w:tblGrid>
      <w:tr>
        <w:trPr/>
        <w:tc>
          <w:tcPr>
            <w:tcW w:w="50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3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TriSalus Life Sciences, Inc.</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Mary Szela</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Ms. Mary Szela</w:t>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and CEO</w:t>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May 27, 2025</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EXECUTIVE</w:t>
      </w:r>
    </w:p>
    <w:tbl>
      <w:tblPr>
        <w:tblW w:w="3090" w:type="dxa"/>
        <w:jc w:val="left"/>
        <w:tblInd w:w="0" w:type="dxa"/>
        <w:tblLayout w:type="fixed"/>
        <w:tblCellMar>
          <w:top w:w="28" w:type="dxa"/>
          <w:left w:w="28" w:type="dxa"/>
          <w:bottom w:w="28" w:type="dxa"/>
          <w:right w:w="28" w:type="dxa"/>
        </w:tblCellMar>
      </w:tblPr>
      <w:tblGrid>
        <w:gridCol w:w="271"/>
        <w:gridCol w:w="238"/>
        <w:gridCol w:w="241"/>
        <w:gridCol w:w="685"/>
        <w:gridCol w:w="685"/>
        <w:gridCol w:w="97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David Patience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Mr. David Patience</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May 27, 2025</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EXISTING BOARD POSITIONS</w:t>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AGREEMENT AND RELEASE</w:t>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SIGN-ON BONUS AGREEMENT</w:t>
      </w:r>
    </w:p>
    <w:p>
      <w:pPr>
        <w:pStyle w:val="TextBody"/>
        <w:bidi w:val="0"/>
        <w:spacing w:lineRule="auto" w:line="288" w:before="120" w:after="120"/>
        <w:jc w:val="left"/>
        <w:rPr/>
      </w:pPr>
      <w:r>
        <w:rPr>
          <w:rFonts w:ascii="Times New Roman;serif" w:hAnsi="Times New Roman;serif"/>
          <w:b/>
          <w:color w:val="000000"/>
          <w:sz w:val="24"/>
        </w:rPr>
        <w:t>THIS SIGN-ON BONUS AGREEMENT (“Agreement”)</w:t>
      </w:r>
      <w:r>
        <w:rPr>
          <w:color w:val="000000"/>
        </w:rPr>
        <w:t xml:space="preserve"> </w:t>
      </w:r>
      <w:r>
        <w:rPr>
          <w:rFonts w:ascii="Times New Roman;serif" w:hAnsi="Times New Roman;serif"/>
          <w:b w:val="false"/>
          <w:color w:val="000000"/>
          <w:sz w:val="24"/>
        </w:rPr>
        <w:t>is entered into on the 1st day of July,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TriSalus Life Sciences,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Mr. David Patience (the “</w:t>
      </w:r>
      <w:r>
        <w:rPr>
          <w:rFonts w:ascii="Times New Roman;serif" w:hAnsi="Times New Roman;serif"/>
          <w:b/>
          <w:color w:val="000000"/>
          <w:sz w:val="24"/>
        </w:rPr>
        <w:t>Employee</w:t>
      </w:r>
      <w:r>
        <w:rPr>
          <w:color w:val="000000"/>
        </w:rPr>
        <w:t>”</w:t>
      </w:r>
      <w:r>
        <w:rPr>
          <w:rFonts w:ascii="Times New Roman;serif" w:hAnsi="Times New Roman;serif"/>
          <w:b w:val="false"/>
          <w:color w:val="000000"/>
          <w:sz w:val="24"/>
        </w:rPr>
        <w:t>).</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made below, the parties agree as follows:</w:t>
      </w:r>
    </w:p>
    <w:p>
      <w:pPr>
        <w:pStyle w:val="TextBody"/>
        <w:bidi w:val="0"/>
        <w:spacing w:lineRule="auto" w:line="288" w:before="120" w:after="120"/>
        <w:ind w:left="0" w:right="0" w:hanging="360"/>
        <w:jc w:val="left"/>
        <w:rPr/>
      </w:pPr>
      <w:r>
        <w:rPr>
          <w:rFonts w:ascii="Times New Roman;serif" w:hAnsi="Times New Roman;serif"/>
          <w:b w:val="false"/>
          <w:color w:val="000000"/>
          <w:sz w:val="24"/>
        </w:rPr>
        <w:t>1.</w:t>
      </w:r>
      <w:r>
        <w:rPr>
          <w:rFonts w:ascii="Times New Roman;serif" w:hAnsi="Times New Roman;serif"/>
          <w:b/>
          <w:color w:val="000000"/>
          <w:sz w:val="24"/>
        </w:rPr>
        <w:t>Sign-On Bonus.</w:t>
      </w:r>
      <w:r>
        <w:rPr>
          <w:color w:val="000000"/>
        </w:rPr>
        <w:t xml:space="preserve"> </w:t>
      </w:r>
      <w:r>
        <w:rPr>
          <w:rFonts w:ascii="Times New Roman;serif" w:hAnsi="Times New Roman;serif"/>
          <w:b w:val="false"/>
          <w:color w:val="000000"/>
          <w:sz w:val="24"/>
        </w:rPr>
        <w:t>The Company agrees to pay Employee a one-time sign-on bonus of $159,000 (the “</w:t>
      </w:r>
      <w:r>
        <w:rPr>
          <w:rFonts w:ascii="Times New Roman;serif" w:hAnsi="Times New Roman;serif"/>
          <w:b/>
          <w:color w:val="000000"/>
          <w:sz w:val="24"/>
        </w:rPr>
        <w:t>Sign-On Bonus</w:t>
      </w:r>
      <w:r>
        <w:rPr>
          <w:color w:val="000000"/>
        </w:rPr>
        <w:t>”</w:t>
      </w:r>
      <w:r>
        <w:rPr>
          <w:rFonts w:ascii="Times New Roman;serif" w:hAnsi="Times New Roman;serif"/>
          <w:b w:val="false"/>
          <w:color w:val="000000"/>
          <w:sz w:val="24"/>
        </w:rPr>
        <w:t>); will be paid on the first payroll after effective day and the Sign-On Bonus shall be subject to all applicable tax and other withholdings.</w:t>
      </w:r>
    </w:p>
    <w:p>
      <w:pPr>
        <w:pStyle w:val="TextBody"/>
        <w:bidi w:val="0"/>
        <w:spacing w:lineRule="auto" w:line="288" w:before="120" w:after="120"/>
        <w:ind w:left="0" w:right="0" w:hanging="360"/>
        <w:jc w:val="left"/>
        <w:rPr/>
      </w:pPr>
      <w:r>
        <w:rPr>
          <w:rFonts w:ascii="Times New Roman;serif" w:hAnsi="Times New Roman;serif"/>
          <w:b w:val="false"/>
          <w:color w:val="000000"/>
          <w:sz w:val="24"/>
        </w:rPr>
        <w:t>2.</w:t>
      </w:r>
      <w:r>
        <w:rPr>
          <w:rFonts w:ascii="Times New Roman;serif" w:hAnsi="Times New Roman;serif"/>
          <w:b/>
          <w:color w:val="000000"/>
          <w:sz w:val="24"/>
        </w:rPr>
        <w:t>Repayment of Sign-On Bonus.</w:t>
      </w:r>
      <w:r>
        <w:rPr>
          <w:color w:val="000000"/>
        </w:rPr>
        <w:t xml:space="preserve"> </w:t>
      </w:r>
      <w:r>
        <w:rPr>
          <w:rFonts w:ascii="Times New Roman;serif" w:hAnsi="Times New Roman;serif"/>
          <w:b w:val="false"/>
          <w:color w:val="000000"/>
          <w:sz w:val="24"/>
        </w:rPr>
        <w:t>If, within twenty-four (24) months following the Effective Date, Employee’s employment terminates for any reason other than a “Discharge Without Cause” or a “Resignation for Good Reason” (each as defined in Employee’s Executive Employment Agreement with the Company), then Employee shall repay to the Company,</w:t>
      </w:r>
      <w:r>
        <w:rPr>
          <w:color w:val="000000"/>
        </w:rPr>
        <w:t xml:space="preserve"> </w:t>
      </w:r>
      <w:r>
        <w:rPr>
          <w:rFonts w:ascii="Times New Roman;serif" w:hAnsi="Times New Roman;serif"/>
          <w:b w:val="false"/>
          <w:color w:val="000000"/>
          <w:sz w:val="24"/>
        </w:rPr>
        <w:t>within ten (10) days following termination, a portion of the Sign-On Bonus equal to (i) the gross Sign-On Bonus multiplied by (ii) a fraction, the numerator of which is the number of complete months remaining between the date on which Employee’s employment terminates and the date which is 24 months from the Effective Date and the denominator of which is 24 (the “Repayment Amount”). Employee hereby authorizes the Company to withhold the Repayment Amount from any other amounts the Company may owe to Employee (but, for the avoidance of doubt, Employee shall be required to directly repay the Company to the extent such withheld amounts do not fully satisfy the Repayment Amount).</w:t>
      </w:r>
    </w:p>
    <w:p>
      <w:pPr>
        <w:pStyle w:val="TextBody"/>
        <w:bidi w:val="0"/>
        <w:spacing w:lineRule="auto" w:line="288" w:before="120" w:after="120"/>
        <w:ind w:left="0" w:right="0" w:hanging="360"/>
        <w:jc w:val="left"/>
        <w:rPr>
          <w:rFonts w:ascii="Times New Roman;serif" w:hAnsi="Times New Roman;serif"/>
          <w:b/>
          <w:color w:val="000000"/>
          <w:sz w:val="24"/>
        </w:rPr>
      </w:pPr>
      <w:r>
        <w:rPr>
          <w:rFonts w:ascii="Times New Roman;serif" w:hAnsi="Times New Roman;serif"/>
          <w:b/>
          <w:color w:val="000000"/>
          <w:sz w:val="24"/>
        </w:rPr>
        <w:t>3.Other Provisions.</w:t>
      </w:r>
    </w:p>
    <w:p>
      <w:pPr>
        <w:pStyle w:val="TextBody"/>
        <w:bidi w:val="0"/>
        <w:spacing w:lineRule="auto" w:line="288" w:before="120" w:after="120"/>
        <w:ind w:left="0" w:right="0" w:hanging="360"/>
        <w:jc w:val="left"/>
        <w:rPr/>
      </w:pPr>
      <w:r>
        <w:rPr>
          <w:rFonts w:ascii="Times New Roman;serif" w:hAnsi="Times New Roman;serif"/>
          <w:b/>
          <w:color w:val="000000"/>
          <w:sz w:val="24"/>
        </w:rPr>
        <w:t>(a) Entire Agreement.</w:t>
      </w:r>
      <w:r>
        <w:rPr>
          <w:color w:val="000000"/>
        </w:rPr>
        <w:t xml:space="preserve"> </w:t>
      </w:r>
      <w:r>
        <w:rPr>
          <w:rFonts w:ascii="Times New Roman;serif" w:hAnsi="Times New Roman;serif"/>
          <w:b w:val="false"/>
          <w:color w:val="000000"/>
          <w:sz w:val="24"/>
        </w:rPr>
        <w:t>This Agreement contains the entire agreement between the parties with respect to the subject matter hereof and supersedes all prior agreements and understandings, written or oral, with respect thereto.</w:t>
      </w:r>
    </w:p>
    <w:p>
      <w:pPr>
        <w:pStyle w:val="TextBody"/>
        <w:bidi w:val="0"/>
        <w:spacing w:lineRule="auto" w:line="288" w:before="120" w:after="120"/>
        <w:ind w:left="0" w:right="0" w:hanging="360"/>
        <w:jc w:val="left"/>
        <w:rPr/>
      </w:pPr>
      <w:r>
        <w:rPr>
          <w:rFonts w:ascii="Times New Roman;serif" w:hAnsi="Times New Roman;serif"/>
          <w:b/>
          <w:color w:val="000000"/>
          <w:sz w:val="24"/>
        </w:rPr>
        <w:t>(b) No Guarantee of Employment.</w:t>
      </w:r>
      <w:r>
        <w:rPr>
          <w:color w:val="000000"/>
        </w:rPr>
        <w:t xml:space="preserve"> </w:t>
      </w:r>
      <w:r>
        <w:rPr>
          <w:rFonts w:ascii="Times New Roman;serif" w:hAnsi="Times New Roman;serif"/>
          <w:b w:val="false"/>
          <w:color w:val="000000"/>
          <w:sz w:val="24"/>
        </w:rPr>
        <w:t>Nothing herein shall prohibit the Company from terminating Employee’s employment at any time and for any reason.</w:t>
      </w:r>
    </w:p>
    <w:p>
      <w:pPr>
        <w:pStyle w:val="TextBody"/>
        <w:bidi w:val="0"/>
        <w:spacing w:lineRule="auto" w:line="288" w:before="120" w:after="120"/>
        <w:ind w:left="0" w:right="0" w:hanging="360"/>
        <w:jc w:val="left"/>
        <w:rPr/>
      </w:pPr>
      <w:r>
        <w:rPr>
          <w:rFonts w:ascii="Times New Roman;serif" w:hAnsi="Times New Roman;serif"/>
          <w:b/>
          <w:color w:val="000000"/>
          <w:sz w:val="24"/>
        </w:rPr>
        <w:t>(c) Waivers and Amendments.</w:t>
      </w:r>
      <w:r>
        <w:rPr>
          <w:color w:val="000000"/>
        </w:rPr>
        <w:t xml:space="preserve"> </w:t>
      </w:r>
      <w:r>
        <w:rPr>
          <w:rFonts w:ascii="Times New Roman;serif" w:hAnsi="Times New Roman;serif"/>
          <w:b w:val="false"/>
          <w:color w:val="000000"/>
          <w:sz w:val="24"/>
        </w:rPr>
        <w:t>This Agreement may be amended, modified, superseded, canceled, renewed, or extended, and the terms and conditions hereof may be waived, only by a written instrument signed by Employee and a duly authorized officer of the Company (each, in such capacity, a party) or, in the case of a waiver, by the party waiving compliance. No delay on the part of any party in exercising any right, power, or privilege hereunder shall operate as a waiver thereof, nor shall any waiver on the part of any party of any right, power, or privilege hereunder, nor any single or partial exercise of any right, power, or privilege hereunder, preclude any other or further exercise thereof or the exercise of any other right, power, or privilege hereunder.</w:t>
      </w:r>
    </w:p>
    <w:p>
      <w:pPr>
        <w:pStyle w:val="TextBody"/>
        <w:bidi w:val="0"/>
        <w:spacing w:lineRule="auto" w:line="288" w:before="120" w:after="120"/>
        <w:ind w:left="0" w:right="0" w:hanging="360"/>
        <w:jc w:val="left"/>
        <w:rPr/>
      </w:pPr>
      <w:r>
        <w:rPr>
          <w:rFonts w:ascii="Times New Roman;serif" w:hAnsi="Times New Roman;serif"/>
          <w:b/>
          <w:color w:val="000000"/>
          <w:sz w:val="24"/>
        </w:rPr>
        <w:t>(d) Governing Law.</w:t>
      </w:r>
      <w:r>
        <w:rPr>
          <w:color w:val="000000"/>
        </w:rPr>
        <w:t xml:space="preserve"> </w:t>
      </w:r>
      <w:r>
        <w:rPr>
          <w:rFonts w:ascii="Times New Roman;serif" w:hAnsi="Times New Roman;serif"/>
          <w:b w:val="false"/>
          <w:color w:val="000000"/>
          <w:sz w:val="24"/>
        </w:rPr>
        <w:t>This Agreement has been negotiated and is to be performed in the State of Colorado, and shall be governed and construed in accordance with the laws of the State of Colorado applicable to agreements made and to be performed entirely within such state.</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ind w:left="0" w:right="0" w:hanging="360"/>
        <w:jc w:val="left"/>
        <w:rPr/>
      </w:pPr>
      <w:r>
        <w:rPr>
          <w:rFonts w:ascii="Times New Roman;serif" w:hAnsi="Times New Roman;serif"/>
          <w:b/>
          <w:color w:val="000000"/>
          <w:sz w:val="24"/>
        </w:rPr>
        <w:t>(e) Counterparts.</w:t>
      </w:r>
      <w:r>
        <w:rPr>
          <w:color w:val="000000"/>
        </w:rPr>
        <w:t xml:space="preserve"> </w:t>
      </w:r>
      <w:r>
        <w:rPr>
          <w:rFonts w:ascii="Times New Roman;serif" w:hAnsi="Times New Roman;serif"/>
          <w:b w:val="false"/>
          <w:color w:val="000000"/>
          <w:sz w:val="24"/>
        </w:rPr>
        <w:t>This Agreement may be executed electronically and/or in two or more counterparts, each of which shall be deemed an original but all of which together shall constitute one and the same instrument.</w:t>
      </w:r>
    </w:p>
    <w:p>
      <w:pPr>
        <w:pStyle w:val="TextBody"/>
        <w:bidi w:val="0"/>
        <w:spacing w:lineRule="auto" w:line="288" w:before="120" w:after="120"/>
        <w:ind w:left="0" w:right="0" w:hanging="360"/>
        <w:jc w:val="left"/>
        <w:rPr/>
      </w:pPr>
      <w:r>
        <w:rPr>
          <w:rFonts w:ascii="Times New Roman;serif" w:hAnsi="Times New Roman;serif"/>
          <w:b/>
          <w:color w:val="000000"/>
          <w:sz w:val="24"/>
        </w:rPr>
        <w:t>(f) Confidentiality.</w:t>
      </w:r>
      <w:r>
        <w:rPr>
          <w:color w:val="000000"/>
        </w:rPr>
        <w:t xml:space="preserve"> </w:t>
      </w:r>
      <w:r>
        <w:rPr>
          <w:rFonts w:ascii="Times New Roman;serif" w:hAnsi="Times New Roman;serif"/>
          <w:b w:val="false"/>
          <w:color w:val="000000"/>
          <w:sz w:val="24"/>
        </w:rPr>
        <w:t>Neither party shall disclose the contents of this Agreement or of any other agreement they have simultaneously entered into to any person, firm, or entity, except the agents or representatives of the parties, or except as required by law.</w:t>
      </w:r>
    </w:p>
    <w:p>
      <w:pPr>
        <w:pStyle w:val="TextBody"/>
        <w:bidi w:val="0"/>
        <w:spacing w:lineRule="auto" w:line="288" w:before="120" w:after="120"/>
        <w:ind w:left="0" w:right="0" w:hanging="360"/>
        <w:jc w:val="left"/>
        <w:rPr/>
      </w:pPr>
      <w:r>
        <w:rPr>
          <w:rFonts w:ascii="Times New Roman;serif" w:hAnsi="Times New Roman;serif"/>
          <w:b/>
          <w:color w:val="000000"/>
          <w:sz w:val="24"/>
        </w:rPr>
        <w:t xml:space="preserve">(g) Headings. </w:t>
      </w:r>
      <w:r>
        <w:rPr>
          <w:rFonts w:ascii="Times New Roman;serif" w:hAnsi="Times New Roman;serif"/>
          <w:b w:val="false"/>
          <w:color w:val="000000"/>
          <w:sz w:val="24"/>
        </w:rPr>
        <w:t>The Section headings have been included for convenience only, are not part of this Agreement, and are not to be used to interpret any provision hereof.</w:t>
      </w:r>
    </w:p>
    <w:p>
      <w:pPr>
        <w:pStyle w:val="TextBody"/>
        <w:bidi w:val="0"/>
        <w:spacing w:lineRule="auto" w:line="288" w:before="120" w:after="120"/>
        <w:ind w:left="0" w:right="0" w:hanging="360"/>
        <w:jc w:val="left"/>
        <w:rPr/>
      </w:pPr>
      <w:r>
        <w:rPr>
          <w:rFonts w:ascii="Times New Roman;serif" w:hAnsi="Times New Roman;serif"/>
          <w:b/>
          <w:color w:val="000000"/>
          <w:sz w:val="24"/>
        </w:rPr>
        <w:t>(h) Binding Effect and Benefit.</w:t>
      </w:r>
      <w:r>
        <w:rPr>
          <w:color w:val="000000"/>
        </w:rPr>
        <w:t xml:space="preserve"> </w:t>
      </w:r>
      <w:r>
        <w:rPr>
          <w:rFonts w:ascii="Times New Roman;serif" w:hAnsi="Times New Roman;serif"/>
          <w:b w:val="false"/>
          <w:color w:val="000000"/>
          <w:sz w:val="24"/>
        </w:rPr>
        <w:t>This Agreement shall be binding upon and inure to the benefit of the parties, their successors, heirs, personal representatives, and other legal representatives. This Agreement may be assigned by the Company to any entity which buys substantially all of the Company’s assets. However, Employee may not assign this Agreement without the prior written consent of the Company.</w:t>
      </w:r>
    </w:p>
    <w:p>
      <w:pPr>
        <w:pStyle w:val="TextBody"/>
        <w:bidi w:val="0"/>
        <w:spacing w:lineRule="auto" w:line="288" w:before="120" w:after="120"/>
        <w:ind w:left="0" w:right="0" w:hanging="360"/>
        <w:jc w:val="left"/>
        <w:rPr/>
      </w:pPr>
      <w:r>
        <w:rPr>
          <w:rFonts w:ascii="Times New Roman;serif" w:hAnsi="Times New Roman;serif"/>
          <w:b/>
          <w:color w:val="000000"/>
          <w:sz w:val="24"/>
        </w:rPr>
        <w:t>(i) Separability.</w:t>
      </w:r>
      <w:r>
        <w:rPr>
          <w:color w:val="000000"/>
        </w:rPr>
        <w:t xml:space="preserve"> </w:t>
      </w:r>
      <w:r>
        <w:rPr>
          <w:rFonts w:ascii="Times New Roman;serif" w:hAnsi="Times New Roman;serif"/>
          <w:b w:val="false"/>
          <w:color w:val="000000"/>
          <w:sz w:val="24"/>
        </w:rPr>
        <w:t>The covenants contained in this Agreement are separable, and if any court of competent jurisdiction declares any of them to be invalid or unenforceable, that declaration of invalidity or unenforceability shall not affect the validity or enforceability of any of the other covenants, each of which shall remain in full force and effect.</w:t>
      </w:r>
    </w:p>
    <w:p>
      <w:pPr>
        <w:pStyle w:val="TextBody"/>
        <w:bidi w:val="0"/>
        <w:spacing w:lineRule="auto" w:line="288"/>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intending to be legally bound, have executed this Agreement or caused it to be executed and attested by their duly authorized officers as a document under seal on the day and year first above written.</w:t>
      </w:r>
    </w:p>
    <w:p>
      <w:pPr>
        <w:pStyle w:val="TextBody"/>
        <w:bidi w:val="0"/>
        <w:spacing w:before="120" w:after="120"/>
        <w:jc w:val="left"/>
        <w:rPr/>
      </w:pPr>
      <w:r>
        <w:rPr/>
      </w:r>
    </w:p>
    <w:tbl>
      <w:tblPr>
        <w:tblW w:w="3359" w:type="dxa"/>
        <w:jc w:val="left"/>
        <w:tblInd w:w="0" w:type="dxa"/>
        <w:tblLayout w:type="fixed"/>
        <w:tblCellMar>
          <w:top w:w="28" w:type="dxa"/>
          <w:left w:w="28" w:type="dxa"/>
          <w:bottom w:w="28" w:type="dxa"/>
          <w:right w:w="28" w:type="dxa"/>
        </w:tblCellMar>
      </w:tblPr>
      <w:tblGrid>
        <w:gridCol w:w="555"/>
        <w:gridCol w:w="487"/>
        <w:gridCol w:w="487"/>
        <w:gridCol w:w="531"/>
        <w:gridCol w:w="531"/>
        <w:gridCol w:w="768"/>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TRISALUS LIFE SCIENCES, INC.</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 Mary Szela </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Ms. Mary Szela</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CEO</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Mary 27, 2025 </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EMPLOYEE:</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 David Patience </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Mr. David Patience</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Mary 27, 2025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lineRule="auto" w:line="288" w:before="120" w:after="120"/>
        <w:ind w:left="0" w:right="0" w:firstLine="360"/>
        <w:jc w:val="right"/>
        <w:rPr>
          <w:rFonts w:ascii="Times New Roman;serif" w:hAnsi="Times New Roman;serif"/>
          <w:b/>
          <w:color w:val="000000"/>
          <w:sz w:val="24"/>
        </w:rPr>
      </w:pPr>
      <w:r>
        <w:rPr>
          <w:rFonts w:ascii="Times New Roman;serif" w:hAnsi="Times New Roman;serif"/>
          <w:b/>
          <w:color w:val="000000"/>
          <w:sz w:val="24"/>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lineRule="auto" w:line="288" w:before="120" w:after="120"/>
        <w:ind w:left="0" w:right="0" w:firstLine="360"/>
        <w:jc w:val="center"/>
        <w:rPr>
          <w:rFonts w:ascii="Times New Roman;serif" w:hAnsi="Times New Roman;serif"/>
          <w:b/>
          <w:color w:val="000000"/>
          <w:sz w:val="24"/>
        </w:rPr>
      </w:pPr>
      <w:r>
        <w:rPr>
          <w:rFonts w:ascii="Times New Roman;serif" w:hAnsi="Times New Roman;serif"/>
          <w:b/>
          <w:color w:val="000000"/>
          <w:sz w:val="24"/>
        </w:rPr>
        <w:t>CONSULTING AGREEMENT</w:t>
      </w:r>
    </w:p>
    <w:p>
      <w:pPr>
        <w:pStyle w:val="TextBody"/>
        <w:bidi w:val="0"/>
        <w:spacing w:lineRule="auto" w:line="288" w:before="120" w:after="120"/>
        <w:ind w:left="0" w:right="0" w:firstLine="360"/>
        <w:jc w:val="left"/>
        <w:rPr/>
      </w:pPr>
      <w:r>
        <w:rPr>
          <w:rFonts w:ascii="Times New Roman;serif" w:hAnsi="Times New Roman;serif"/>
          <w:b/>
          <w:color w:val="000000"/>
          <w:sz w:val="24"/>
        </w:rPr>
        <w:t>THIS CONSULTING AGREEMENT (</w:t>
      </w:r>
      <w:r>
        <w:rPr>
          <w:color w:val="000000"/>
        </w:rPr>
        <w:t>“</w:t>
      </w:r>
      <w:r>
        <w:rPr>
          <w:rFonts w:ascii="Times New Roman;serif" w:hAnsi="Times New Roman;serif"/>
          <w:b/>
          <w:i/>
          <w:color w:val="000000"/>
          <w:sz w:val="24"/>
        </w:rPr>
        <w:t>Agreement”</w:t>
      </w:r>
      <w:r>
        <w:rPr>
          <w:rFonts w:ascii="Times New Roman;serif" w:hAnsi="Times New Roman;serif"/>
          <w:b/>
          <w:color w:val="000000"/>
          <w:sz w:val="24"/>
        </w:rPr>
        <w:t xml:space="preserve">) </w:t>
      </w:r>
      <w:r>
        <w:rPr>
          <w:rFonts w:ascii="Times New Roman;serif" w:hAnsi="Times New Roman;serif"/>
          <w:b w:val="false"/>
          <w:color w:val="000000"/>
          <w:sz w:val="24"/>
        </w:rPr>
        <w:t>is entered into effective as of Monday, June 2,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xml:space="preserve">) by and between </w:t>
      </w:r>
      <w:r>
        <w:rPr>
          <w:rFonts w:ascii="Times New Roman;serif" w:hAnsi="Times New Roman;serif"/>
          <w:b/>
          <w:color w:val="000000"/>
          <w:sz w:val="24"/>
        </w:rPr>
        <w:t>TriSalus Life Sciences Inc.</w:t>
      </w:r>
      <w:r>
        <w:rPr>
          <w:rFonts w:ascii="Times New Roman;serif" w:hAnsi="Times New Roman;serif"/>
          <w:b w:val="false"/>
          <w:color w:val="000000"/>
          <w:sz w:val="24"/>
        </w:rPr>
        <w:t>, a Delaware corporation having its principal place of business located at 6272 W. 91st Avenue, Westminster, CO 80031 (</w:t>
      </w:r>
      <w:r>
        <w:rPr>
          <w:color w:val="000000"/>
        </w:rPr>
        <w:t>“</w:t>
      </w:r>
      <w:r>
        <w:rPr>
          <w:rFonts w:ascii="Times New Roman;serif" w:hAnsi="Times New Roman;serif"/>
          <w:b/>
          <w:i/>
          <w:color w:val="000000"/>
          <w:sz w:val="24"/>
        </w:rPr>
        <w:t>Company”</w:t>
      </w:r>
      <w:r>
        <w:rPr>
          <w:rFonts w:ascii="Times New Roman;serif" w:hAnsi="Times New Roman;serif"/>
          <w:b w:val="false"/>
          <w:color w:val="000000"/>
          <w:sz w:val="24"/>
        </w:rPr>
        <w:t>), and Mr. David Patience at 3616 E. Placita Lindura, Tucson, AZ. 85717 (</w:t>
      </w:r>
      <w:r>
        <w:rPr>
          <w:color w:val="000000"/>
        </w:rPr>
        <w:t>“</w:t>
      </w:r>
      <w:r>
        <w:rPr>
          <w:rFonts w:ascii="Times New Roman;serif" w:hAnsi="Times New Roman;serif"/>
          <w:b/>
          <w:i/>
          <w:color w:val="000000"/>
          <w:sz w:val="24"/>
        </w:rPr>
        <w:t>Consultant”</w:t>
      </w:r>
      <w:r>
        <w:rPr>
          <w:rFonts w:ascii="Times New Roman;serif" w:hAnsi="Times New Roman;serif"/>
          <w:b w:val="false"/>
          <w:color w:val="000000"/>
          <w:sz w:val="24"/>
        </w:rPr>
        <w:t>).</w:t>
      </w:r>
    </w:p>
    <w:p>
      <w:pPr>
        <w:pStyle w:val="TextBody"/>
        <w:bidi w:val="0"/>
        <w:spacing w:lineRule="auto" w:line="288" w:before="120" w:after="12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Company desires to retain Consultant as an independent contractor to perform consulting services for the Company and Consultant is willing to perform such services, on the terms described below.</w:t>
      </w:r>
    </w:p>
    <w:p>
      <w:pPr>
        <w:pStyle w:val="TextBody"/>
        <w:bidi w:val="0"/>
        <w:spacing w:lineRule="auto" w:line="288" w:before="120" w:after="120"/>
        <w:ind w:left="0" w:right="0" w:firstLine="36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120" w:after="12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In consideration of the mutual promises contained herein, the parties agree as follows:</w:t>
      </w:r>
    </w:p>
    <w:p>
      <w:pPr>
        <w:pStyle w:val="TextBody"/>
        <w:bidi w:val="0"/>
        <w:spacing w:lineRule="auto" w:line="288" w:before="120" w:after="120"/>
        <w:ind w:left="0" w:right="0" w:firstLine="360"/>
        <w:jc w:val="left"/>
        <w:rPr>
          <w:rFonts w:ascii="Times New Roman;serif" w:hAnsi="Times New Roman;serif"/>
          <w:b/>
          <w:color w:val="000000"/>
          <w:sz w:val="24"/>
        </w:rPr>
      </w:pPr>
      <w:r>
        <w:rPr>
          <w:rFonts w:ascii="Times New Roman;serif" w:hAnsi="Times New Roman;serif"/>
          <w:b/>
          <w:color w:val="000000"/>
          <w:sz w:val="24"/>
        </w:rPr>
        <w:t>1. Services.</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1.1 Services and Compensation. </w:t>
      </w:r>
      <w:r>
        <w:rPr>
          <w:rFonts w:ascii="Times New Roman;serif" w:hAnsi="Times New Roman;serif"/>
          <w:b w:val="false"/>
          <w:color w:val="000000"/>
          <w:sz w:val="24"/>
        </w:rPr>
        <w:t xml:space="preserve">Consultant agrees to perform for the Company the services described in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 xml:space="preserve">as requested by the Company from time to time (the </w:t>
      </w:r>
      <w:r>
        <w:rPr>
          <w:color w:val="000000"/>
        </w:rPr>
        <w:t>“</w:t>
      </w:r>
      <w:r>
        <w:rPr>
          <w:rFonts w:ascii="Times New Roman;serif" w:hAnsi="Times New Roman;serif"/>
          <w:b/>
          <w:i/>
          <w:color w:val="000000"/>
          <w:sz w:val="24"/>
        </w:rPr>
        <w:t>Services”</w:t>
      </w:r>
      <w:r>
        <w:rPr>
          <w:rFonts w:ascii="Times New Roman;serif" w:hAnsi="Times New Roman;serif"/>
          <w:b w:val="false"/>
          <w:color w:val="000000"/>
          <w:sz w:val="24"/>
        </w:rPr>
        <w:t xml:space="preserve">), and the Company agrees to pay Consultant the compensation described in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 xml:space="preserve">for Consultant’s performance of the Services. If not specified on </w:t>
      </w:r>
      <w:r>
        <w:rPr>
          <w:rFonts w:ascii="Times New Roman;serif" w:hAnsi="Times New Roman;serif"/>
          <w:b/>
          <w:color w:val="000000"/>
          <w:sz w:val="24"/>
        </w:rPr>
        <w:t>Exhibit A</w:t>
      </w:r>
      <w:r>
        <w:rPr>
          <w:rFonts w:ascii="Times New Roman;serif" w:hAnsi="Times New Roman;serif"/>
          <w:b w:val="false"/>
          <w:color w:val="000000"/>
          <w:sz w:val="24"/>
        </w:rPr>
        <w:t>, the scope, timing, duration, and site of performance of said Services shall be mutually and reasonably agreed to by the Company and Consultant and are subject to change upon the written agreement of both parties. Consultant will provide the Services in a timely and professional manner consistent with industry practices.</w:t>
      </w:r>
    </w:p>
    <w:p>
      <w:pPr>
        <w:pStyle w:val="TextBody"/>
        <w:bidi w:val="0"/>
        <w:spacing w:lineRule="auto" w:line="288" w:before="120" w:after="120"/>
        <w:ind w:left="0" w:right="0" w:firstLine="720"/>
        <w:jc w:val="left"/>
        <w:rPr/>
      </w:pPr>
      <w:r>
        <w:rPr>
          <w:rFonts w:ascii="Times New Roman;serif" w:hAnsi="Times New Roman;serif"/>
          <w:b/>
          <w:color w:val="000000"/>
          <w:sz w:val="24"/>
        </w:rPr>
        <w:t>1.2 Past Activities.</w:t>
      </w:r>
      <w:r>
        <w:rPr>
          <w:color w:val="000000"/>
        </w:rPr>
        <w:t xml:space="preserve"> </w:t>
      </w:r>
      <w:r>
        <w:rPr>
          <w:rFonts w:ascii="Times New Roman;serif" w:hAnsi="Times New Roman;serif"/>
          <w:b w:val="false"/>
          <w:color w:val="000000"/>
          <w:sz w:val="24"/>
        </w:rPr>
        <w:t xml:space="preserve">Company and Consultant acknowledge that Consultant may have participated in discussions, performed work, activities, services or made efforts on behalf of or for the benefit of Company, or related to the current or prospective business of Company in anticipation of Consultant’s involvement with Company, that would have been “Services” if performed during the term of this Agreement, for a period of time prior to the date of this Agreement (the </w:t>
      </w:r>
      <w:r>
        <w:rPr>
          <w:color w:val="000000"/>
        </w:rPr>
        <w:t>“</w:t>
      </w:r>
      <w:r>
        <w:rPr>
          <w:rFonts w:ascii="Times New Roman;serif" w:hAnsi="Times New Roman;serif"/>
          <w:b/>
          <w:i/>
          <w:color w:val="000000"/>
          <w:sz w:val="24"/>
        </w:rPr>
        <w:t>Prior Consulting Period”</w:t>
      </w:r>
      <w:r>
        <w:rPr>
          <w:rFonts w:ascii="Times New Roman;serif" w:hAnsi="Times New Roman;serif"/>
          <w:b w:val="false"/>
          <w:color w:val="000000"/>
          <w:sz w:val="24"/>
        </w:rPr>
        <w:t xml:space="preserve">). Accordingly, Consultant agrees that if and to the extent that, during the Prior Consulting Period: (i) Consultant received access to any information from or on behalf of Company that would have been “Confidential Information” (as defined below) if Consultant received access to such information during the term of this Agreement; or (ii) Consultant (a) conceived, created, authored, invented, developed or reduced to practice any item (including any intellectual property rights with respect thereto) on behalf of or for the benefit of Company, or related to the current or prospective business of Company in anticipation of Consultant’s involvement with Company, that would have been an “Invention” (as defined below)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(as defined below) if incorporated into such item during the term 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Agreement;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w:t>
      </w:r>
    </w:p>
    <w:p>
      <w:pPr>
        <w:pStyle w:val="TextBody"/>
        <w:bidi w:val="0"/>
        <w:spacing w:lineRule="auto" w:line="288" w:before="120" w:after="120"/>
        <w:ind w:left="0" w:right="0" w:firstLine="360"/>
        <w:jc w:val="left"/>
        <w:rPr>
          <w:rFonts w:ascii="Times New Roman;serif" w:hAnsi="Times New Roman;serif"/>
          <w:b/>
          <w:color w:val="000000"/>
          <w:sz w:val="24"/>
        </w:rPr>
      </w:pPr>
      <w:r>
        <w:rPr>
          <w:rFonts w:ascii="Times New Roman;serif" w:hAnsi="Times New Roman;serif"/>
          <w:b/>
          <w:color w:val="000000"/>
          <w:sz w:val="24"/>
        </w:rPr>
        <w:t>2. Confidentiality.</w:t>
      </w:r>
    </w:p>
    <w:p>
      <w:pPr>
        <w:pStyle w:val="TextBody"/>
        <w:bidi w:val="0"/>
        <w:spacing w:lineRule="auto" w:line="288" w:before="120" w:after="120"/>
        <w:ind w:left="0" w:right="0" w:firstLine="720"/>
        <w:jc w:val="left"/>
        <w:rPr/>
      </w:pPr>
      <w:r>
        <w:rPr>
          <w:rFonts w:ascii="Times New Roman;serif" w:hAnsi="Times New Roman;serif"/>
          <w:b/>
          <w:color w:val="000000"/>
          <w:sz w:val="24"/>
        </w:rPr>
        <w:t>2.1 Definitions.</w:t>
      </w:r>
      <w:r>
        <w:rPr>
          <w:color w:val="000000"/>
        </w:rPr>
        <w:t xml:space="preserve"> “</w:t>
      </w:r>
      <w:r>
        <w:rPr>
          <w:rFonts w:ascii="Times New Roman;serif" w:hAnsi="Times New Roman;serif"/>
          <w:b/>
          <w:i/>
          <w:color w:val="000000"/>
          <w:sz w:val="24"/>
        </w:rPr>
        <w:t>Confidential Information”</w:t>
      </w:r>
      <w:r>
        <w:rPr>
          <w:color w:val="000000"/>
        </w:rPr>
        <w:t xml:space="preserve"> </w:t>
      </w:r>
      <w:r>
        <w:rPr>
          <w:rFonts w:ascii="Times New Roman;serif" w:hAnsi="Times New Roman;serif"/>
          <w:b w:val="false"/>
          <w:color w:val="000000"/>
          <w:sz w:val="24"/>
        </w:rPr>
        <w:t>means all data, information, technology, samples and specimens relating to the Company or its plans, products, product concepts, technologies, business, financial, marketing, research, non-clinical, clinical or regulatory affairs, manufacturing processes and procedures, or those of any other third party, from whom the Company receives information on a confidential basis, whether written, graphic or oral, furnished to Consultant by or on behalf of the Company, either directly or indirectly, or obtained or observed by Consultant while providing services hereunder, and the Services to be provided by Consultant hereunder. Confidential Information also includes all Inventions (as defined below) and any other information or materials generated in connection with the Services. Without limiting the preceding sentence, Consultant’s obligations under Section 2.2 shall not apply to information that Consultant can prove: (a) has become publicly known and made generally available through no wrongful act on the part of Consultant; (b) at the time of disclosure to Consultant by the Company, is known by Consultant from Consultant’s own sources and as evidenced by Consultant’s then contemporaneous written records; or (c) has been rightfully received by Consultant on a nonconfidential basis from a third party legally and contractually entitled to make such disclosures;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pStyle w:val="TextBody"/>
        <w:bidi w:val="0"/>
        <w:spacing w:lineRule="auto" w:line="288" w:before="120" w:after="120"/>
        <w:ind w:left="0" w:right="0" w:firstLine="720"/>
        <w:jc w:val="left"/>
        <w:rPr/>
      </w:pPr>
      <w:r>
        <w:rPr>
          <w:rFonts w:ascii="Times New Roman;serif" w:hAnsi="Times New Roman;serif"/>
          <w:b/>
          <w:color w:val="000000"/>
          <w:sz w:val="24"/>
        </w:rPr>
        <w:t>2.2 Nonuse and Nondisclosure.</w:t>
      </w:r>
      <w:r>
        <w:rPr>
          <w:color w:val="000000"/>
        </w:rPr>
        <w:t xml:space="preserve"> </w:t>
      </w:r>
      <w:r>
        <w:rPr>
          <w:rFonts w:ascii="Times New Roman;serif" w:hAnsi="Times New Roman;serif"/>
          <w:b w:val="false"/>
          <w:color w:val="000000"/>
          <w:sz w:val="24"/>
        </w:rPr>
        <w:t xml:space="preserve">Consultant will not, during or subsequent to the Term (as defined below) of this Agreement: (a) use the Confidential Information for any purpose whatsoever other than as necessary for the performance of the Services on behalf of the Company; or (b) disclose the Confidential Information to any third party, without the prior written consent of an authorized representative of the Company; except that Consultant may disclose Confidential Information to employees of Consultant and/or employees or consultants of the Company; in each case, who need to know such Confidential Information for the purposes of Consultant performing the Services who, prior to any such disclosure, are subject to written nonuse and non-disclosure obligations at least as protective of the Company and the Confidential Information as this Section 2. Consultant agrees that, as between the Company and Consultant, all Confidential Information will remain the sole property of the Company. Consultant also agrees to hold in the strictest confidence, and take all necessary and reasonable precautions to prevent any unauthorized disclosure or use of such Confidential Information. Without the Company’s prior written approval, Consultant may disclose the existence, but not the terms, of this Agreement to third parties. Anything to the contrary notwithstanding, Consultant may also disclose Confidential Information to the extent such disclosure is compelled by a court of competent jurisdiction; provided that Consultant (x) promptly (and in any event, prior to such disclosure) notifies the Company of such requirement, (y) uses its best efforts to assist Company in seeking a protective order or similar confidential protection as may be available, and (z) only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discloses that portion of the Confidential Information that is legally required to be disclosed. Consultant acknowledges that the use or disclosure of Confidential Information without the Company’s express written permission will cause the Company irreparable harm and that any breach or threatened breach of this Section 2 by Consultant will entitle the Company to seek injunctive relief and reasonable attorneys’ fees, in addition to any other legal remedies available to it, in any court of competent jurisdiction.</w:t>
      </w:r>
    </w:p>
    <w:p>
      <w:pPr>
        <w:pStyle w:val="TextBody"/>
        <w:bidi w:val="0"/>
        <w:spacing w:lineRule="auto" w:line="288" w:before="120" w:after="120"/>
        <w:ind w:left="0" w:right="0" w:firstLine="720"/>
        <w:jc w:val="left"/>
        <w:rPr>
          <w:rFonts w:ascii="Times New Roman;serif" w:hAnsi="Times New Roman;serif"/>
          <w:b/>
          <w:color w:val="000000"/>
          <w:sz w:val="24"/>
        </w:rPr>
      </w:pPr>
      <w:r>
        <w:rPr>
          <w:rFonts w:ascii="Times New Roman;serif" w:hAnsi="Times New Roman;serif"/>
          <w:b/>
          <w:color w:val="000000"/>
          <w:sz w:val="24"/>
        </w:rPr>
        <w:t>2.3 Third Party Confidential Information.</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(a) </w:t>
      </w:r>
      <w:r>
        <w:rPr>
          <w:rFonts w:ascii="Times New Roman;serif" w:hAnsi="Times New Roman;serif"/>
          <w:b w:val="false"/>
          <w:color w:val="000000"/>
          <w:sz w:val="24"/>
        </w:rPr>
        <w:t>Consultant recognizes that the Company has received, and in the future may receive from third parties their confidential or proprietary information subject to a duty on the Company’s part to maintain the confidentiality of such information and to use it only for certain limited purposes. Consultant agrees that, during the Term of this Agreement and thereafter, Consultant owes the Company and such third parties a duty to hold all such confidential or proprietary information in the strictest confidence and not to disclose it to any person, firm or other entity or to use it except as necessary in carrying out the Services for the Company consistent with the Company’s agreement with such third party.</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(b) </w:t>
      </w:r>
      <w:r>
        <w:rPr>
          <w:rFonts w:ascii="Times New Roman;serif" w:hAnsi="Times New Roman;serif"/>
          <w:b w:val="false"/>
          <w:color w:val="000000"/>
          <w:sz w:val="24"/>
        </w:rPr>
        <w:t>Consultant agrees that neither Consultant nor any Consultant personnel will improperly use or disclose to Company, in connection with Consultant’s work for or for the benefit of Company, any proprietary information or trade secrets of any person or entity with which Consultant or such Consultant personnel have an agreement or duty to keep in confidence such information. Consultant also agrees that Consultant personnel will not bring onto the premises of Company any unpublished document or proprietary information belonging to such person or entity unless consented to in writing by the same.</w:t>
      </w:r>
    </w:p>
    <w:p>
      <w:pPr>
        <w:pStyle w:val="TextBody"/>
        <w:bidi w:val="0"/>
        <w:spacing w:lineRule="auto" w:line="288" w:before="120" w:after="120"/>
        <w:ind w:left="0" w:right="0" w:firstLine="720"/>
        <w:jc w:val="left"/>
        <w:rPr/>
      </w:pPr>
      <w:r>
        <w:rPr>
          <w:rFonts w:ascii="Times New Roman;serif" w:hAnsi="Times New Roman;serif"/>
          <w:b/>
          <w:color w:val="000000"/>
          <w:sz w:val="24"/>
        </w:rPr>
        <w:t>2.4 Return of Materials.</w:t>
      </w:r>
      <w:r>
        <w:rPr>
          <w:color w:val="000000"/>
        </w:rPr>
        <w:t xml:space="preserve"> </w:t>
      </w:r>
      <w:r>
        <w:rPr>
          <w:rFonts w:ascii="Times New Roman;serif" w:hAnsi="Times New Roman;serif"/>
          <w:b w:val="false"/>
          <w:color w:val="000000"/>
          <w:sz w:val="24"/>
        </w:rPr>
        <w:t>Upon the expiration or termination of this Agreement, or upon the Company’s earlier request, Consultant will (and will cause its personnel to) immediately deliver to the Company, and will not keep in their possession, recreate or deliver to anyone else, any and all Company property, including, but not limited to, Confidential Information, tangible embodiment of Inventions, all devices and equipment belonging to the Company, all electronically stored information and passwords to access such property, those records maintained pursuant to Section 3.6 and any reproductions of any of the foregoing items that Consultant and/or any Consultant personnel may have in their possession or control; and, upon the Company’s request, Consultant agrees to certify in writing that Consultant and all of its personnel have fully complied with this obligation.</w:t>
      </w:r>
    </w:p>
    <w:p>
      <w:pPr>
        <w:pStyle w:val="TextBody"/>
        <w:bidi w:val="0"/>
        <w:spacing w:lineRule="auto" w:line="288" w:before="120" w:after="120"/>
        <w:ind w:left="0" w:right="0" w:firstLine="360"/>
        <w:jc w:val="left"/>
        <w:rPr/>
      </w:pPr>
      <w:r>
        <w:rPr>
          <w:rFonts w:ascii="Times New Roman;serif" w:hAnsi="Times New Roman;serif"/>
          <w:b/>
          <w:color w:val="000000"/>
          <w:sz w:val="24"/>
        </w:rPr>
        <w:t>3. Ownership</w:t>
      </w:r>
      <w:r>
        <w:rPr>
          <w:rFonts w:ascii="Times New Roman;serif" w:hAnsi="Times New Roman;serif"/>
          <w:b w:val="false"/>
          <w:color w:val="000000"/>
          <w:sz w:val="24"/>
        </w:rPr>
        <w:t>.</w:t>
      </w:r>
    </w:p>
    <w:p>
      <w:pPr>
        <w:pStyle w:val="TextBody"/>
        <w:bidi w:val="0"/>
        <w:spacing w:lineRule="auto" w:line="288" w:before="120" w:after="120"/>
        <w:ind w:left="0" w:right="0" w:firstLine="720"/>
        <w:jc w:val="left"/>
        <w:rPr/>
      </w:pPr>
      <w:r>
        <w:rPr>
          <w:rFonts w:ascii="Times New Roman;serif" w:hAnsi="Times New Roman;serif"/>
          <w:b/>
          <w:color w:val="000000"/>
          <w:sz w:val="24"/>
        </w:rPr>
        <w:t>3.1 Assignment.</w:t>
      </w:r>
      <w:r>
        <w:rPr>
          <w:color w:val="000000"/>
        </w:rPr>
        <w:t xml:space="preserve"> </w:t>
      </w:r>
      <w:r>
        <w:rPr>
          <w:rFonts w:ascii="Times New Roman;serif" w:hAnsi="Times New Roman;serif"/>
          <w:b w:val="false"/>
          <w:color w:val="000000"/>
          <w:sz w:val="24"/>
        </w:rPr>
        <w:t xml:space="preserve">Consultant agrees that all information (including without limitation, business plans and/or business information), technology, know-how, materials, notes, records, drawings, designs, inventions, ideas, discoveries, enhancements, modifications, improvements, developments, devices, compositions, trade secrets, processes, methods and/or techniques, whether or not patentable or copyrightable, that are conceived, generated, made, discovered, developed or reduced to practice by Consultant (including by Consultant’s personnel), solely or jointly with others, in the course of performing Services or through the use of Confidential Information (collectively, </w:t>
      </w:r>
      <w:r>
        <w:rPr>
          <w:color w:val="000000"/>
        </w:rPr>
        <w:t>“</w:t>
      </w:r>
      <w:r>
        <w:rPr>
          <w:rFonts w:ascii="Times New Roman;serif" w:hAnsi="Times New Roman;serif"/>
          <w:b/>
          <w:i/>
          <w:color w:val="000000"/>
          <w:sz w:val="24"/>
        </w:rPr>
        <w:t>Inventions”</w:t>
      </w:r>
      <w:r>
        <w:rPr>
          <w:rFonts w:ascii="Times New Roman;serif" w:hAnsi="Times New Roman;serif"/>
          <w:b w:val="false"/>
          <w:color w:val="000000"/>
          <w:sz w:val="24"/>
        </w:rPr>
        <w:t xml:space="preserve">), are the sole and exclusive property of the Company. Consultant agrees to disclose such Inventions promptly to the Company and hereby irrevocably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left"/>
        <w:rPr/>
      </w:pPr>
      <w:r>
        <w:rPr>
          <w:rFonts w:ascii="Times New Roman;serif" w:hAnsi="Times New Roman;serif"/>
          <w:b w:val="false"/>
          <w:color w:val="000000"/>
          <w:sz w:val="24"/>
        </w:rPr>
        <w:t xml:space="preserve">assigns to the Company all right, title and interest in and to any and all such Inventions, including all intellectual property rights therein and thereto.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color w:val="000000"/>
        </w:rPr>
        <w:t>“</w:t>
      </w:r>
      <w:r>
        <w:rPr>
          <w:rFonts w:ascii="Times New Roman;serif" w:hAnsi="Times New Roman;serif"/>
          <w:b/>
          <w:i/>
          <w:color w:val="000000"/>
          <w:sz w:val="24"/>
        </w:rPr>
        <w:t>Moral Rights”</w:t>
      </w:r>
      <w:r>
        <w:rPr>
          <w:rFonts w:ascii="Times New Roman;serif" w:hAnsi="Times New Roman;serif"/>
          <w:b w:val="false"/>
          <w:color w:val="000000"/>
          <w:sz w:val="24"/>
        </w:rPr>
        <w:t>). To the extent that Moral Rights cannot be assigned under applicable law, Consultant hereby waives and agrees not to (and shall cause its relevant personnel to hereby waive and agree not to) enforce any and all Moral Rights, including, without limitation, any limitation on subsequent modification, to the extent permitted under applicable law.</w:t>
      </w:r>
    </w:p>
    <w:p>
      <w:pPr>
        <w:pStyle w:val="TextBody"/>
        <w:bidi w:val="0"/>
        <w:spacing w:lineRule="auto" w:line="288" w:before="120" w:after="120"/>
        <w:ind w:left="0" w:right="0" w:firstLine="720"/>
        <w:jc w:val="left"/>
        <w:rPr/>
      </w:pPr>
      <w:r>
        <w:rPr>
          <w:rFonts w:ascii="Times New Roman;serif" w:hAnsi="Times New Roman;serif"/>
          <w:b/>
          <w:color w:val="000000"/>
          <w:sz w:val="24"/>
        </w:rPr>
        <w:t>3.2 Further Assurances.</w:t>
      </w:r>
      <w:r>
        <w:rPr>
          <w:color w:val="000000"/>
        </w:rPr>
        <w:t xml:space="preserve"> </w:t>
      </w:r>
      <w:r>
        <w:rPr>
          <w:rFonts w:ascii="Times New Roman;serif" w:hAnsi="Times New Roman;serif"/>
          <w:b w:val="false"/>
          <w:color w:val="000000"/>
          <w:sz w:val="24"/>
        </w:rPr>
        <w:t>Consultant will sign, execute and acknowledge (and/or cause to be signed, executed and acknowledged), without cost but at the expense of the Company, any and all documents, and to perform such acts, as may be necessary, useful or convenient for the purposes of perfecting the foregoing assignment of such Inventions and to obtain, enforce and/or defend intellectual property rights, including copyright and patent rights, in any and all countries with respect to such Inventions. Consultant also agrees that Consultant’s obligation to sign, execute and acknowledge (and/or cause to be signed, executed and acknowledged) any such documents shall continue after the expiration or earlier termination of this Agreement. Consultant represents and warrants that each member of Consultant’s personnel who are involved in the Services shall have executed a binding written agreement with Consultant obligating such person to assign to Consultant all of his or her respective rights, title and interests in and to each Invention and to provide reasonable cooperation and assistance at least as protective of the Company as the terms of this Section 3.2. Consultant shall assume full responsibility and liability to the Company for any actions of Consultant’s personnel that are not in accordance with such obligations.</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3.3 Pre-Existing Materials. </w:t>
      </w:r>
      <w:r>
        <w:rPr>
          <w:rFonts w:ascii="Times New Roman;serif" w:hAnsi="Times New Roman;serif"/>
          <w:b w:val="false"/>
          <w:color w:val="000000"/>
          <w:sz w:val="24"/>
        </w:rPr>
        <w:t>Subject to Section 3.1, Consultant agrees that if, in the course of performing the Services, Consultant incorporates into any Invention developed hereunder any invention, improvement, development, concept, discovery or other proprietary subject matter owned by Consultant (or any of Consultant’s personnel) or in which Consultant (or any of Consultant’s personnel) has an interest prior to, or separate from, performing the Services under this Agreement (</w:t>
      </w:r>
      <w:r>
        <w:rPr>
          <w:color w:val="000000"/>
        </w:rPr>
        <w:t>“</w:t>
      </w:r>
      <w:r>
        <w:rPr>
          <w:rFonts w:ascii="Times New Roman;serif" w:hAnsi="Times New Roman;serif"/>
          <w:b/>
          <w:i/>
          <w:color w:val="000000"/>
          <w:sz w:val="24"/>
        </w:rPr>
        <w:t>Prior Inventions”</w:t>
      </w:r>
      <w:r>
        <w:rPr>
          <w:rFonts w:ascii="Times New Roman;serif" w:hAnsi="Times New Roman;serif"/>
          <w:b w:val="false"/>
          <w:color w:val="000000"/>
          <w:sz w:val="24"/>
        </w:rPr>
        <w:t>), Consultant will inform Company in writing thereof, and Company is hereby granted, and shall have, a non-exclusive, royalty-free, perpetual, irrevocable, transferable, worldwide license, with right to grant and authorize sublicenses, to make, have made, modify, reproduce, display, use, distribute, adapt, prepare derivative works of, display, perform, offer for sale, sell and otherwise exploit such Prior Invention.</w:t>
      </w:r>
    </w:p>
    <w:p>
      <w:pPr>
        <w:pStyle w:val="TextBody"/>
        <w:bidi w:val="0"/>
        <w:spacing w:lineRule="auto" w:line="288" w:before="120" w:after="120"/>
        <w:ind w:left="0" w:right="0" w:firstLine="720"/>
        <w:jc w:val="left"/>
        <w:rPr/>
      </w:pPr>
      <w:r>
        <w:rPr>
          <w:rFonts w:ascii="Times New Roman;serif" w:hAnsi="Times New Roman;serif"/>
          <w:b/>
          <w:color w:val="000000"/>
          <w:sz w:val="24"/>
        </w:rPr>
        <w:t>3.4 Attorney-in-Fact.</w:t>
      </w:r>
      <w:r>
        <w:rPr>
          <w:color w:val="000000"/>
        </w:rPr>
        <w:t xml:space="preserve"> </w:t>
      </w:r>
      <w:r>
        <w:rPr>
          <w:rFonts w:ascii="Times New Roman;serif" w:hAnsi="Times New Roman;serif"/>
          <w:b w:val="false"/>
          <w:color w:val="000000"/>
          <w:sz w:val="24"/>
        </w:rPr>
        <w:t xml:space="preserve">Consultant agrees that if the Company is unable because of Consultant’s, or any of its personnel’s, unavailability, dissolution, mental or physical incapacity, or for any other reason, to secure Consultant’s or such member of Consultant’s personnel’s signature for the purpose of applying for or pursuing any application or registration for any intellectual property rights covering any Invention, then Consultant, on behalf of itself and its personnel, hereby irrevocably designates and appoints the Company and its duly authorized officers and agents as Consultant’s, and/or its personnel’s, agent and attorney-in-fact, to act for and on Consultant’s, and/or its personnel’s, behalf to execute and file any such applications and any associated documents, and to do all other lawfully permitted acts, to further the prosecution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and issuance of such intellectual property rights thereon with the same legal force and effect as if executed by Consultant or such member of Consultant’s personnel. This power of attorney shall be deemed coupled with an interest, and shall be irrevocable.</w:t>
      </w:r>
    </w:p>
    <w:p>
      <w:pPr>
        <w:pStyle w:val="TextBody"/>
        <w:bidi w:val="0"/>
        <w:spacing w:lineRule="auto" w:line="288" w:before="120" w:after="120"/>
        <w:ind w:left="0" w:right="0" w:firstLine="720"/>
        <w:jc w:val="left"/>
        <w:rPr/>
      </w:pPr>
      <w:r>
        <w:rPr>
          <w:rFonts w:ascii="Times New Roman;serif" w:hAnsi="Times New Roman;serif"/>
          <w:b/>
          <w:color w:val="000000"/>
          <w:sz w:val="24"/>
        </w:rPr>
        <w:t>3.5 Maintenance of Records.</w:t>
      </w:r>
      <w:r>
        <w:rPr>
          <w:color w:val="000000"/>
        </w:rPr>
        <w:t xml:space="preserve"> </w:t>
      </w:r>
      <w:r>
        <w:rPr>
          <w:rFonts w:ascii="Times New Roman;serif" w:hAnsi="Times New Roman;serif"/>
          <w:b w:val="false"/>
          <w:color w:val="000000"/>
          <w:sz w:val="24"/>
        </w:rPr>
        <w:t>Consultant agrees to keep and maintain (and to cause its personnel to keep and maintain) adequate, current, accurate, and authentic written records of all work conducted under this Agreement, and all Inventions. The records shall be in the form of notes, sketches, drawings, electronic files, reports, or any other format that is customary in the industry and/or otherwise specified by the Company and shall properly reflect all work done and results achieved in sufficient detail and in a good scientific manner appropriate for patent and regulatory purposes. Such records are and remain the sole property of the Company at all times and upon Company’s request, Consultant shall deliver (or cause to be delivered) such records (or copies thereof, if requested) to Company or its designee, and Company and its designees shall have the right to audit, inspect and copy any such records.</w:t>
      </w:r>
    </w:p>
    <w:p>
      <w:pPr>
        <w:pStyle w:val="TextBody"/>
        <w:bidi w:val="0"/>
        <w:spacing w:lineRule="auto" w:line="288" w:before="120" w:after="120"/>
        <w:ind w:left="0" w:right="0" w:firstLine="720"/>
        <w:jc w:val="left"/>
        <w:rPr/>
      </w:pPr>
      <w:r>
        <w:rPr>
          <w:rFonts w:ascii="Times New Roman;serif" w:hAnsi="Times New Roman;serif"/>
          <w:b/>
          <w:color w:val="000000"/>
          <w:sz w:val="24"/>
        </w:rPr>
        <w:t>3.6 Reports.</w:t>
      </w:r>
      <w:r>
        <w:rPr>
          <w:color w:val="000000"/>
        </w:rPr>
        <w:t xml:space="preserve"> </w:t>
      </w:r>
      <w:r>
        <w:rPr>
          <w:rFonts w:ascii="Times New Roman;serif" w:hAnsi="Times New Roman;serif"/>
          <w:b w:val="false"/>
          <w:color w:val="000000"/>
          <w:sz w:val="24"/>
        </w:rPr>
        <w:t>For time to time during the term of this Agreement, or otherwise at the request of the Company, Consultant agrees to keep the Company advised as to Consultant’s progress in performing the Services under this Agreement. Consultant further agrees that Consultant will, as reasonably requested by the Company, prepare written reports with respect to such progress. The Company and Consultant agree that the reasonable time expended in preparing such written reports will be considered time devoted to the performance of the Services. All such reports prepared by Consultant shall be the sole property of the Company.</w:t>
      </w:r>
    </w:p>
    <w:p>
      <w:pPr>
        <w:pStyle w:val="TextBody"/>
        <w:bidi w:val="0"/>
        <w:spacing w:lineRule="auto" w:line="288" w:before="120" w:after="120"/>
        <w:ind w:left="0" w:right="0" w:firstLine="360"/>
        <w:jc w:val="left"/>
        <w:rPr>
          <w:rFonts w:ascii="Times New Roman;serif" w:hAnsi="Times New Roman;serif"/>
          <w:b/>
          <w:color w:val="000000"/>
          <w:sz w:val="24"/>
        </w:rPr>
      </w:pPr>
      <w:r>
        <w:rPr>
          <w:rFonts w:ascii="Times New Roman;serif" w:hAnsi="Times New Roman;serif"/>
          <w:b/>
          <w:color w:val="000000"/>
          <w:sz w:val="24"/>
        </w:rPr>
        <w:t>4. Representations and Warranties; Limitation of Liability.</w:t>
      </w:r>
    </w:p>
    <w:p>
      <w:pPr>
        <w:pStyle w:val="TextBody"/>
        <w:bidi w:val="0"/>
        <w:spacing w:lineRule="auto" w:line="288" w:before="120" w:after="120"/>
        <w:ind w:left="0" w:right="0" w:firstLine="720"/>
        <w:jc w:val="left"/>
        <w:rPr/>
      </w:pPr>
      <w:r>
        <w:rPr>
          <w:rFonts w:ascii="Times New Roman;serif" w:hAnsi="Times New Roman;serif"/>
          <w:b/>
          <w:color w:val="000000"/>
          <w:sz w:val="24"/>
        </w:rPr>
        <w:t>4.1 Representations and Warranties.</w:t>
      </w:r>
      <w:r>
        <w:rPr>
          <w:color w:val="000000"/>
        </w:rPr>
        <w:t xml:space="preserve"> </w:t>
      </w:r>
      <w:r>
        <w:rPr>
          <w:rFonts w:ascii="Times New Roman;serif" w:hAnsi="Times New Roman;serif"/>
          <w:b w:val="false"/>
          <w:color w:val="000000"/>
          <w:sz w:val="24"/>
        </w:rPr>
        <w:t>Consultant represents and warrants to the Company that Consultant is legally able to enter into this Agreement and that Consultant’s execution, delivery and performance of this Agreement does not, and will not, conflict with any agreement, arrangement or understanding, written or oral, to which Consultant (and/or any of its personnel) is a party or by which Consultant (and/or any of its personnel) is bound. Consultant further represents and warrants that Consultant has never been, nor have any of Consultant’s personnel who may provide Services under this Agreement ever been: (a) debarred or convicted of a crime for which a person or entity can be debarred under Section 306(a) or 306(b) of the United States Generic Drug Enforcement Act of 1992 or under 42 U.S.C. Section 1320a-7; or (b) sanctioned by, suspended, excluded, or otherwise deemed ineligible to participate in any federal health care program including Medicare and Medicaid, or any other federal procurement or nonprocurement programs. Should Consultant or any of Consultant’s personnel be debarred, convicted or sanctioned as described above, Consultant shall immediately notify the Company of such debarment, conviction or sanction.</w:t>
      </w:r>
    </w:p>
    <w:p>
      <w:pPr>
        <w:pStyle w:val="TextBody"/>
        <w:bidi w:val="0"/>
        <w:spacing w:lineRule="auto" w:line="288" w:before="120" w:after="120"/>
        <w:ind w:left="0" w:right="0" w:firstLine="720"/>
        <w:jc w:val="left"/>
        <w:rPr/>
      </w:pPr>
      <w:r>
        <w:rPr>
          <w:rFonts w:ascii="Times New Roman;serif" w:hAnsi="Times New Roman;serif"/>
          <w:b/>
          <w:color w:val="000000"/>
          <w:sz w:val="24"/>
        </w:rPr>
        <w:t>4.2 Limitation of Liability.</w:t>
      </w:r>
      <w:r>
        <w:rPr>
          <w:color w:val="000000"/>
        </w:rPr>
        <w:t xml:space="preserve"> </w:t>
      </w:r>
      <w:r>
        <w:rPr>
          <w:rFonts w:ascii="Times New Roman;serif" w:hAnsi="Times New Roman;serif"/>
          <w:b w:val="false"/>
          <w:color w:val="000000"/>
          <w:sz w:val="24"/>
        </w:rPr>
        <w:t xml:space="preserve">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COMPANY’S LIABILITY ARISING OUT OF OR IN CONNECTION WITH THIS AGREEMENT EXCEED THE AMOUNTS PAID BY COMPANY TO CONSULTANT UNDER THIS AGREEMENT FOR THE SERVICES GIVING RISE TO SUCH LIABILITY.</w:t>
      </w:r>
    </w:p>
    <w:p>
      <w:pPr>
        <w:pStyle w:val="TextBody"/>
        <w:bidi w:val="0"/>
        <w:spacing w:lineRule="auto" w:line="288" w:before="120" w:after="120"/>
        <w:ind w:left="0" w:right="0" w:firstLine="360"/>
        <w:jc w:val="left"/>
        <w:rPr>
          <w:rFonts w:ascii="Times New Roman;serif" w:hAnsi="Times New Roman;serif"/>
          <w:b/>
          <w:color w:val="000000"/>
          <w:sz w:val="24"/>
        </w:rPr>
      </w:pPr>
      <w:r>
        <w:rPr>
          <w:rFonts w:ascii="Times New Roman;serif" w:hAnsi="Times New Roman;serif"/>
          <w:b/>
          <w:color w:val="000000"/>
          <w:sz w:val="24"/>
        </w:rPr>
        <w:t>5. Term and Termination.</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5.1 Term. </w:t>
      </w:r>
      <w:r>
        <w:rPr>
          <w:rFonts w:ascii="Times New Roman;serif" w:hAnsi="Times New Roman;serif"/>
          <w:b w:val="false"/>
          <w:color w:val="000000"/>
          <w:sz w:val="24"/>
        </w:rPr>
        <w:t xml:space="preserve">The term of this Agreement (the </w:t>
      </w:r>
      <w:r>
        <w:rPr>
          <w:color w:val="000000"/>
        </w:rPr>
        <w:t>“</w:t>
      </w:r>
      <w:r>
        <w:rPr>
          <w:rFonts w:ascii="Times New Roman;serif" w:hAnsi="Times New Roman;serif"/>
          <w:b/>
          <w:i/>
          <w:color w:val="000000"/>
          <w:sz w:val="24"/>
        </w:rPr>
        <w:t>Term”</w:t>
      </w:r>
      <w:r>
        <w:rPr>
          <w:rFonts w:ascii="Times New Roman;serif" w:hAnsi="Times New Roman;serif"/>
          <w:b w:val="false"/>
          <w:color w:val="000000"/>
          <w:sz w:val="24"/>
        </w:rPr>
        <w:t>) shall commence on the Effective Date and shall remain in full force and effect until the earlier of (a) final completion of the Services or (b) termination as provided in Section 5.2.</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5.2 Termination. </w:t>
      </w:r>
      <w:r>
        <w:rPr>
          <w:rFonts w:ascii="Times New Roman;serif" w:hAnsi="Times New Roman;serif"/>
          <w:b w:val="false"/>
          <w:color w:val="000000"/>
          <w:sz w:val="24"/>
        </w:rPr>
        <w:t>Either party may terminate this Agreement upon 14 days prior written notice to the other. The Company may terminate this Agreement immediately and without prior notice if Consultant refuses to or is unable to perform the Services or is in breach of any material provision of this Agreement. The Company and Consultant agree that the terms and conditions of this Agreement, including the Term, shall be subject to an annual review by the Company.</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5.3 Survival. </w:t>
      </w:r>
      <w:r>
        <w:rPr>
          <w:rFonts w:ascii="Times New Roman;serif" w:hAnsi="Times New Roman;serif"/>
          <w:b w:val="false"/>
          <w:color w:val="000000"/>
          <w:sz w:val="24"/>
        </w:rPr>
        <w:t>Upon termination of this Agreement, all rights and duties of the parties hereunder shall cease except:</w:t>
      </w:r>
    </w:p>
    <w:p>
      <w:pPr>
        <w:pStyle w:val="TextBody"/>
        <w:bidi w:val="0"/>
        <w:spacing w:lineRule="auto" w:line="288" w:before="120" w:after="120"/>
        <w:ind w:left="0" w:right="0" w:firstLine="360"/>
        <w:jc w:val="left"/>
        <w:rPr/>
      </w:pPr>
      <w:r>
        <w:rPr>
          <w:rFonts w:ascii="Times New Roman;serif" w:hAnsi="Times New Roman;serif"/>
          <w:b/>
          <w:color w:val="000000"/>
          <w:sz w:val="24"/>
        </w:rPr>
        <w:t>(a)</w:t>
      </w:r>
      <w:r>
        <w:rPr>
          <w:color w:val="000000"/>
        </w:rPr>
        <w:t xml:space="preserve"> </w:t>
      </w:r>
      <w:r>
        <w:rPr>
          <w:rFonts w:ascii="Times New Roman;serif" w:hAnsi="Times New Roman;serif"/>
          <w:b w:val="false"/>
          <w:color w:val="000000"/>
          <w:sz w:val="24"/>
        </w:rPr>
        <w:t>The Company will pay, within 30 days after receipt of Consultant’s final statement, all amounts owing to Consultant for unpaid Services properly completed and accepted by the Company prior to the termination date and related reimbursable expenses, if any, submitted in accordance with the provisions of Section 1 of this Agreement; and</w:t>
      </w:r>
    </w:p>
    <w:p>
      <w:pPr>
        <w:pStyle w:val="TextBody"/>
        <w:bidi w:val="0"/>
        <w:spacing w:lineRule="auto" w:line="288" w:before="120" w:after="120"/>
        <w:ind w:left="0" w:right="0" w:firstLine="360"/>
        <w:jc w:val="left"/>
        <w:rPr/>
      </w:pPr>
      <w:r>
        <w:rPr>
          <w:rFonts w:ascii="Times New Roman;serif" w:hAnsi="Times New Roman;serif"/>
          <w:b/>
          <w:color w:val="000000"/>
          <w:sz w:val="24"/>
        </w:rPr>
        <w:t xml:space="preserve">(b) </w:t>
      </w:r>
      <w:r>
        <w:rPr>
          <w:rFonts w:ascii="Times New Roman;serif" w:hAnsi="Times New Roman;serif"/>
          <w:b w:val="false"/>
          <w:color w:val="000000"/>
          <w:sz w:val="24"/>
        </w:rPr>
        <w:t>Sections 1.2, 2, 3, 4, 5.3, 6, 7, 8, 9 and 10 will survive termination of this Agreement.</w:t>
      </w:r>
    </w:p>
    <w:p>
      <w:pPr>
        <w:pStyle w:val="TextBody"/>
        <w:bidi w:val="0"/>
        <w:spacing w:lineRule="auto" w:line="288" w:before="120" w:after="120"/>
        <w:ind w:left="0" w:right="0" w:firstLine="360"/>
        <w:jc w:val="left"/>
        <w:rPr>
          <w:rFonts w:ascii="Times New Roman;serif" w:hAnsi="Times New Roman;serif"/>
          <w:b/>
          <w:color w:val="000000"/>
          <w:sz w:val="24"/>
        </w:rPr>
      </w:pPr>
      <w:r>
        <w:rPr>
          <w:rFonts w:ascii="Times New Roman;serif" w:hAnsi="Times New Roman;serif"/>
          <w:b/>
          <w:color w:val="000000"/>
          <w:sz w:val="24"/>
        </w:rPr>
        <w:t>6. Independent Contractor; Taxes.</w:t>
      </w:r>
    </w:p>
    <w:p>
      <w:pPr>
        <w:pStyle w:val="TextBody"/>
        <w:bidi w:val="0"/>
        <w:spacing w:lineRule="auto" w:line="288" w:before="120" w:after="120"/>
        <w:ind w:left="0" w:right="0" w:firstLine="720"/>
        <w:jc w:val="left"/>
        <w:rPr/>
      </w:pPr>
      <w:r>
        <w:rPr>
          <w:rFonts w:ascii="Times New Roman;serif" w:hAnsi="Times New Roman;serif"/>
          <w:b/>
          <w:color w:val="000000"/>
          <w:sz w:val="24"/>
        </w:rPr>
        <w:t>6.1 Independent Contractor.</w:t>
      </w:r>
      <w:r>
        <w:rPr>
          <w:color w:val="000000"/>
        </w:rPr>
        <w:t xml:space="preserve"> </w:t>
      </w:r>
      <w:r>
        <w:rPr>
          <w:rFonts w:ascii="Times New Roman;serif" w:hAnsi="Times New Roman;serif"/>
          <w:b w:val="false"/>
          <w:color w:val="000000"/>
          <w:sz w:val="24"/>
        </w:rPr>
        <w:t>It is the express intention of the Company and Consultant that Consultant performs the Services as an independent contractor to the Company, and nothing in this Agreement should be construed to create an agency, partnership, joint venture or employer-employee relationship. Consultant (a) is not the agent, employee or representative of the Company and (b) is not authorized to bind the Company to any liability or obligation, or to represent that the Consultant has any such authority.</w:t>
      </w:r>
    </w:p>
    <w:p>
      <w:pPr>
        <w:pStyle w:val="TextBody"/>
        <w:bidi w:val="0"/>
        <w:spacing w:lineRule="auto" w:line="288" w:before="120" w:after="120"/>
        <w:ind w:left="0" w:right="0" w:firstLine="720"/>
        <w:jc w:val="left"/>
        <w:rPr/>
      </w:pPr>
      <w:r>
        <w:rPr>
          <w:rFonts w:ascii="Times New Roman;serif" w:hAnsi="Times New Roman;serif"/>
          <w:b/>
          <w:color w:val="000000"/>
          <w:sz w:val="24"/>
        </w:rPr>
        <w:t>6.2 Taxes and Withholdings.</w:t>
      </w:r>
      <w:r>
        <w:rPr>
          <w:color w:val="000000"/>
        </w:rPr>
        <w:t xml:space="preserve"> </w:t>
      </w:r>
      <w:r>
        <w:rPr>
          <w:rFonts w:ascii="Times New Roman;serif" w:hAnsi="Times New Roman;serif"/>
          <w:b w:val="false"/>
          <w:color w:val="000000"/>
          <w:sz w:val="24"/>
        </w:rPr>
        <w:t xml:space="preserve">The Company shall not be responsible for paying any federal, state or local taxes on compensation, and Consultant shall be solely responsible for the payment thereof. The Company may, however, report payments made to Consultant hereunder to tax authorities and shall inform Consultant of such actions. Consultant acknowledges and agrees that Consultant is obligated to report as income all compensation received by Consultant pursuant to this Agreement. Consultant further agrees to accept exclusive liability for complying with all applicable state and federal laws, including laws governing self-employed individuals, if applicable, such as laws related to payment of taxes, social security, disability, and other contributions based on fees paid to Consultant under this Agreement. The Company will not withhold or make payments for social security, unemployment insurance or disability insurance contributions, or obtain workers’ compensation insurance on Consultant’s behalf. Consultant hereby agrees to indemnify and defend the Company against any and all such taxes or contributions, including penalties and interest. Consultant agrees to provide proof of payment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appropriate taxes on any fees paid to Consultant under this Agreement upon reasonable request of the Company.</w:t>
      </w:r>
    </w:p>
    <w:p>
      <w:pPr>
        <w:pStyle w:val="TextBody"/>
        <w:bidi w:val="0"/>
        <w:spacing w:lineRule="auto" w:line="288" w:before="120" w:after="120"/>
        <w:ind w:left="0" w:right="0" w:firstLine="360"/>
        <w:jc w:val="left"/>
        <w:rPr>
          <w:rFonts w:ascii="Times New Roman;serif" w:hAnsi="Times New Roman;serif"/>
          <w:b/>
          <w:color w:val="000000"/>
          <w:sz w:val="24"/>
        </w:rPr>
      </w:pPr>
      <w:r>
        <w:rPr>
          <w:rFonts w:ascii="Times New Roman;serif" w:hAnsi="Times New Roman;serif"/>
          <w:b/>
          <w:color w:val="000000"/>
          <w:sz w:val="24"/>
        </w:rPr>
        <w:t>7. Indemnification.</w:t>
      </w:r>
    </w:p>
    <w:p>
      <w:pPr>
        <w:pStyle w:val="TextBody"/>
        <w:bidi w:val="0"/>
        <w:spacing w:lineRule="auto" w:line="288" w:before="120" w:after="120"/>
        <w:ind w:left="0" w:right="0" w:firstLine="720"/>
        <w:jc w:val="left"/>
        <w:rPr/>
      </w:pPr>
      <w:r>
        <w:rPr>
          <w:rFonts w:ascii="Times New Roman;serif" w:hAnsi="Times New Roman;serif"/>
          <w:b/>
          <w:color w:val="000000"/>
          <w:sz w:val="24"/>
        </w:rPr>
        <w:t>7.1 By Consultant.</w:t>
      </w:r>
      <w:r>
        <w:rPr>
          <w:color w:val="000000"/>
        </w:rPr>
        <w:t xml:space="preserve"> </w:t>
      </w:r>
      <w:r>
        <w:rPr>
          <w:rFonts w:ascii="Times New Roman;serif" w:hAnsi="Times New Roman;serif"/>
          <w:b w:val="false"/>
          <w:color w:val="000000"/>
          <w:sz w:val="24"/>
        </w:rPr>
        <w:t>Consultant agrees to indemnify and hold harmless the Company and its affiliates, and its and their respective directors, officers and employees (each a “Company Indemnitee”) from and against all losses, damages, liabilities, costs and expenses whatsoever, (including without limitation attorneys’ fees and costs), arising from any third party claim, action, demand or proceeding made or brought against a Company Indemnitee, arising from or in connection with (a) any grossly negligent or intentionally wrongful act of Consultant or Consultant’s personnel, (b) any material breach by Consultant or Consultant’s personnel of any of the covenants contained in this Agreement, (c) any material failure of Consultant to perform the Services in accordance with all applicable laws, rules and regulations, or (d) any violation or claimed violation of a third party’s rights resulting in whole or in part from the Company’s use of the work product of Consultant under this Agreement.</w:t>
      </w:r>
    </w:p>
    <w:p>
      <w:pPr>
        <w:pStyle w:val="TextBody"/>
        <w:bidi w:val="0"/>
        <w:spacing w:lineRule="auto" w:line="288" w:before="120" w:after="120"/>
        <w:ind w:left="0" w:right="0" w:firstLine="360"/>
        <w:jc w:val="left"/>
        <w:rPr>
          <w:rFonts w:ascii="Times New Roman;serif" w:hAnsi="Times New Roman;serif"/>
          <w:b/>
          <w:color w:val="000000"/>
          <w:sz w:val="24"/>
        </w:rPr>
      </w:pPr>
      <w:r>
        <w:rPr>
          <w:rFonts w:ascii="Times New Roman;serif" w:hAnsi="Times New Roman;serif"/>
          <w:b/>
          <w:color w:val="000000"/>
          <w:sz w:val="24"/>
        </w:rPr>
        <w:t>8. Conflicting Obligations; Non-solicitation; Non-Disclosure.</w:t>
      </w:r>
    </w:p>
    <w:p>
      <w:pPr>
        <w:pStyle w:val="TextBody"/>
        <w:bidi w:val="0"/>
        <w:spacing w:lineRule="auto" w:line="288" w:before="120" w:after="120"/>
        <w:ind w:left="0" w:right="0" w:firstLine="720"/>
        <w:jc w:val="left"/>
        <w:rPr/>
      </w:pPr>
      <w:r>
        <w:rPr>
          <w:rFonts w:ascii="Times New Roman;serif" w:hAnsi="Times New Roman;serif"/>
          <w:b/>
          <w:color w:val="000000"/>
          <w:sz w:val="24"/>
        </w:rPr>
        <w:t>8.1 Conflicting Obligations.</w:t>
      </w:r>
      <w:r>
        <w:rPr>
          <w:color w:val="000000"/>
        </w:rPr>
        <w:t xml:space="preserve"> </w:t>
      </w:r>
      <w:r>
        <w:rPr>
          <w:rFonts w:ascii="Times New Roman;serif" w:hAnsi="Times New Roman;serif"/>
          <w:b w:val="false"/>
          <w:color w:val="000000"/>
          <w:sz w:val="24"/>
        </w:rPr>
        <w:t>Consultant agrees to use its best efforts: (a) to segregate Consultant’s Services performed under this Agreement from Consultant’s work done for any other corporation, institution or other person or entity so as to minimize any questions of disclosure of, or rights under, any inventions; (b) to notify the Chief Executive Officer or the Board of Directors of the Company in writing if at any time the Consultant believes that such questions may result from its performance under this Agreement; and (c) to assist Company in fairly resolving any questions in this regard which may arise. The Services performed hereunder will not be conducted on time that is required to be devoted to any other third party. The Consultant shall not use the funding, resources and facilities of any other third party, without the prior written consent of Company, to perform Services hereunder and shall not perform the Services hereunder in any manner that would give any third-party rights or access to any work product of such Services.</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8.2 Nonsolicitation. </w:t>
      </w:r>
      <w:r>
        <w:rPr>
          <w:rFonts w:ascii="Times New Roman;serif" w:hAnsi="Times New Roman;serif"/>
          <w:b w:val="false"/>
          <w:color w:val="000000"/>
          <w:sz w:val="24"/>
        </w:rPr>
        <w:t xml:space="preserve">From the date of this Agreement until 12 months after the termination of this Agreement (the </w:t>
      </w:r>
      <w:r>
        <w:rPr>
          <w:color w:val="000000"/>
        </w:rPr>
        <w:t>“</w:t>
      </w:r>
      <w:r>
        <w:rPr>
          <w:rFonts w:ascii="Times New Roman;serif" w:hAnsi="Times New Roman;serif"/>
          <w:b/>
          <w:i/>
          <w:color w:val="000000"/>
          <w:sz w:val="24"/>
        </w:rPr>
        <w:t>Restricted Period”</w:t>
      </w:r>
      <w:r>
        <w:rPr>
          <w:rFonts w:ascii="Times New Roman;serif" w:hAnsi="Times New Roman;serif"/>
          <w:b w:val="false"/>
          <w:color w:val="000000"/>
          <w:sz w:val="24"/>
        </w:rPr>
        <w:t>), Consultant will not, without the Company’s prior written consent, directly or indirectly, whether for Consultant’s own account or for the account of any other person, firm, corporation or other business organization, solicit, entice, persuade, induce or otherwise attempt to influence any person or business who is, or during the period of Consultant’s engagement by the Company was, an employee, consultant, contractor, partner, supplier, customer or client of the Company or its affiliates to leave or otherwise stop doing business with the Company.</w:t>
      </w:r>
    </w:p>
    <w:p>
      <w:pPr>
        <w:pStyle w:val="TextBody"/>
        <w:bidi w:val="0"/>
        <w:spacing w:lineRule="auto" w:line="288" w:before="120" w:after="120"/>
        <w:ind w:left="0" w:right="0" w:firstLine="720"/>
        <w:jc w:val="left"/>
        <w:rPr/>
      </w:pPr>
      <w:r>
        <w:rPr>
          <w:rFonts w:ascii="Times New Roman;serif" w:hAnsi="Times New Roman;serif"/>
          <w:b/>
          <w:color w:val="000000"/>
          <w:sz w:val="24"/>
        </w:rPr>
        <w:t>8.3 Non-Disclosure.</w:t>
      </w:r>
      <w:r>
        <w:rPr>
          <w:color w:val="000000"/>
        </w:rPr>
        <w:t xml:space="preserve"> </w:t>
      </w:r>
      <w:r>
        <w:rPr>
          <w:rFonts w:ascii="Times New Roman;serif" w:hAnsi="Times New Roman;serif"/>
          <w:b w:val="false"/>
          <w:color w:val="000000"/>
          <w:sz w:val="24"/>
        </w:rPr>
        <w:t>Consultant agrees that without the prior written consent of the Company, Consultant will not intentionally generate any publicity, news release or other announcement concerning the engagement of Consultant hereunder or the services to be performed by Consultant hereunder or otherwise utilize the name of the Company or any of its affiliates for any advertising or promotional purposes.</w:t>
      </w:r>
    </w:p>
    <w:p>
      <w:pPr>
        <w:pStyle w:val="TextBody"/>
        <w:bidi w:val="0"/>
        <w:spacing w:lineRule="auto" w:line="288" w:before="120" w:after="120"/>
        <w:ind w:left="0" w:right="0" w:firstLine="360"/>
        <w:jc w:val="left"/>
        <w:rPr/>
      </w:pPr>
      <w:r>
        <w:rPr>
          <w:rFonts w:ascii="Times New Roman;serif" w:hAnsi="Times New Roman;serif"/>
          <w:b/>
          <w:color w:val="000000"/>
          <w:sz w:val="24"/>
        </w:rPr>
        <w:t xml:space="preserve">9. Voluntary Nature of Agreement. </w:t>
      </w:r>
      <w:r>
        <w:rPr>
          <w:rFonts w:ascii="Times New Roman;serif" w:hAnsi="Times New Roman;serif"/>
          <w:b w:val="false"/>
          <w:color w:val="000000"/>
          <w:sz w:val="24"/>
        </w:rPr>
        <w:t xml:space="preserve">Consultant acknowledges and agrees that Consultant is executing this Agreement voluntarily and without any duress or undue influence by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or anyone else. Consultant further acknowledges and agrees that Consultant has carefully read this Agreement and has asked any questions needed to understand the terms, consequences and binding effect of this Agreement and fully understand it to its satisfaction. Finally, Consultant agrees that Consultant has been provided an opportunity to seek the advice of an attorney of its choice before signing this Agreement.</w:t>
      </w:r>
    </w:p>
    <w:p>
      <w:pPr>
        <w:pStyle w:val="TextBody"/>
        <w:bidi w:val="0"/>
        <w:spacing w:lineRule="auto" w:line="288" w:before="120" w:after="120"/>
        <w:ind w:left="0" w:right="0" w:firstLine="360"/>
        <w:jc w:val="left"/>
        <w:rPr>
          <w:rFonts w:ascii="Times New Roman;serif" w:hAnsi="Times New Roman;serif"/>
          <w:b/>
          <w:color w:val="000000"/>
          <w:sz w:val="24"/>
        </w:rPr>
      </w:pPr>
      <w:r>
        <w:rPr>
          <w:rFonts w:ascii="Times New Roman;serif" w:hAnsi="Times New Roman;serif"/>
          <w:b/>
          <w:color w:val="000000"/>
          <w:sz w:val="24"/>
        </w:rPr>
        <w:t>10. Miscellaneous.</w:t>
      </w:r>
    </w:p>
    <w:p>
      <w:pPr>
        <w:pStyle w:val="TextBody"/>
        <w:bidi w:val="0"/>
        <w:spacing w:lineRule="auto" w:line="288" w:before="120" w:after="120"/>
        <w:ind w:left="0" w:right="0" w:firstLine="720"/>
        <w:jc w:val="left"/>
        <w:rPr/>
      </w:pPr>
      <w:r>
        <w:rPr>
          <w:rFonts w:ascii="Times New Roman;serif" w:hAnsi="Times New Roman;serif"/>
          <w:b/>
          <w:color w:val="000000"/>
          <w:sz w:val="24"/>
        </w:rPr>
        <w:t>10.1 Governing Law.</w:t>
      </w:r>
      <w:r>
        <w:rPr>
          <w:color w:val="000000"/>
        </w:rPr>
        <w:t xml:space="preserve"> </w:t>
      </w:r>
      <w:r>
        <w:rPr>
          <w:rFonts w:ascii="Times New Roman;serif" w:hAnsi="Times New Roman;serif"/>
          <w:b w:val="false"/>
          <w:color w:val="000000"/>
          <w:sz w:val="24"/>
        </w:rPr>
        <w:t>This Agreement shall be governed by the laws of Delaware, without regard to conflicts of law rules. The Parties hereby expressly consent to the personal and exclusive jurisdiction and venue of the state and federal courts located in Delaware.</w:t>
      </w:r>
    </w:p>
    <w:p>
      <w:pPr>
        <w:pStyle w:val="TextBody"/>
        <w:bidi w:val="0"/>
        <w:spacing w:lineRule="auto" w:line="288" w:before="120" w:after="120"/>
        <w:ind w:left="0" w:right="0" w:firstLine="720"/>
        <w:jc w:val="left"/>
        <w:rPr/>
      </w:pPr>
      <w:r>
        <w:rPr>
          <w:rFonts w:ascii="Times New Roman;serif" w:hAnsi="Times New Roman;serif"/>
          <w:b/>
          <w:color w:val="000000"/>
          <w:sz w:val="24"/>
        </w:rPr>
        <w:t>10.2 Assignability.</w:t>
      </w:r>
      <w:r>
        <w:rPr>
          <w:color w:val="000000"/>
        </w:rPr>
        <w:t xml:space="preserve"> </w:t>
      </w:r>
      <w:r>
        <w:rPr>
          <w:rFonts w:ascii="Times New Roman;serif" w:hAnsi="Times New Roman;serif"/>
          <w:b w:val="false"/>
          <w:color w:val="000000"/>
          <w:sz w:val="24"/>
        </w:rPr>
        <w:t>In light of the unique and specialized nature of Consultant’s services, Consultant shall not subcontract any portion of Consultant’s duties, nor assign, transfer or delegate any of its rights or obligations, under this Agreement, without the express prior written consent of the Company, and any such attempted subcontracting, assignment, delegation or transfer shall be null and void. Company may assign this Agreement, and its rights and obligations hereunder, to any successor to all or substantially all of Company’s relevant business or assets, whether by merger, consolidation, reorganization, reincorporation, sale of assets or stock, change of control or otherwise.</w:t>
      </w:r>
    </w:p>
    <w:p>
      <w:pPr>
        <w:pStyle w:val="TextBody"/>
        <w:bidi w:val="0"/>
        <w:spacing w:lineRule="auto" w:line="288" w:before="120" w:after="120"/>
        <w:ind w:left="0" w:right="0" w:firstLine="720"/>
        <w:jc w:val="left"/>
        <w:rPr/>
      </w:pPr>
      <w:r>
        <w:rPr>
          <w:rFonts w:ascii="Times New Roman;serif" w:hAnsi="Times New Roman;serif"/>
          <w:b/>
          <w:color w:val="000000"/>
          <w:sz w:val="24"/>
        </w:rPr>
        <w:t>10.3 Entire Agreement.</w:t>
      </w:r>
      <w:r>
        <w:rPr>
          <w:color w:val="000000"/>
        </w:rPr>
        <w:t xml:space="preserve"> </w:t>
      </w:r>
      <w:r>
        <w:rPr>
          <w:rFonts w:ascii="Times New Roman;serif" w:hAnsi="Times New Roman;serif"/>
          <w:b w:val="false"/>
          <w:color w:val="000000"/>
          <w:sz w:val="24"/>
        </w:rPr>
        <w:t>This Agreement (including the Exhibit attached hereto) constitutes the entire agreement between the parties with respect to the subject matter of this Agreement and supersedes all prior written and oral agreements between the parties regarding the subject matter of this Agreement.</w:t>
      </w:r>
    </w:p>
    <w:p>
      <w:pPr>
        <w:pStyle w:val="TextBody"/>
        <w:bidi w:val="0"/>
        <w:spacing w:lineRule="auto" w:line="288" w:before="120" w:after="120"/>
        <w:ind w:left="0" w:right="0" w:firstLine="720"/>
        <w:jc w:val="left"/>
        <w:rPr/>
      </w:pPr>
      <w:r>
        <w:rPr>
          <w:rFonts w:ascii="Times New Roman;serif" w:hAnsi="Times New Roman;serif"/>
          <w:b/>
          <w:color w:val="000000"/>
          <w:sz w:val="24"/>
        </w:rPr>
        <w:t>10.4 Headings.</w:t>
      </w:r>
      <w:r>
        <w:rPr>
          <w:color w:val="000000"/>
        </w:rPr>
        <w:t xml:space="preserve"> </w:t>
      </w:r>
      <w:r>
        <w:rPr>
          <w:rFonts w:ascii="Times New Roman;serif" w:hAnsi="Times New Roman;serif"/>
          <w:b w:val="false"/>
          <w:color w:val="000000"/>
          <w:sz w:val="24"/>
        </w:rPr>
        <w:t>Headings are used in this Agreement for reference only and shall not be considered when interpreting this Agreement.</w:t>
      </w:r>
    </w:p>
    <w:p>
      <w:pPr>
        <w:pStyle w:val="TextBody"/>
        <w:bidi w:val="0"/>
        <w:spacing w:lineRule="auto" w:line="288" w:before="120" w:after="120"/>
        <w:ind w:left="0" w:right="0" w:firstLine="720"/>
        <w:jc w:val="left"/>
        <w:rPr/>
      </w:pPr>
      <w:r>
        <w:rPr>
          <w:rFonts w:ascii="Times New Roman;serif" w:hAnsi="Times New Roman;serif"/>
          <w:b/>
          <w:color w:val="000000"/>
          <w:sz w:val="24"/>
        </w:rPr>
        <w:t>10.5 Notices.</w:t>
      </w:r>
      <w:r>
        <w:rPr>
          <w:color w:val="000000"/>
        </w:rPr>
        <w:t xml:space="preserve"> </w:t>
      </w:r>
      <w:r>
        <w:rPr>
          <w:rFonts w:ascii="Times New Roman;serif" w:hAnsi="Times New Roman;serif"/>
          <w:b w:val="false"/>
          <w:color w:val="000000"/>
          <w:sz w:val="24"/>
        </w:rPr>
        <w:t>Any notice or other communication required or permitted by this Agreement to be given to a party shall be in writing and shall be deemed given if delivered personally or by commercial messenger or nationally recognized overnight delivery service (e.g. Federal Express, UPS), or mailed by U.S. registered or certified mail (return receipt requested), or sent via facsimile (with receipt of confirmation of complete transmission) to such party at such party’s address or facsimile number written below or at such other address or facsimile number as such party may have previously specified by like notice. If by mail, delivery shall be deemed effective 3 business days after mailing in accordance with this Section 11.5.</w:t>
      </w:r>
    </w:p>
    <w:p>
      <w:pPr>
        <w:pStyle w:val="TextBody"/>
        <w:bidi w:val="0"/>
        <w:spacing w:lineRule="auto" w:line="288" w:before="120" w:after="12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TriSalus Life Sciences, Inc.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6272 W. 91st Avenue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Westminster, CO 80031</w:t>
      </w:r>
    </w:p>
    <w:p>
      <w:pPr>
        <w:pStyle w:val="TextBody"/>
        <w:bidi w:val="0"/>
        <w:spacing w:lineRule="auto" w:line="288" w:before="12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an email copy to: [***]</w:t>
      </w:r>
    </w:p>
    <w:p>
      <w:pPr>
        <w:pStyle w:val="TextBody"/>
        <w:bidi w:val="0"/>
        <w:spacing w:lineRule="auto" w:line="288" w:before="120" w:after="12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to Consultant, to:</w:t>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Mr. David Patience</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12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an email copy to: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ind w:left="0" w:right="0" w:firstLine="720"/>
        <w:jc w:val="left"/>
        <w:rPr/>
      </w:pPr>
      <w:r>
        <w:rPr>
          <w:rFonts w:ascii="Times New Roman;serif" w:hAnsi="Times New Roman;serif"/>
          <w:b/>
          <w:color w:val="000000"/>
          <w:sz w:val="24"/>
        </w:rPr>
        <w:t>10.6 Amendments; Waiver.</w:t>
      </w:r>
      <w:r>
        <w:rPr>
          <w:color w:val="000000"/>
        </w:rPr>
        <w:t xml:space="preserve"> </w:t>
      </w:r>
      <w:r>
        <w:rPr>
          <w:rFonts w:ascii="Times New Roman;serif" w:hAnsi="Times New Roman;serif"/>
          <w:b w:val="false"/>
          <w:color w:val="000000"/>
          <w:sz w:val="24"/>
        </w:rPr>
        <w:t>No modification of or amendment to this Agreement, or any waiver of any rights under this Agreement, will be effective unless in writing and signed by Consultant and the Company. Waiver of any term or provision of this Agreement or forbearance to enforce any term or provision by either party shall not constitute a waiver as to any subsequent breach or failure of the same term or provision or a waiver of any other term or provision of this Agreement.</w:t>
      </w:r>
    </w:p>
    <w:p>
      <w:pPr>
        <w:pStyle w:val="TextBody"/>
        <w:bidi w:val="0"/>
        <w:spacing w:lineRule="auto" w:line="288" w:before="120" w:after="120"/>
        <w:ind w:left="0" w:right="0" w:firstLine="720"/>
        <w:jc w:val="left"/>
        <w:rPr/>
      </w:pPr>
      <w:r>
        <w:rPr>
          <w:rFonts w:ascii="Times New Roman;serif" w:hAnsi="Times New Roman;serif"/>
          <w:b/>
          <w:color w:val="000000"/>
          <w:sz w:val="24"/>
        </w:rPr>
        <w:t>10.7 Attorneys’ Fees.</w:t>
      </w:r>
      <w:r>
        <w:rPr>
          <w:color w:val="000000"/>
        </w:rPr>
        <w:t xml:space="preserve"> </w:t>
      </w:r>
      <w:r>
        <w:rPr>
          <w:rFonts w:ascii="Times New Roman;serif" w:hAnsi="Times New Roman;serif"/>
          <w:b w:val="false"/>
          <w:color w:val="000000"/>
          <w:sz w:val="24"/>
        </w:rPr>
        <w:t>In any court action at law or equity that is brought by oneof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10.8 Further Assurances. </w:t>
      </w:r>
      <w:r>
        <w:rPr>
          <w:rFonts w:ascii="Times New Roman;serif" w:hAnsi="Times New Roman;serif"/>
          <w:b w:val="false"/>
          <w:color w:val="000000"/>
          <w:sz w:val="24"/>
        </w:rPr>
        <w:t>Without limiting Section 3.2 above, Consultant agrees, upon request, to execute and deliver any further documents or instruments necessary or desirable to carry out the purposes or intent of this Agreement.</w:t>
      </w:r>
    </w:p>
    <w:p>
      <w:pPr>
        <w:pStyle w:val="TextBody"/>
        <w:bidi w:val="0"/>
        <w:spacing w:lineRule="auto" w:line="288" w:before="120" w:after="120"/>
        <w:ind w:left="0" w:right="0" w:firstLine="720"/>
        <w:jc w:val="left"/>
        <w:rPr/>
      </w:pPr>
      <w:r>
        <w:rPr>
          <w:rFonts w:ascii="Times New Roman;serif" w:hAnsi="Times New Roman;serif"/>
          <w:b/>
          <w:color w:val="000000"/>
          <w:sz w:val="24"/>
        </w:rPr>
        <w:t>10.9 Severability.</w:t>
      </w:r>
      <w:r>
        <w:rPr>
          <w:color w:val="000000"/>
        </w:rPr>
        <w:t xml:space="preserve"> </w:t>
      </w:r>
      <w:r>
        <w:rPr>
          <w:rFonts w:ascii="Times New Roman;serif" w:hAnsi="Times New Roman;serif"/>
          <w:b w:val="false"/>
          <w:color w:val="000000"/>
          <w:sz w:val="24"/>
        </w:rPr>
        <w:t>If any provision of this Agreement becomes or is declared by a court of competent jurisdiction to be illegal, void or unenforceable, this Agreement shall continue in full force and effect without said provision, provided that no such severability shall be effective if it materially changes the economic benefit of this Agreement to either Company or Consultant.</w:t>
      </w:r>
    </w:p>
    <w:p>
      <w:pPr>
        <w:pStyle w:val="TextBody"/>
        <w:bidi w:val="0"/>
        <w:spacing w:lineRule="auto" w:line="288" w:before="120" w:after="120"/>
        <w:ind w:left="0" w:right="0" w:firstLine="720"/>
        <w:jc w:val="left"/>
        <w:rPr/>
      </w:pPr>
      <w:r>
        <w:rPr>
          <w:rFonts w:ascii="Times New Roman;serif" w:hAnsi="Times New Roman;serif"/>
          <w:b/>
          <w:color w:val="000000"/>
          <w:sz w:val="24"/>
        </w:rPr>
        <w:t xml:space="preserve">10.10 Counterparts and Facsimiles. </w:t>
      </w:r>
      <w:r>
        <w:rPr>
          <w:rFonts w:ascii="Times New Roman;serif" w:hAnsi="Times New Roman;serif"/>
          <w:b w:val="false"/>
          <w:color w:val="000000"/>
          <w:sz w:val="24"/>
        </w:rPr>
        <w:t>This Agreement may be executed in counterparts, each of which shall be deemed an original, but all of which taken together shall constitute one and the same instrument. Signatures delivered by facsimile or similar electronic transmission (e.g., portable document format (PDF)) shall be deemed to be binding as originals for all purposes.</w:t>
      </w:r>
    </w:p>
    <w:p>
      <w:pPr>
        <w:pStyle w:val="TextBody"/>
        <w:bidi w:val="0"/>
        <w:spacing w:lineRule="auto" w:line="288" w:before="120" w:after="120"/>
        <w:ind w:left="0" w:right="0" w:firstLine="36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IN WITNESS WHEREOF, and intending to be legally bound, the parties hereto have executed this Consulting Agreement effective as of the date first written above.</w:t>
      </w:r>
    </w:p>
    <w:tbl>
      <w:tblPr>
        <w:tblW w:w="6088" w:type="dxa"/>
        <w:jc w:val="left"/>
        <w:tblInd w:w="0" w:type="dxa"/>
        <w:tblLayout w:type="fixed"/>
        <w:tblCellMar>
          <w:top w:w="28" w:type="dxa"/>
          <w:left w:w="28" w:type="dxa"/>
          <w:bottom w:w="28" w:type="dxa"/>
          <w:right w:w="28" w:type="dxa"/>
        </w:tblCellMar>
      </w:tblPr>
      <w:tblGrid>
        <w:gridCol w:w="267"/>
        <w:gridCol w:w="234"/>
        <w:gridCol w:w="234"/>
        <w:gridCol w:w="565"/>
        <w:gridCol w:w="565"/>
        <w:gridCol w:w="579"/>
        <w:gridCol w:w="109"/>
        <w:gridCol w:w="109"/>
        <w:gridCol w:w="109"/>
        <w:gridCol w:w="496"/>
        <w:gridCol w:w="496"/>
        <w:gridCol w:w="496"/>
        <w:gridCol w:w="532"/>
        <w:gridCol w:w="532"/>
        <w:gridCol w:w="765"/>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24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TRISALUS LIFE SCIENCES,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Patience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Mary Szela</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Patience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Ms. Mary Szela</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CEO and President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THE PRINCIPAL EXECUTIVE OFFICER</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9.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 13a-14(a) AND RULE 15d-14(a) UNDER THE SECURITIES EXCHANGE ACT OF 1934, 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Mary Szela, certify that: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TriSalus Life Sciences,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2054" w:type="dxa"/>
        <w:jc w:val="left"/>
        <w:tblInd w:w="0" w:type="dxa"/>
        <w:tblLayout w:type="fixed"/>
        <w:tblCellMar>
          <w:top w:w="28" w:type="dxa"/>
          <w:left w:w="28" w:type="dxa"/>
          <w:bottom w:w="28" w:type="dxa"/>
          <w:right w:w="28" w:type="dxa"/>
        </w:tblCellMar>
      </w:tblPr>
      <w:tblGrid>
        <w:gridCol w:w="200"/>
        <w:gridCol w:w="177"/>
        <w:gridCol w:w="178"/>
        <w:gridCol w:w="438"/>
        <w:gridCol w:w="438"/>
        <w:gridCol w:w="6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r>
    </w:tbl>
    <w:p>
      <w:pPr>
        <w:pStyle w:val="TextBody"/>
        <w:bidi w:val="0"/>
        <w:spacing w:lineRule="auto" w:line="240" w:before="0" w:after="0"/>
        <w:jc w:val="left"/>
        <w:rPr>
          <w:color w:val="000000"/>
        </w:rPr>
      </w:pPr>
      <w:r>
        <w:rPr>
          <w:color w:val="000000"/>
        </w:rPr>
        <w:t> </w:t>
      </w:r>
    </w:p>
    <w:tbl>
      <w:tblPr>
        <w:tblW w:w="2519" w:type="dxa"/>
        <w:jc w:val="left"/>
        <w:tblInd w:w="0" w:type="dxa"/>
        <w:tblLayout w:type="fixed"/>
        <w:tblCellMar>
          <w:top w:w="28" w:type="dxa"/>
          <w:left w:w="28" w:type="dxa"/>
          <w:bottom w:w="28" w:type="dxa"/>
          <w:right w:w="28" w:type="dxa"/>
        </w:tblCellMar>
      </w:tblPr>
      <w:tblGrid>
        <w:gridCol w:w="805"/>
        <w:gridCol w:w="708"/>
        <w:gridCol w:w="1006"/>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Mary Szela</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Mary Szela</w:t>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PURSUANT TO RULE 13a-14(a) AND RULE 15d-14(a) UNDER THE SECURITIES EXCHANGE ACT OF 1934, 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David Patience, certify that: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TriSalus Life Sciences,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2054" w:type="dxa"/>
        <w:jc w:val="left"/>
        <w:tblInd w:w="0" w:type="dxa"/>
        <w:tblLayout w:type="fixed"/>
        <w:tblCellMar>
          <w:top w:w="28" w:type="dxa"/>
          <w:left w:w="28" w:type="dxa"/>
          <w:bottom w:w="28" w:type="dxa"/>
          <w:right w:w="28" w:type="dxa"/>
        </w:tblCellMar>
      </w:tblPr>
      <w:tblGrid>
        <w:gridCol w:w="200"/>
        <w:gridCol w:w="177"/>
        <w:gridCol w:w="178"/>
        <w:gridCol w:w="438"/>
        <w:gridCol w:w="438"/>
        <w:gridCol w:w="6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r>
    </w:tbl>
    <w:p>
      <w:pPr>
        <w:pStyle w:val="TextBody"/>
        <w:bidi w:val="0"/>
        <w:spacing w:lineRule="auto" w:line="240" w:before="0" w:after="0"/>
        <w:jc w:val="left"/>
        <w:rPr>
          <w:color w:val="000000"/>
        </w:rPr>
      </w:pPr>
      <w:r>
        <w:rPr>
          <w:color w:val="000000"/>
        </w:rPr>
        <w:t> </w:t>
      </w:r>
    </w:p>
    <w:tbl>
      <w:tblPr>
        <w:tblW w:w="2534" w:type="dxa"/>
        <w:jc w:val="left"/>
        <w:tblInd w:w="0" w:type="dxa"/>
        <w:tblLayout w:type="fixed"/>
        <w:tblCellMar>
          <w:top w:w="28" w:type="dxa"/>
          <w:left w:w="28" w:type="dxa"/>
          <w:bottom w:w="28" w:type="dxa"/>
          <w:right w:w="28" w:type="dxa"/>
        </w:tblCellMar>
      </w:tblPr>
      <w:tblGrid>
        <w:gridCol w:w="811"/>
        <w:gridCol w:w="713"/>
        <w:gridCol w:w="1010"/>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25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THE CHIEF EXECUTIVE OFFICER PURSUANT TO 18 U.S. C. SECTION 1350 AS ADOPTED PURSUANT TO SECTION 906 OF THE SARBANES-OXLEY ACT OF 2002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Mary Szela, Chief Executive Officer of TriSalus Life Sciences, Inc. (the “Company”) certifies that, to the best of her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0"/>
        <w:gridCol w:w="2790"/>
        <w:gridCol w:w="3969"/>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period ended June 30, 2025, to which this Certification is attached as Exhibit 32.1 (the “Report”), fully complies with the requirements of Section 13(a) or 15(d) of the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51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730"/>
        <w:gridCol w:w="730"/>
        <w:gridCol w:w="10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45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Mary Szela</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Mary Szela</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60"/>
        <w:jc w:val="left"/>
        <w:rPr/>
      </w:pPr>
      <w:r>
        <w:rPr/>
      </w:r>
    </w:p>
    <w:p>
      <w:pPr>
        <w:pStyle w:val="TextBody"/>
        <w:bidi w:val="0"/>
        <w:spacing w:lineRule="auto" w:line="288"/>
        <w:jc w:val="both"/>
        <w:rPr>
          <w:color w:val="000000"/>
        </w:rPr>
      </w:pPr>
      <w:r>
        <w:rPr>
          <w:color w:val="000000"/>
        </w:rPr>
        <w:t>“</w:t>
      </w: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THE CHIEF FINANCIAL OFFICER PURSUANT TO 18 U.S. C. SECTION 1350 AS ADOPTED PURSUANT TO SECTION 906 OF THE SARBANES-OXLEY ACT OF 2002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David Patience, Chief Financial Officer of TriSalus Life Sciences, Inc. (the “Company”) certifies that, to the best of his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0"/>
        <w:gridCol w:w="2790"/>
        <w:gridCol w:w="3969"/>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period ended June 30, 2025, to which this Certification is attached as Exhibit 32.1 (the “Report”), fully complies with the requirements of Section 13(a) or 15(d) of the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52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736"/>
        <w:gridCol w:w="736"/>
        <w:gridCol w:w="10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5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160"/>
        <w:jc w:val="left"/>
        <w:rPr/>
      </w:pPr>
      <w:r>
        <w:rPr/>
      </w:r>
    </w:p>
    <w:p>
      <w:pPr>
        <w:pStyle w:val="TextBody"/>
        <w:bidi w:val="0"/>
        <w:spacing w:lineRule="auto" w:line="288"/>
        <w:jc w:val="both"/>
        <w:rPr>
          <w:color w:val="000000"/>
        </w:rPr>
      </w:pPr>
      <w:r>
        <w:rPr>
          <w:color w:val="000000"/>
        </w:rPr>
        <w:t>“</w:t>
      </w: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667/000182666725000103/ex31certificateofamendment.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46360</Words>
  <Characters>253194</Characters>
  <CharactersWithSpaces>298382</CharactersWithSpaces>
  <Paragraphs>2581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