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14, 2026</w:t>
      </w:r>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TRISALUS LIFE SCIENCES, INC.</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435" w:type="dxa"/>
        <w:jc w:val="left"/>
        <w:tblInd w:w="0" w:type="dxa"/>
        <w:tblLayout w:type="fixed"/>
        <w:tblCellMar>
          <w:top w:w="28" w:type="dxa"/>
          <w:left w:w="28" w:type="dxa"/>
          <w:bottom w:w="28" w:type="dxa"/>
          <w:right w:w="28" w:type="dxa"/>
        </w:tblCellMar>
      </w:tblPr>
      <w:tblGrid>
        <w:gridCol w:w="1302"/>
        <w:gridCol w:w="1143"/>
        <w:gridCol w:w="1155"/>
        <w:gridCol w:w="394"/>
        <w:gridCol w:w="394"/>
        <w:gridCol w:w="398"/>
        <w:gridCol w:w="481"/>
        <w:gridCol w:w="481"/>
        <w:gridCol w:w="687"/>
      </w:tblGrid>
      <w:tr>
        <w:trPr/>
        <w:tc>
          <w:tcPr>
            <w:tcW w:w="130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001-39813</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85-3009869</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6272 W 91st Ave, Westminster, Colorado</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80031</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(888) 321-5212</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left"/>
        <w:tblInd w:w="0" w:type="dxa"/>
        <w:tblLayout w:type="fixed"/>
        <w:tblCellMar>
          <w:top w:w="28" w:type="dxa"/>
          <w:left w:w="28" w:type="dxa"/>
          <w:bottom w:w="28" w:type="dxa"/>
          <w:right w:w="28" w:type="dxa"/>
        </w:tblCellMar>
      </w:tblPr>
      <w:tblGrid>
        <w:gridCol w:w="1653"/>
        <w:gridCol w:w="1450"/>
        <w:gridCol w:w="1450"/>
        <w:gridCol w:w="1987"/>
        <w:gridCol w:w="1511"/>
        <w:gridCol w:w="2154"/>
      </w:tblGrid>
      <w:tr>
        <w:trPr/>
        <w:tc>
          <w:tcPr>
            <w:tcW w:w="165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 (see General Instruction A.2. below):</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02"/>
        <w:gridCol w:w="1969"/>
        <w:gridCol w:w="1989"/>
        <w:gridCol w:w="418"/>
        <w:gridCol w:w="418"/>
        <w:gridCol w:w="419"/>
        <w:gridCol w:w="728"/>
        <w:gridCol w:w="728"/>
        <w:gridCol w:w="1034"/>
      </w:tblGrid>
      <w:tr>
        <w:trPr/>
        <w:tc>
          <w:tcPr>
            <w:tcW w:w="250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TLSI</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r>
        <w:trPr/>
        <w:tc>
          <w:tcPr>
            <w:tcW w:w="64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 each whole warrant exercisable for one share of registrant's common stock at an exercise price of $11.50 per share</w:t>
            </w:r>
          </w:p>
        </w:tc>
        <w:tc>
          <w:tcPr>
            <w:tcW w:w="1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TLSIW</w:t>
            </w:r>
          </w:p>
        </w:tc>
        <w:tc>
          <w:tcPr>
            <w:tcW w:w="24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rFonts w:ascii="Times New Roman;serif" w:hAnsi="Times New Roman;serif"/>
          <w:b w:val="false"/>
          <w:color w:val="000000"/>
          <w:sz w:val="20"/>
        </w:rPr>
        <w:t>Emerging growth company</w:t>
      </w:r>
      <w:r>
        <w:rPr>
          <w:color w:val="000000"/>
        </w:rPr>
        <w:t xml:space="preserve"> </w:t>
      </w:r>
      <w:r>
        <w:rPr>
          <w:rFonts w:ascii="Wingdings;sans-serif" w:hAnsi="Wingdings;sans-serif"/>
          <w:b w:val="false"/>
          <w:color w:val="000000"/>
          <w:sz w:val="20"/>
        </w:rPr>
        <w:t>o</w:t>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1329"/>
        <w:gridCol w:w="1329"/>
        <w:gridCol w:w="188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May 14, 2026, TriSalus Life Sciences, Inc. (the “Company”) held its Annual Meeting of Stockholders (the “Meeting”).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 total of 41,728,676 shares of our Common Stock, or 67.9% of the total outstanding shares, of our Common Stock were represented at the Meeting. The final voting results for each of the matters submitted to a stockholder vote at the Meeting are set forth below:</w:t>
      </w:r>
    </w:p>
    <w:p>
      <w:pPr>
        <w:pStyle w:val="TextBody"/>
        <w:bidi w:val="0"/>
        <w:spacing w:lineRule="auto" w:line="288" w:before="6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two nominees for Directors were elected to serve three-year terms to expire at the annual meeting of stockholders in 2029, as follows: </w:t>
      </w:r>
    </w:p>
    <w:tbl>
      <w:tblPr>
        <w:tblW w:w="5797" w:type="dxa"/>
        <w:jc w:val="center"/>
        <w:tblInd w:w="0" w:type="dxa"/>
        <w:tblLayout w:type="fixed"/>
        <w:tblCellMar>
          <w:top w:w="28" w:type="dxa"/>
          <w:left w:w="28" w:type="dxa"/>
          <w:bottom w:w="28" w:type="dxa"/>
          <w:right w:w="28" w:type="dxa"/>
        </w:tblCellMar>
      </w:tblPr>
      <w:tblGrid>
        <w:gridCol w:w="423"/>
        <w:gridCol w:w="372"/>
        <w:gridCol w:w="374"/>
        <w:gridCol w:w="109"/>
        <w:gridCol w:w="109"/>
        <w:gridCol w:w="109"/>
        <w:gridCol w:w="344"/>
        <w:gridCol w:w="344"/>
        <w:gridCol w:w="348"/>
        <w:gridCol w:w="109"/>
        <w:gridCol w:w="109"/>
        <w:gridCol w:w="109"/>
        <w:gridCol w:w="309"/>
        <w:gridCol w:w="309"/>
        <w:gridCol w:w="313"/>
        <w:gridCol w:w="109"/>
        <w:gridCol w:w="109"/>
        <w:gridCol w:w="109"/>
        <w:gridCol w:w="492"/>
        <w:gridCol w:w="492"/>
        <w:gridCol w:w="696"/>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 Szela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31,393,310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2,614,246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7,721,120</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Gary Gordon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31,339,161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2,668,395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7,721,120</w:t>
            </w:r>
          </w:p>
        </w:tc>
      </w:tr>
    </w:tbl>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appointment of Grant Thornton, LLP to serve as our independent registered accounting firm for the fiscal year ending December 31, 2026 was ratified by the stockholder vote:</w:t>
      </w:r>
    </w:p>
    <w:tbl>
      <w:tblPr>
        <w:tblW w:w="3282"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250"/>
        <w:gridCol w:w="250"/>
        <w:gridCol w:w="251"/>
        <w:gridCol w:w="109"/>
        <w:gridCol w:w="109"/>
        <w:gridCol w:w="109"/>
        <w:gridCol w:w="241"/>
        <w:gridCol w:w="241"/>
        <w:gridCol w:w="344"/>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41,098,385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601,624</w:t>
            </w:r>
          </w:p>
        </w:tc>
      </w:tr>
    </w:tbl>
    <w:p>
      <w:pPr>
        <w:pStyle w:val="TextBody"/>
        <w:bidi w:val="0"/>
        <w:spacing w:lineRule="auto" w:line="288" w:before="6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3.The proposal to approve, on an advisory basis, a three-year frequency with which the Company should conduct future stockholder advisory votes on named executive officer compensation was approved by the stockholder vote: </w:t>
      </w:r>
    </w:p>
    <w:tbl>
      <w:tblPr>
        <w:tblW w:w="6637" w:type="dxa"/>
        <w:jc w:val="center"/>
        <w:tblInd w:w="0" w:type="dxa"/>
        <w:tblLayout w:type="fixed"/>
        <w:tblCellMar>
          <w:top w:w="28" w:type="dxa"/>
          <w:left w:w="28" w:type="dxa"/>
          <w:bottom w:w="28" w:type="dxa"/>
          <w:right w:w="28" w:type="dxa"/>
        </w:tblCellMar>
      </w:tblPr>
      <w:tblGrid>
        <w:gridCol w:w="380"/>
        <w:gridCol w:w="334"/>
        <w:gridCol w:w="337"/>
        <w:gridCol w:w="109"/>
        <w:gridCol w:w="109"/>
        <w:gridCol w:w="109"/>
        <w:gridCol w:w="259"/>
        <w:gridCol w:w="259"/>
        <w:gridCol w:w="263"/>
        <w:gridCol w:w="109"/>
        <w:gridCol w:w="109"/>
        <w:gridCol w:w="109"/>
        <w:gridCol w:w="344"/>
        <w:gridCol w:w="344"/>
        <w:gridCol w:w="348"/>
        <w:gridCol w:w="109"/>
        <w:gridCol w:w="109"/>
        <w:gridCol w:w="109"/>
        <w:gridCol w:w="259"/>
        <w:gridCol w:w="259"/>
        <w:gridCol w:w="26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12,656,430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736,931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20,348,386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7,721,120</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After considering the results of the advisory vote, the Board of Directors approved a resolution that the Company will hold future stockholder advisory votes on named executive officer compensation every three years.</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proposal to approve, on an advisory basis, the compensation of the Company’s named executive officers was approved by the stockholder vote:</w:t>
      </w:r>
    </w:p>
    <w:tbl>
      <w:tblPr>
        <w:tblW w:w="5424" w:type="dxa"/>
        <w:jc w:val="center"/>
        <w:tblInd w:w="0" w:type="dxa"/>
        <w:tblLayout w:type="fixed"/>
        <w:tblCellMar>
          <w:top w:w="28" w:type="dxa"/>
          <w:left w:w="28" w:type="dxa"/>
          <w:bottom w:w="28" w:type="dxa"/>
          <w:right w:w="28" w:type="dxa"/>
        </w:tblCellMar>
      </w:tblPr>
      <w:tblGrid>
        <w:gridCol w:w="380"/>
        <w:gridCol w:w="332"/>
        <w:gridCol w:w="339"/>
        <w:gridCol w:w="109"/>
        <w:gridCol w:w="109"/>
        <w:gridCol w:w="109"/>
        <w:gridCol w:w="309"/>
        <w:gridCol w:w="309"/>
        <w:gridCol w:w="313"/>
        <w:gridCol w:w="109"/>
        <w:gridCol w:w="109"/>
        <w:gridCol w:w="109"/>
        <w:gridCol w:w="259"/>
        <w:gridCol w:w="259"/>
        <w:gridCol w:w="26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32,625,082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1,206,105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176,369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7,721,120</w:t>
            </w:r>
          </w:p>
        </w:tc>
      </w:tr>
    </w:tbl>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298" w:type="dxa"/>
        <w:jc w:val="left"/>
        <w:tblInd w:w="0" w:type="dxa"/>
        <w:tblLayout w:type="fixed"/>
        <w:tblCellMar>
          <w:top w:w="28" w:type="dxa"/>
          <w:left w:w="28" w:type="dxa"/>
          <w:bottom w:w="28" w:type="dxa"/>
          <w:right w:w="28" w:type="dxa"/>
        </w:tblCellMar>
      </w:tblPr>
      <w:tblGrid>
        <w:gridCol w:w="629"/>
        <w:gridCol w:w="554"/>
        <w:gridCol w:w="557"/>
        <w:gridCol w:w="258"/>
        <w:gridCol w:w="258"/>
        <w:gridCol w:w="258"/>
        <w:gridCol w:w="258"/>
        <w:gridCol w:w="258"/>
        <w:gridCol w:w="258"/>
        <w:gridCol w:w="589"/>
        <w:gridCol w:w="589"/>
        <w:gridCol w:w="83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TriSalus Life Sciences,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3555</Characters>
  <CharactersWithSpaces>4098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