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6" w:lineRule="exact"/>
        <w:rPr>
          <w:sz w:val="24"/>
          <w:szCs w:val="24"/>
          <w:color w:val="auto"/>
        </w:rPr>
      </w:pPr>
    </w:p>
    <w:p>
      <w:pPr>
        <w:ind w:left="3820" w:right="1580" w:hanging="3794"/>
        <w:spacing w:after="0" w:line="427" w:lineRule="auto"/>
        <w:tabs>
          <w:tab w:leader="none" w:pos="507"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6" w:lineRule="exact"/>
        <w:rPr>
          <w:sz w:val="24"/>
          <w:szCs w:val="24"/>
          <w:color w:val="auto"/>
        </w:rPr>
      </w:pPr>
    </w:p>
    <w:p>
      <w:pPr>
        <w:ind w:left="3780" w:right="1560" w:hanging="3754"/>
        <w:spacing w:after="0" w:line="443" w:lineRule="auto"/>
        <w:tabs>
          <w:tab w:leader="none" w:pos="5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001-39813</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TRISALUS LIFE SCIENCES,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69"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85-3009869</w:t>
            </w:r>
          </w:p>
        </w:tc>
      </w:tr>
      <w:tr>
        <w:trPr>
          <w:trHeight w:val="270"/>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3"/>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6272 W 91st Ave, Westminster, CO</w:t>
            </w:r>
          </w:p>
        </w:tc>
        <w:tc>
          <w:tcPr>
            <w:tcW w:w="3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80031</w:t>
            </w:r>
          </w:p>
        </w:tc>
      </w:tr>
      <w:tr>
        <w:trPr>
          <w:trHeight w:val="270"/>
        </w:trPr>
        <w:tc>
          <w:tcPr>
            <w:tcW w:w="466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(888) 321-5212</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8"/>
          <w:szCs w:val="18"/>
          <w:color w:val="auto"/>
        </w:rPr>
        <w:t>N/A (Former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TLSI</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TLSIW</w:t>
            </w:r>
          </w:p>
        </w:tc>
        <w:tc>
          <w:tcPr>
            <w:tcW w:w="4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r>
        <w:trPr>
          <w:trHeight w:val="216"/>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registrant's common stock at an exercise price of $11.50 per</w:t>
            </w:r>
          </w:p>
        </w:tc>
        <w:tc>
          <w:tcPr>
            <w:tcW w:w="2100" w:type="dxa"/>
            <w:vAlign w:val="bottom"/>
            <w:tcBorders>
              <w:right w:val="single" w:sz="8" w:color="auto"/>
            </w:tcBorders>
            <w:vMerge w:val="continue"/>
          </w:tcPr>
          <w:p>
            <w:pPr>
              <w:spacing w:after="0"/>
              <w:rPr>
                <w:sz w:val="18"/>
                <w:szCs w:val="18"/>
                <w:color w:val="auto"/>
              </w:rPr>
            </w:pPr>
          </w:p>
        </w:tc>
        <w:tc>
          <w:tcPr>
            <w:tcW w:w="4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2100" w:type="dxa"/>
            <w:vAlign w:val="bottom"/>
            <w:tcBorders>
              <w:right w:val="single" w:sz="8" w:color="auto"/>
            </w:tcBorders>
          </w:tcPr>
          <w:p>
            <w:pPr>
              <w:spacing w:after="0"/>
              <w:rPr>
                <w:sz w:val="20"/>
                <w:szCs w:val="20"/>
                <w:color w:val="auto"/>
              </w:rPr>
            </w:pPr>
          </w:p>
        </w:tc>
        <w:tc>
          <w:tcPr>
            <w:tcW w:w="4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220"/>
        <w:spacing w:after="0" w:line="30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2" w:lineRule="exact"/>
        <w:rPr>
          <w:sz w:val="24"/>
          <w:szCs w:val="24"/>
          <w:color w:val="auto"/>
        </w:rPr>
      </w:pPr>
    </w:p>
    <w:p>
      <w:pPr>
        <w:jc w:val="both"/>
        <w:ind w:right="280"/>
        <w:spacing w:after="0" w:line="30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9" w:lineRule="exact"/>
        <w:rPr>
          <w:sz w:val="24"/>
          <w:szCs w:val="24"/>
          <w:color w:val="auto"/>
        </w:rPr>
      </w:pPr>
    </w:p>
    <w:p>
      <w:pPr>
        <w:jc w:val="both"/>
        <w:ind w:right="30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“smaller reporting company,” and "emerging growth company" in Rule 12b-2 of the Exchange Act. (Check one):</w:t>
      </w:r>
    </w:p>
    <w:p>
      <w:pPr>
        <w:spacing w:after="0" w:line="26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rPr>
              <w:t>o</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940"/>
              <w:spacing w:after="0"/>
              <w:rPr>
                <w:sz w:val="20"/>
                <w:szCs w:val="20"/>
                <w:color w:val="auto"/>
              </w:rPr>
            </w:pPr>
            <w:r>
              <w:rPr>
                <w:rFonts w:ascii="Wingdings" w:cs="Wingdings" w:eastAsia="Wingdings" w:hAnsi="Wingdings"/>
                <w:sz w:val="18"/>
                <w:szCs w:val="18"/>
                <w:b w:val="1"/>
                <w:bCs w:val="1"/>
                <w:color w:val="auto"/>
              </w:rPr>
              <w:t>x</w:t>
            </w: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5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4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7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92" w:lineRule="exact"/>
        <w:rPr>
          <w:sz w:val="24"/>
          <w:szCs w:val="24"/>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220"/>
          </w:cols>
          <w:pgMar w:left="320" w:top="243" w:right="3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37,838,962 shares of common stock outstanding as of May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22"/>
                <w:szCs w:val="22"/>
                <w:color w:val="auto"/>
              </w:rPr>
            </w:pPr>
          </w:p>
        </w:tc>
      </w:tr>
      <w:tr>
        <w:trPr>
          <w:trHeight w:val="405"/>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24"/>
                <w:szCs w:val="24"/>
                <w:color w:val="auto"/>
              </w:rPr>
            </w:pPr>
          </w:p>
        </w:tc>
      </w:tr>
      <w:tr>
        <w:trPr>
          <w:trHeight w:val="256"/>
        </w:trPr>
        <w:tc>
          <w:tcPr>
            <w:tcW w:w="1140" w:type="dxa"/>
            <w:vAlign w:val="bottom"/>
            <w:shd w:val="clear" w:color="auto" w:fill="CCEEFF"/>
          </w:tcPr>
          <w:p>
            <w:pPr>
              <w:spacing w:after="0"/>
              <w:rPr>
                <w:sz w:val="22"/>
                <w:szCs w:val="22"/>
                <w:color w:val="auto"/>
              </w:rPr>
            </w:pPr>
          </w:p>
        </w:tc>
        <w:tc>
          <w:tcPr>
            <w:tcW w:w="9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8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24"/>
                <w:szCs w:val="24"/>
                <w:color w:val="auto"/>
              </w:rPr>
            </w:pP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21"/>
                <w:szCs w:val="21"/>
                <w:color w:val="auto"/>
              </w:rPr>
            </w:pPr>
          </w:p>
        </w:tc>
      </w:tr>
      <w:tr>
        <w:trPr>
          <w:trHeight w:val="297"/>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Stockholders’ Deficit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spacing w:after="0"/>
              <w:rPr>
                <w:sz w:val="24"/>
                <w:szCs w:val="24"/>
                <w:color w:val="auto"/>
              </w:rPr>
            </w:pP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24"/>
                <w:szCs w:val="24"/>
                <w:color w:val="auto"/>
              </w:rPr>
            </w:pPr>
          </w:p>
        </w:tc>
      </w:tr>
      <w:tr>
        <w:trPr>
          <w:trHeight w:val="297"/>
        </w:trPr>
        <w:tc>
          <w:tcPr>
            <w:tcW w:w="1140" w:type="dxa"/>
            <w:vAlign w:val="bottom"/>
          </w:tcPr>
          <w:p>
            <w:pPr>
              <w:spacing w:after="0"/>
              <w:rPr>
                <w:sz w:val="24"/>
                <w:szCs w:val="24"/>
                <w:color w:val="auto"/>
              </w:rPr>
            </w:pP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 w:type="dxa"/>
            <w:vAlign w:val="bottom"/>
          </w:tcPr>
          <w:p>
            <w:pPr>
              <w:spacing w:after="0"/>
              <w:rPr>
                <w:sz w:val="24"/>
                <w:szCs w:val="24"/>
                <w:color w:val="auto"/>
              </w:rPr>
            </w:pPr>
          </w:p>
        </w:tc>
      </w:tr>
      <w:tr>
        <w:trPr>
          <w:trHeight w:val="256"/>
        </w:trPr>
        <w:tc>
          <w:tcPr>
            <w:tcW w:w="114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1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Pr>
          <w:p>
            <w:pPr>
              <w:spacing w:after="0"/>
              <w:rPr>
                <w:sz w:val="24"/>
                <w:szCs w:val="24"/>
                <w:color w:val="auto"/>
              </w:rPr>
            </w:pPr>
          </w:p>
        </w:tc>
      </w:tr>
      <w:tr>
        <w:trPr>
          <w:trHeight w:val="297"/>
        </w:trPr>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 w:type="dxa"/>
            <w:vAlign w:val="bottom"/>
          </w:tcPr>
          <w:p>
            <w:pPr>
              <w:spacing w:after="0"/>
              <w:rPr>
                <w:sz w:val="24"/>
                <w:szCs w:val="24"/>
                <w:color w:val="auto"/>
              </w:rPr>
            </w:pPr>
          </w:p>
        </w:tc>
      </w:tr>
      <w:tr>
        <w:trPr>
          <w:trHeight w:val="27"/>
        </w:trPr>
        <w:tc>
          <w:tcPr>
            <w:tcW w:w="114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40" w:type="dxa"/>
            <w:vAlign w:val="bottom"/>
            <w:shd w:val="clear" w:color="auto" w:fill="CCEEFF"/>
          </w:tcPr>
          <w:p>
            <w:pPr>
              <w:spacing w:after="0"/>
              <w:rPr>
                <w:sz w:val="23"/>
                <w:szCs w:val="23"/>
                <w:color w:val="auto"/>
              </w:rPr>
            </w:pPr>
          </w:p>
        </w:tc>
        <w:tc>
          <w:tcPr>
            <w:tcW w:w="90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9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 w:type="dxa"/>
            <w:vAlign w:val="bottom"/>
          </w:tcPr>
          <w:p>
            <w:pPr>
              <w:spacing w:after="0"/>
              <w:rPr>
                <w:sz w:val="24"/>
                <w:szCs w:val="24"/>
                <w:color w:val="auto"/>
              </w:rPr>
            </w:pPr>
          </w:p>
        </w:tc>
      </w:tr>
      <w:tr>
        <w:trPr>
          <w:trHeight w:val="931"/>
        </w:trPr>
        <w:tc>
          <w:tcPr>
            <w:tcW w:w="1140" w:type="dxa"/>
            <w:vAlign w:val="bottom"/>
          </w:tcPr>
          <w:p>
            <w:pPr>
              <w:spacing w:after="0"/>
              <w:rPr>
                <w:sz w:val="24"/>
                <w:szCs w:val="24"/>
                <w:color w:val="auto"/>
              </w:rPr>
            </w:pPr>
          </w:p>
        </w:tc>
        <w:tc>
          <w:tcPr>
            <w:tcW w:w="90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9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Form10-Q (the "Quarterly Report")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“outlook,” “believes,” “expects,” “potential,” “continues,” “may,” “will,” “should,” “could,” “seeks,” “approximately,” “predicts,” “intends,” “plans,” “estimates,” “anticipates” or the negative version of these words or other comparable words or phrases.</w:t>
      </w:r>
    </w:p>
    <w:p>
      <w:pPr>
        <w:spacing w:after="0" w:line="124"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w:t>
      </w:r>
    </w:p>
    <w:p>
      <w:pPr>
        <w:spacing w:after="0" w:line="9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Some factors that could cause actual results to differ include:</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 and to access additional delayed draws that may in the future become available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retain or recruit, or changes required in, our officers, key employees or directors;</w:t>
      </w:r>
    </w:p>
    <w:p>
      <w:pPr>
        <w:spacing w:after="0" w:line="116"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successfully commercialize any product candidates that we successfully develop and that are approved by applicable regulatory authorities;</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for the timing and results of data from clinical trials and regulatory approval applications;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business, operations and financial performance including:</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history of operating losses and expectations of significant expenses and continuing losses for the foreseeable future;</w:t>
      </w:r>
    </w:p>
    <w:p>
      <w:pPr>
        <w:spacing w:after="0" w:line="116" w:lineRule="exact"/>
        <w:rPr>
          <w:rFonts w:ascii="Arial" w:cs="Arial" w:eastAsia="Arial" w:hAnsi="Arial"/>
          <w:sz w:val="18"/>
          <w:szCs w:val="18"/>
          <w:color w:val="auto"/>
        </w:rPr>
      </w:pPr>
    </w:p>
    <w:p>
      <w:pPr>
        <w:ind w:left="1300" w:right="160" w:hanging="320"/>
        <w:spacing w:after="0" w:line="281" w:lineRule="auto"/>
        <w:tabs>
          <w:tab w:leader="none" w:pos="1296"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execute our business strategy, including the growth potential of the markets for our products and our ability to serve those markets;</w:t>
      </w:r>
    </w:p>
    <w:p>
      <w:pPr>
        <w:spacing w:after="0" w:line="54"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and maintain our brand and reputation;</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partner with other companies;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size of the addressable markets for our product candidates;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in the Nasdaq Global Market, and the potential liquidity and trading of such securities;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the outcome of any legal proceedings that may be instituted against us; and</w:t>
      </w:r>
    </w:p>
    <w:p>
      <w:pPr>
        <w:spacing w:after="0" w:line="116" w:lineRule="exact"/>
        <w:rPr>
          <w:rFonts w:ascii="Arial" w:cs="Arial" w:eastAsia="Arial" w:hAnsi="Arial"/>
          <w:sz w:val="18"/>
          <w:szCs w:val="18"/>
          <w:color w:val="auto"/>
        </w:rPr>
      </w:pPr>
    </w:p>
    <w:p>
      <w:pPr>
        <w:ind w:left="1300" w:right="300" w:hanging="320"/>
        <w:spacing w:after="0" w:line="281" w:lineRule="auto"/>
        <w:tabs>
          <w:tab w:leader="none" w:pos="1296" w:val="left"/>
        </w:tabs>
        <w:numPr>
          <w:ilvl w:val="1"/>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financial and credit market fluctuations, international trade relations, pandemics, political turmoil, natural catastrophes, warfare and terrorist attacks.</w:t>
      </w:r>
    </w:p>
    <w:p>
      <w:pPr>
        <w:spacing w:after="0" w:line="8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Should one or more of the risks or uncertainties described in this Quarterly Report occur, or should underlying</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assumptions prove incorrect, actual results and plans could differ materially from those expressed in any forward-looking statements. For a further discussion of these and other factors that could cause our future results, performance or transactions to differ significantly from those expressed in any forward-looking statement, please see the section titled “Risk Factors.”</w:t>
      </w:r>
    </w:p>
    <w:p>
      <w:pPr>
        <w:spacing w:after="0" w:line="9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Except to the extent required by applicable law, we are under no obligation (and expressly disclaim any such obligation) to update or revise their forward-looking statements whether as a result of new information, future events, or otherwise. You should read this Quarterly Report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35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3"/>
        </w:trPr>
        <w:tc>
          <w:tcPr>
            <w:tcW w:w="77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37"/>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63"/>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tcBorders>
              <w:bottom w:val="single" w:sz="8" w:color="CCEEFF"/>
            </w:tcBorders>
            <w:shd w:val="clear" w:color="auto" w:fill="CCEEFF"/>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unamortized discount and debt issuance costs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and SEPA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49,865</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Convertible Series A, $0.0001 par value per share, $10.00 liquidation value per share.</w:t>
            </w:r>
          </w:p>
        </w:tc>
        <w:tc>
          <w:tcPr>
            <w:tcW w:w="240" w:type="dxa"/>
            <w:vAlign w:val="bottom"/>
          </w:tcPr>
          <w:p>
            <w:pPr>
              <w:spacing w:after="0"/>
              <w:rPr>
                <w:sz w:val="19"/>
                <w:szCs w:val="19"/>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10,000,000 shares at March 31, 2025 and December 31, 2024, respectively; issued and</w:t>
            </w:r>
          </w:p>
        </w:tc>
        <w:tc>
          <w:tcPr>
            <w:tcW w:w="2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3,620,002 and 3,985,002 shares at March 31, 2025, and December 31, 2024, respectively.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per share. Authorized 400,000,000 shares at March 31, 2025 and</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 respectively; issued and outstanding, 32,272,462 and 31,279,264 shares at March 31,</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253,652</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(279,549)</w:t>
            </w:r>
          </w:p>
        </w:tc>
        <w:tc>
          <w:tcPr>
            <w:tcW w:w="0" w:type="dxa"/>
            <w:vAlign w:val="bottom"/>
          </w:tcPr>
          <w:p>
            <w:pPr>
              <w:spacing w:after="0"/>
              <w:rPr>
                <w:sz w:val="1"/>
                <w:szCs w:val="1"/>
                <w:color w:val="auto"/>
              </w:rPr>
            </w:pPr>
          </w:p>
        </w:tc>
      </w:tr>
      <w:tr>
        <w:trPr>
          <w:trHeight w:val="23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7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5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7"/>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r>
      <w:tr>
        <w:trPr>
          <w:trHeight w:val="237"/>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SEPA, warrant, and revenue base redemption liabilities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4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2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7"/>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7"/>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28,527,453</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23,323,045</w:t>
            </w:r>
          </w:p>
        </w:tc>
      </w:tr>
      <w:tr>
        <w:trPr>
          <w:trHeight w:val="27"/>
        </w:trPr>
        <w:tc>
          <w:tcPr>
            <w:tcW w:w="7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2320" w:type="dxa"/>
            <w:vAlign w:val="bottom"/>
            <w:tcBorders>
              <w:bottom w:val="single" w:sz="8" w:color="auto"/>
            </w:tcBorders>
            <w:gridSpan w:val="5"/>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3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3,985,002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31,279,264</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0" w:type="dxa"/>
            <w:vAlign w:val="bottom"/>
          </w:tcPr>
          <w:p>
            <w:pPr>
              <w:spacing w:after="0"/>
              <w:rPr>
                <w:sz w:val="1"/>
                <w:szCs w:val="1"/>
                <w:color w:val="auto"/>
              </w:rPr>
            </w:pPr>
          </w:p>
        </w:tc>
      </w:tr>
      <w:tr>
        <w:trPr>
          <w:trHeight w:val="24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215,369</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4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777,829</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37"/>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3,620,002</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32,272,462</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255,551</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(289,924)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(34,370)</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2"/>
        </w:trPr>
        <w:tc>
          <w:tcPr>
            <w:tcW w:w="2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2320" w:type="dxa"/>
            <w:vAlign w:val="bottom"/>
            <w:tcBorders>
              <w:bottom w:val="single" w:sz="8" w:color="auto"/>
            </w:tcBorders>
            <w:gridSpan w:val="5"/>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3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2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4,015,002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26,413,213</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0" w:type="dxa"/>
            <w:vAlign w:val="bottom"/>
          </w:tcPr>
          <w:p>
            <w:pPr>
              <w:spacing w:after="0"/>
              <w:rPr>
                <w:sz w:val="1"/>
                <w:szCs w:val="1"/>
                <w:color w:val="auto"/>
              </w:rPr>
            </w:pPr>
          </w:p>
        </w:tc>
      </w:tr>
      <w:tr>
        <w:trPr>
          <w:trHeight w:val="24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25"/>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0" w:type="dxa"/>
            <w:vAlign w:val="bottom"/>
          </w:tcPr>
          <w:p>
            <w:pPr>
              <w:spacing w:after="0"/>
              <w:rPr>
                <w:sz w:val="1"/>
                <w:szCs w:val="1"/>
                <w:color w:val="auto"/>
              </w:rPr>
            </w:pPr>
          </w:p>
        </w:tc>
      </w:tr>
      <w:tr>
        <w:trPr>
          <w:trHeight w:val="26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4,015,002</w:t>
            </w: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26,758,272</w:t>
            </w:r>
          </w:p>
        </w:tc>
        <w:tc>
          <w:tcPr>
            <w:tcW w:w="3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226,671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(262,710)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 Amount reflects 2,906 shares issued for option exercises and 7,847 shares returned from options exercised in 2023 to correct clerical error.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40" w:type="dxa"/>
            <w:vAlign w:val="bottom"/>
          </w:tcPr>
          <w:p>
            <w:pPr>
              <w:spacing w:after="0"/>
              <w:rPr>
                <w:sz w:val="19"/>
                <w:szCs w:val="19"/>
                <w:color w:val="auto"/>
              </w:rPr>
            </w:pPr>
          </w:p>
        </w:tc>
        <w:tc>
          <w:tcPr>
            <w:tcW w:w="316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80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operating activities: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available to common stockholders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(10,375)</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(13,206)</w:t>
            </w:r>
          </w:p>
        </w:tc>
      </w:tr>
      <w:tr>
        <w:trPr>
          <w:trHeight w:val="253"/>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5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Reduction in the carrying amount of right-of-use assets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warrants and SEPA liabilities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r>
      <w:tr>
        <w:trPr>
          <w:trHeight w:val="25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OrbiMed Warrants and revenue base redemption liabilities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contingent earnout liability</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w:t>
            </w:r>
          </w:p>
        </w:tc>
      </w:tr>
      <w:tr>
        <w:trPr>
          <w:trHeight w:val="25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r>
      <w:tr>
        <w:trPr>
          <w:trHeight w:val="25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5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33"/>
        </w:trPr>
        <w:tc>
          <w:tcPr>
            <w:tcW w:w="8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Inventory, net</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53"/>
        </w:trPr>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Prepaid expenses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33"/>
        </w:trPr>
        <w:tc>
          <w:tcPr>
            <w:tcW w:w="8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Deposits</w:t>
            </w:r>
          </w:p>
        </w:tc>
        <w:tc>
          <w:tcPr>
            <w:tcW w:w="9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53"/>
        </w:trPr>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23"/>
        </w:trPr>
        <w:tc>
          <w:tcPr>
            <w:tcW w:w="8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Trade payables and accrued liabilities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0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(4,499)</w:t>
            </w:r>
          </w:p>
        </w:tc>
        <w:tc>
          <w:tcPr>
            <w:tcW w:w="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(10,867)</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2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the disposal of property and equipment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0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w:t>
            </w:r>
          </w:p>
        </w:tc>
        <w:tc>
          <w:tcPr>
            <w:tcW w:w="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23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debt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finance lease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46"/>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exercise of stock options for common stock</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9,688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3,126</w:t>
            </w:r>
          </w:p>
        </w:tc>
      </w:tr>
      <w:tr>
        <w:trPr>
          <w:trHeight w:val="243"/>
        </w:trPr>
        <w:tc>
          <w:tcPr>
            <w:tcW w:w="8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w:t>
            </w:r>
          </w:p>
        </w:tc>
      </w:tr>
      <w:tr>
        <w:trPr>
          <w:trHeight w:val="237"/>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12,127</w:t>
            </w:r>
          </w:p>
        </w:tc>
      </w:tr>
      <w:tr>
        <w:trPr>
          <w:trHeight w:val="26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13,350</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8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paid</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items: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asset purchase through exchange of finance lease right-of-use asset</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Derecognition of finance lease right-of-use asset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asset purchases included in trade payables and accrued expenses</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of warrants issued related to OrbiMed debt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August 10, 2023 (the "Closing Date"), TriSalus Life Sciences, Inc., a Delaware corporation (the “Company,” “TriSalus,” “we,” “us”), formerly known as MedTech Acquisition Corporation (“MTAC”), consummated the previously announced merger pursuant to the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The closing of the Business Combination is herein referred to as “the Closing.”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As further described in Note </w:t>
      </w:r>
      <w:r>
        <w:rPr>
          <w:rFonts w:ascii="Times New Roman" w:cs="Times New Roman" w:eastAsia="Times New Roman" w:hAnsi="Times New Roman"/>
          <w:sz w:val="18"/>
          <w:szCs w:val="18"/>
          <w:i w:val="1"/>
          <w:iCs w:val="1"/>
          <w:color w:val="auto"/>
        </w:rPr>
        <w:t>(3)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Legacy TriSalus was deemed to be the accounting acquirer and predecessor company in the Business Combination.</w:t>
      </w:r>
    </w:p>
    <w:p>
      <w:pPr>
        <w:spacing w:after="0" w:line="16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tumor immune cells in liver, pancreas and other solid tumors. By systematically addressing these barriers, we aim to improve response to therapies and to enable improved patient outcomes.</w:t>
      </w:r>
    </w:p>
    <w:p>
      <w:pPr>
        <w:spacing w:after="0" w:line="11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market our cutting-edge Pressure Enabled Drug Delivery (PEDD™) infusion systems, which optimize delivery of embolics and therapeutics for the treatment of various solid tumors. Our PEDD with SmartValve™ is the only technology designed to work in synchrony with the cardiac cycle to open collapsed open collapsed arterial vessels to enable deeper perfusion and improve therapeutic drug delivery in tumors with high intratumoral pressure. In multiple preclinical models and certain prospective and retrospective clinical studies, PEDD with SmartValve has been shown in certain prospective and retrospective clinical studies and in multiple pre-clinical models to improve therapy uptake and tumor response. Additionally, we have conducted Phase I clinical trials of a novel product candidate, nelitolimod (a TLR9 agonist), which has the potential to enhance immune system response, when delivered via PEDD, in the treatment of locally-advance pancreatic adenocarcinoma (LA-PDAC) and primary and secondary liver tumors. The combination of our PEDD technology with nelitolimod is focused on solving the two main barriers in the tumor microenvironment that inhibits the success of systemic therapies. The first barrier (mechanical) is comprised of high intratumoral pressure within tumors that limits drug uptake and the second barrier (biological) is intratumoral immunosuppression. Nelitolimod has a dual mechanism of action in solid tumors: the alteration of the tumor microenvironment by reducing immunosuppressive myeloid derived suppressor cells and simultaneous activation of immune response and recruiting T-cells to the tumor, which may allow checkpoint inhibitors to work more effectively</w:t>
      </w:r>
      <w:r>
        <w:rPr>
          <w:rFonts w:ascii="Times New Roman" w:cs="Times New Roman" w:eastAsia="Times New Roman" w:hAnsi="Times New Roman"/>
          <w:sz w:val="18"/>
          <w:szCs w:val="18"/>
          <w:color w:val="231F20"/>
        </w:rPr>
        <w:t>.</w:t>
      </w:r>
    </w:p>
    <w:p>
      <w:pPr>
        <w:spacing w:after="0" w:line="8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TriNav™ is the newest therapy delivery device with SmartValve technology for the proprietary PEDD approach. Current sales consist of the TriNav Infusion System, introduced in 2020, and TriNav LV Infusion System, introduced in 2024. In 2020, we gained transitional pass-through payments (“TPT”) approval from the Centers for Medicare &amp; Medicaid Services (“CMS”), which allows hospitals to cover the cost of using TriNav. The approval expired at the end of 2023. On June 1, 2023, </w:t>
      </w:r>
      <w:r>
        <w:rPr>
          <w:rFonts w:ascii="Times New Roman" w:cs="Times New Roman" w:eastAsia="Times New Roman" w:hAnsi="Times New Roman"/>
          <w:sz w:val="18"/>
          <w:szCs w:val="18"/>
          <w:color w:val="231F20"/>
        </w:rPr>
        <w:t>we applied for a new technology Ambulatory Payment Classification ("APC") code with CMS. In December 2023, CMS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granted a New Technology Healthcare Common Procedure Coding System ("HCPCS") code for both mapping and therapeutic procedures involving TriNav. This code, HCPCS C9797, has been assigned to the APC code 5194 - Level 4 Endovascular procedures. The code became effective on January 1, 2024, and may be reported by hospital outpatient departments and ambulatory surgical centers. </w:t>
      </w:r>
      <w:r>
        <w:rPr>
          <w:rFonts w:ascii="Times New Roman" w:cs="Times New Roman" w:eastAsia="Times New Roman" w:hAnsi="Times New Roman"/>
          <w:sz w:val="18"/>
          <w:szCs w:val="18"/>
          <w:color w:val="000000"/>
        </w:rPr>
        <w:t>Effective April 1, 2025, TriNav received a second unique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permanent HCPCS code from CMS, C8004, which has been assigned to APC 5193 (Level 3 Endovascular Procedures). This new code provides reimbursement clarity for mapping procedures conducted prior to transarterial radioembolization ("TARE")</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In 2021, we entered into a 5-year Alliance Program (the “MDACC Agreement”) with the University of Texas MD Anderson Cancer Center (“MDACC”) to serve as the lead clinicians for the PERIO-01, PERIO-02, and PERIO-03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and extended the MDACC Agreement payment terms with MDACC and added a sixth year. Effective February 25, 2025, we modified and extended our strategic collaboration agreement terms with The University of Texas M.D. Anderson Cancer Center.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6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cash, cash equivalents and restricted cash of $13.4 million. The Company is still in its early stage, has a history of recurring operating losses, has yet to generate revenues sufficient to create positive cash flow and has an accumulated deficit of $289.9 million as of March 31, 2025. Without additional financing and based on our sales, operations and research and development plans, our management estimates that our existing cash and cash equivalents will be insufficient to fund our projected liquidity requirements for the next 12 months.</w:t>
      </w:r>
    </w:p>
    <w:p>
      <w:pPr>
        <w:spacing w:after="0" w:line="13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Topic 205-40, </w:t>
      </w:r>
      <w:r>
        <w:rPr>
          <w:rFonts w:ascii="Times New Roman" w:cs="Times New Roman" w:eastAsia="Times New Roman" w:hAnsi="Times New Roman"/>
          <w:sz w:val="18"/>
          <w:szCs w:val="18"/>
          <w:i w:val="1"/>
          <w:iCs w:val="1"/>
          <w:color w:val="auto"/>
        </w:rPr>
        <w:t>Presentation of Financial Statements, Going Concern: Disclosure of Uncertainties about an Entity’s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 as a Going Concern</w:t>
      </w:r>
      <w:r>
        <w:rPr>
          <w:rFonts w:ascii="Times New Roman" w:cs="Times New Roman" w:eastAsia="Times New Roman" w:hAnsi="Times New Roman"/>
          <w:sz w:val="18"/>
          <w:szCs w:val="18"/>
          <w:color w:val="auto"/>
        </w:rPr>
        <w:t>, we are required to evaluate whether there is substantial doubt about our ability to continue as a going concern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evaluating our ability to continue as a going concern, management projected our cash flow sources and needs and evaluated that conditions and events have raised substantial doubt about our ability to continue as a going concern within one year after the date that these condensed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condensed consolidated financial statements in considering whether we have the ability to fund future operations and meet our obligations as they become due in the normal course of business.</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fund future operations and to continue the execution of our long-term business plan and strategy will require that we raise additional capital through a combination of collaborations, strategic alliances and licensing arrangements, and issuance of additional equity and/or debt. We have funded operations resulting in the cumulative net losses of $289.9 million, as of March 31, 2025, principally with proceeds from the sale of preferred stock, from the issuance of debt and convertible debt, and the closing of the Business Combination.</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three months ended March 31, 2025, we issued $0.3 million of common stock for cash from the exercise of stock options. As described in Note</w:t>
      </w:r>
    </w:p>
    <w:p>
      <w:pPr>
        <w:spacing w:after="0" w:line="39" w:lineRule="exact"/>
        <w:rPr>
          <w:sz w:val="20"/>
          <w:szCs w:val="20"/>
          <w:color w:val="auto"/>
        </w:rPr>
      </w:pPr>
    </w:p>
    <w:p>
      <w:pPr>
        <w:jc w:val="both"/>
        <w:ind w:right="180" w:firstLine="8"/>
        <w:spacing w:after="0" w:line="255" w:lineRule="auto"/>
        <w:tabs>
          <w:tab w:leader="none" w:pos="34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Standby Equity Purchase Agreement</w:t>
      </w:r>
      <w:r>
        <w:rPr>
          <w:rFonts w:ascii="Times New Roman" w:cs="Times New Roman" w:eastAsia="Times New Roman" w:hAnsi="Times New Roman"/>
          <w:sz w:val="18"/>
          <w:szCs w:val="18"/>
          <w:color w:val="auto"/>
        </w:rPr>
        <w:t>, we have the right but not the obligation, to sell up to $30.0 million of our Common Stock at our request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Standby Equity Purchase Agreement, which we entered into with YA II PN, Ltd. ("Yorkville") on October 2, 2023 (the "SEPA"), subject to terms and conditions specified in the agreement. For the three months ended March 31, 2025, we sold no shares of common stock under the SEPA.</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April 30, 2024 (the "OrbiMed Closing Date"), we entered into the OrbiMed Credit Agreement (the "Credit Agreement") with OrbiMed Royalty &amp; Credit Opportunities IV, LP ("OrbiMed"), a healthcare investment firm. Under the terms of the OrbiMed Credit Agreement, we may borrow up to $50.0 million, of which we immediately drew $25.0 million, before expenses. The remaining debt is available in two increments of $10.0 million and $15.0 million, subject to the achievement of certain revenue targets. On February 18, 2025, we drew the $10.0 million increment before expenses. As part of the First Amendment To Credit Agreement and Registration Rights Agreement, effective March 20, 2025, we received a waiver for the prior default events related to the Series A Convertible Preferred Stock conversions and the Agreement was amended to allow for these conversions going forward. In addition, we received a waiver on March 31, 2025 to extend the timing for the required audited financial statements to occur on or before April 15, 2025. Effective on April 30, 2025, the Second Amendment To Credit Agreement allows for the Company accelerate payment of the Series A Preferred Stock dividends in cash payments in lieu of fractional shares upon conversion of the Preferred Stock shares. See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for further discussion.</w:t>
      </w:r>
    </w:p>
    <w:p>
      <w:pPr>
        <w:spacing w:after="0" w:line="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April 30, 2025, we also entered into a securities purchase agreement (the “Purchase Agreement”) with certain institutional and accredited investors named therein (the “Purchasers”) pursuant to which the Company agreed to issue and sell to the Purchasers in a private placement (the “Private Placement”) an aggregate of 5,500,000 shares (the “Shares”) of the Company’s common stock, par value $0.0001 per share (the “Common Stock”), at a purchase price of $4.00 per share.</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the Purchasers, indemnification rights and other obligations of the parties. In connection with the Private Placement, the Company and the Purchasers has entered into a registration rights agreement (the “Registration Rights Agreement”) at the closing, pursuant to which the Company will grant certain registration rights to the Purchasers with respect to their Shares (as further described below). In addition, the Company has committed to use commercially reasonable efforts to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satisfy all of its obligations set forth in the Support Agreements (as defined below). The Company and its directors and officers have agreed, for a period of 60 days after the date of the Purchase Agreement, to customary lock-up and clear market provisions, as applicable, subject to certain exceptions.</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Private Placement closed on May 2, 2025. The Company received aggregate gross proceeds from the Private Placement of approximately $22.0 million, before deducting estimated offering fees and expenses payable by the Company.</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Outside of these agreements,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9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1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nelitolimod,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nelitolimod, continue to enhance our technology, provide superior customer service, and attract, retain, and motivate qualified personnel. There can be no guarantee that we will succeed in addressing such risks.</w:t>
      </w:r>
    </w:p>
    <w:p>
      <w:pPr>
        <w:spacing w:after="0" w:line="18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U.S. Generally Accepted Accounting Principles (“GAAP”). The interim unaudited condensed consolidated financial statements are comprised of the condensed financial statements of the Company. In management’s opinion, the interim financial data presented includes all adjustments necessary for a fair presentation. All intercompany accounts and transactions have been eliminated. Certain information required by GAAP has been condensed or omitted in accordance with rules and regulations of the SEC. Operating results for the three months ended March 31, 2025, are not necessarily indicative of the results that may be expected for any future period or for the year ending December 31, 2025. The accompanying interim unaudited condensed consolidated financial statements should be read in conjunction with the Annual Report on Form 10-K for the year ended December 31, 2024. The December 31, 2024, Condensed Consolidated Balance Sheet is derived from the audited balance sheet included in the Annual Report on Form 10-K for the year ended December 31, 2024. A summary of our significant accounting policies is included in Note 2 to our consolidated financial statements in our Annual Report on Form 10-K for the year ended December 31, 2024. Certain of our accounting policies are considered critical, as these policies are the most important to the depiction of our financial statements and require significant, difficult or complex judgments by us, often employing the use of estimates about the effects of matters that are inherently uncertain. Such policies are summarized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Revision of Previously Issued Financial Statements</w:t>
      </w:r>
    </w:p>
    <w:p>
      <w:pPr>
        <w:spacing w:after="0" w:line="189"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for the period ended December 31, 2024, we identified errors in our previously filed consolidated financial statements and interim unaudited quarterly condensed consolidated financial statements relating to incorrectly capitalizing the costs of obtaining and maintaining patents.</w:t>
      </w:r>
    </w:p>
    <w:p>
      <w:pPr>
        <w:spacing w:after="0" w:line="12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Staff Accounting Bulletins (“SAB”) No. 99, Materiality and SAB No. 108, </w:t>
      </w:r>
      <w:r>
        <w:rPr>
          <w:rFonts w:ascii="Times New Roman" w:cs="Times New Roman" w:eastAsia="Times New Roman" w:hAnsi="Times New Roman"/>
          <w:sz w:val="18"/>
          <w:szCs w:val="18"/>
          <w:i w:val="1"/>
          <w:iCs w:val="1"/>
          <w:color w:val="auto"/>
        </w:rPr>
        <w:t>Considering the Effects of Misstatements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Quantifying Misstatements in the Current Year Financial Statements</w:t>
      </w:r>
      <w:r>
        <w:rPr>
          <w:rFonts w:ascii="Times New Roman" w:cs="Times New Roman" w:eastAsia="Times New Roman" w:hAnsi="Times New Roman"/>
          <w:sz w:val="18"/>
          <w:szCs w:val="18"/>
          <w:color w:val="auto"/>
        </w:rPr>
        <w:t>, we assessed the materiality of these errors to our previously issued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interim unaudited condensed consolidated financial statements. Based upon our evaluation of both quantitative and qualitative factors, we concluded the errors were not material to our previously issued consolidated financial statements or interim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 the effects and modification of the revision on our previously issued interim unaudited condensed consolidated financial statements for the three months ended March 31, 2024 (in thousands, except net loss per share) for associated activity all of which occurred through March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4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tc>
        <w:tc>
          <w:tcPr>
            <w:tcW w:w="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Stated</w:t>
            </w:r>
          </w:p>
        </w:tc>
        <w:tc>
          <w:tcPr>
            <w:tcW w:w="1820" w:type="dxa"/>
            <w:vAlign w:val="bottom"/>
            <w:tcBorders>
              <w:bottom w:val="single" w:sz="8" w:color="CCEEFF"/>
            </w:tcBorders>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03"/>
        </w:trPr>
        <w:tc>
          <w:tcPr>
            <w:tcW w:w="5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700" w:type="dxa"/>
            <w:vAlign w:val="bottom"/>
          </w:tcPr>
          <w:p>
            <w:pPr>
              <w:spacing w:after="0"/>
              <w:rPr>
                <w:sz w:val="17"/>
                <w:szCs w:val="17"/>
                <w:color w:val="auto"/>
              </w:rPr>
            </w:pPr>
          </w:p>
        </w:tc>
        <w:tc>
          <w:tcPr>
            <w:tcW w:w="1720" w:type="dxa"/>
            <w:vAlign w:val="bottom"/>
            <w:gridSpan w:val="3"/>
          </w:tcPr>
          <w:p>
            <w:pPr>
              <w:jc w:val="center"/>
              <w:ind w:right="5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03/31/24</w:t>
            </w:r>
          </w:p>
        </w:tc>
        <w:tc>
          <w:tcPr>
            <w:tcW w:w="1820" w:type="dxa"/>
            <w:vAlign w:val="bottom"/>
            <w:gridSpan w:val="3"/>
          </w:tcPr>
          <w:p>
            <w:pPr>
              <w:jc w:val="right"/>
              <w:ind w:right="570"/>
              <w:spacing w:after="0" w:line="202" w:lineRule="exact"/>
              <w:rPr>
                <w:sz w:val="20"/>
                <w:szCs w:val="20"/>
                <w:color w:val="auto"/>
              </w:rPr>
            </w:pPr>
            <w:r>
              <w:rPr>
                <w:rFonts w:ascii="Times New Roman" w:cs="Times New Roman" w:eastAsia="Times New Roman" w:hAnsi="Times New Roman"/>
                <w:sz w:val="18"/>
                <w:szCs w:val="18"/>
                <w:b w:val="1"/>
                <w:bCs w:val="1"/>
                <w:color w:val="auto"/>
              </w:rPr>
              <w:t>03/31/24</w:t>
            </w:r>
          </w:p>
        </w:tc>
        <w:tc>
          <w:tcPr>
            <w:tcW w:w="440" w:type="dxa"/>
            <w:vAlign w:val="bottom"/>
          </w:tcPr>
          <w:p>
            <w:pPr>
              <w:spacing w:after="0"/>
              <w:rPr>
                <w:sz w:val="17"/>
                <w:szCs w:val="17"/>
                <w:color w:val="auto"/>
              </w:rPr>
            </w:pPr>
          </w:p>
        </w:tc>
        <w:tc>
          <w:tcPr>
            <w:tcW w:w="1320" w:type="dxa"/>
            <w:vAlign w:val="bottom"/>
            <w:gridSpan w:val="3"/>
          </w:tcPr>
          <w:p>
            <w:pPr>
              <w:jc w:val="right"/>
              <w:ind w:right="460"/>
              <w:spacing w:after="0" w:line="202" w:lineRule="exact"/>
              <w:rPr>
                <w:sz w:val="20"/>
                <w:szCs w:val="20"/>
                <w:color w:val="auto"/>
              </w:rPr>
            </w:pPr>
            <w:r>
              <w:rPr>
                <w:rFonts w:ascii="Times New Roman" w:cs="Times New Roman" w:eastAsia="Times New Roman" w:hAnsi="Times New Roman"/>
                <w:sz w:val="18"/>
                <w:szCs w:val="18"/>
                <w:b w:val="1"/>
                <w:bCs w:val="1"/>
                <w:color w:val="auto"/>
              </w:rPr>
              <w:t>03/31/24</w:t>
            </w:r>
          </w:p>
        </w:tc>
      </w:tr>
      <w:tr>
        <w:trPr>
          <w:trHeight w:val="48"/>
        </w:trPr>
        <w:tc>
          <w:tcPr>
            <w:tcW w:w="5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5,857</w:t>
            </w:r>
          </w:p>
        </w:tc>
        <w:tc>
          <w:tcPr>
            <w:tcW w:w="18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5,844</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700" w:type="dxa"/>
            <w:vAlign w:val="bottom"/>
          </w:tcPr>
          <w:p>
            <w:pPr>
              <w:spacing w:after="0"/>
              <w:rPr>
                <w:sz w:val="21"/>
                <w:szCs w:val="21"/>
                <w:color w:val="auto"/>
              </w:rPr>
            </w:pP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(11,685)</w:t>
            </w:r>
          </w:p>
        </w:tc>
        <w:tc>
          <w:tcPr>
            <w:tcW w:w="18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(11,672)</w:t>
            </w:r>
          </w:p>
        </w:tc>
      </w:tr>
      <w:tr>
        <w:trPr>
          <w:trHeight w:val="27"/>
        </w:trPr>
        <w:tc>
          <w:tcPr>
            <w:tcW w:w="5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7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(13,219)</w:t>
            </w:r>
          </w:p>
        </w:tc>
        <w:tc>
          <w:tcPr>
            <w:tcW w:w="182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(13,206)</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00" w:type="dxa"/>
            <w:vAlign w:val="bottom"/>
          </w:tcPr>
          <w:p>
            <w:pPr>
              <w:spacing w:after="0"/>
              <w:rPr>
                <w:sz w:val="21"/>
                <w:szCs w:val="21"/>
                <w:color w:val="auto"/>
              </w:rPr>
            </w:pP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(14,020)</w:t>
            </w:r>
          </w:p>
        </w:tc>
        <w:tc>
          <w:tcPr>
            <w:tcW w:w="18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(14,007)</w:t>
            </w:r>
          </w:p>
        </w:tc>
      </w:tr>
      <w:tr>
        <w:trPr>
          <w:trHeight w:val="27"/>
        </w:trPr>
        <w:tc>
          <w:tcPr>
            <w:tcW w:w="5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7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(0.60)</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(0.60)</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00" w:type="dxa"/>
            <w:vAlign w:val="bottom"/>
          </w:tcPr>
          <w:p>
            <w:pPr>
              <w:spacing w:after="0"/>
              <w:rPr>
                <w:sz w:val="21"/>
                <w:szCs w:val="21"/>
                <w:color w:val="auto"/>
              </w:rPr>
            </w:pP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23,323,045</w:t>
            </w:r>
          </w:p>
        </w:tc>
        <w:tc>
          <w:tcPr>
            <w:tcW w:w="18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23,323,045</w:t>
            </w:r>
          </w:p>
        </w:tc>
        <w:tc>
          <w:tcPr>
            <w:tcW w:w="44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23,323,045</w:t>
            </w:r>
          </w:p>
        </w:tc>
      </w:tr>
      <w:tr>
        <w:trPr>
          <w:trHeight w:val="27"/>
        </w:trPr>
        <w:tc>
          <w:tcPr>
            <w:tcW w:w="5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tc>
        <w:tc>
          <w:tcPr>
            <w:tcW w:w="110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400" w:type="dxa"/>
            <w:vAlign w:val="bottom"/>
          </w:tcPr>
          <w:p>
            <w:pPr>
              <w:spacing w:after="0"/>
              <w:rPr>
                <w:sz w:val="20"/>
                <w:szCs w:val="20"/>
                <w:color w:val="auto"/>
              </w:rPr>
            </w:pP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4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7"/>
        </w:trPr>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(13,219)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7"/>
        </w:trPr>
        <w:tc>
          <w:tcPr>
            <w:tcW w:w="4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(13)</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(10,867)</w:t>
            </w:r>
          </w:p>
        </w:tc>
        <w:tc>
          <w:tcPr>
            <w:tcW w:w="400" w:type="dxa"/>
            <w:vAlign w:val="bottom"/>
          </w:tcPr>
          <w:p>
            <w:pPr>
              <w:spacing w:after="0"/>
              <w:rPr>
                <w:sz w:val="21"/>
                <w:szCs w:val="21"/>
                <w:color w:val="auto"/>
              </w:rPr>
            </w:pPr>
          </w:p>
        </w:tc>
        <w:tc>
          <w:tcPr>
            <w:tcW w:w="15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(10,867)</w:t>
            </w:r>
          </w:p>
        </w:tc>
      </w:tr>
    </w:tbl>
    <w:p>
      <w:pPr>
        <w:spacing w:after="0" w:line="275"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at the time of purchase to be cash equivalents. We invest excess cash primarily in money market funds. Restricted cash is held in a separate account at our bank to support our corporate credit card program and is recorded in other assets on our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Concentrations of Credit Risk and Other Risks and Uncertainties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cash is deposited primarily with two Federal Deposit Insurance Corporation (“FDIC”) insured financial institutions. At times, the deposits in these institutions may exceed the amount of insurance provided on such deposits. Although we have not experienced any losses in such accounts and believe that we are not exposed to any significant risk on these balances, bank failures, events involving limited liquidity, defaults, non-performance, or other adverse developments that affect financial institutions, or concerns or rumors about such events, may lead to liquidity constraints.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 and Customer Concentrations</w:t>
      </w:r>
    </w:p>
    <w:p>
      <w:pPr>
        <w:spacing w:after="0" w:line="14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Accounts receivable are recorded at the invoiced amount and do not bear interest. Our payment terms are typically on net 30 day terms. Our accounts receivable balances were $5.5 million and $5.1 million as of March 31, 2025 and December 31, 2024 and $3.6 million as of January 1, 2024, respectively. In accordance with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the allowance for credit losses is our best estimate of the amount of probable credit losses in our existing accounts receivable. We review our allowance for credit losses periodically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 We did not incur any credit losses for the three months ended March 31, 2024</w:t>
      </w: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credit losses accounts activity: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42"/>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 charged (recovered) to 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 of uncollectible receivables</w:t>
            </w:r>
          </w:p>
        </w:tc>
        <w:tc>
          <w:tcPr>
            <w:tcW w:w="4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Use of Estimates</w:t>
      </w:r>
    </w:p>
    <w:p>
      <w:pPr>
        <w:spacing w:after="0" w:line="189" w:lineRule="exact"/>
        <w:rPr>
          <w:sz w:val="20"/>
          <w:szCs w:val="20"/>
          <w:color w:val="auto"/>
        </w:rPr>
      </w:pPr>
    </w:p>
    <w:p>
      <w:pPr>
        <w:jc w:val="both"/>
        <w:ind w:right="320" w:firstLine="324"/>
        <w:spacing w:after="0" w:line="272"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significantly from those estimates.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most significant estimates relate to the valuation of the Initial OrbiMed warrant liability, the contingent earnout liability, the Revenue Base Redemption liability, certain of our clinical expense accruals, and the valuation allowance on deferred tax assets.</w:t>
      </w:r>
    </w:p>
    <w:p>
      <w:pPr>
        <w:spacing w:after="0" w:line="13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Inventory</w:t>
      </w:r>
    </w:p>
    <w:p>
      <w:pPr>
        <w:spacing w:after="0" w:line="2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Inventory is carried at the lower of cost or net realizable value. The balances are recorded on the first-in first-out method. Raw materials consist of purchase material, completed sub-assemblies, and parts for general production use. Finished goods consist of completed products, including direct labor and manufacturing overhead. Write-downs for excess and obsolete inventory are charged to cost of goods sold in the period when conditions giving rise to the write-downs are first recognized. Valuation reserves are recorded when, in our best judgment, we determine the carrying value of the affected inventory may be impaired or its net realizable value exceeds its cost.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Property and Equipment</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Repairs and maintenance costs are expensed as incurred. Depreciation is calculated using the straight-line method over the estimated useful lives of the assets, which range from two to seven years. Leasehold improvements are amortized on a straight-line basis over the lesser of estimated useful lives or the lease term.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Leases</w:t>
      </w:r>
    </w:p>
    <w:p>
      <w:pPr>
        <w:spacing w:after="0" w:line="16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or contains a lease at contract inception, and, if it does, the lease is recorded on the Condensed Consolidated Balance Sheets with right-of-use assets (“ROU”) representing the Company’s right to use an underlying asset for the lease term and lease liabilities representing our obligation to make lease payments. Lease ROU assets and liabilities are recognized at the lease commencement date based on the present value of lease payments over the lease term. Lease ROU assets also include the effect of any lease payments made prior to or on lease commencement and excludes lease incentives and initial direct costs incurred, as applicable. As the implicit rate in our leases is typically unknown, we use our incremental borrowing rate based on the information available at the lease commencement date in determining the present value of future lease payments. When calculating our incremental borrowing rates, we consider our credit risk, the term of the lease, and total lease payments and adjusts for the impacts of collateral as necessary. The lease terms may include options to extend or terminate the lease when it is reasonably certain that we will exercise that option. Lease expense is recognized on a straight-line basis over the lease term.</w:t>
      </w:r>
    </w:p>
    <w:p>
      <w:pPr>
        <w:spacing w:after="0" w:line="10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not separate lease and non-lease components for any leases within our existing classes of assets and, as a result, account for any lease and non-lease components as a single lease component. We have also elected not to apply the recognition requirement for leases with a term of 12 months or less. We recognize an ROU asset and a lease liability at the lease commencement date.</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operating and finance leases, the lease liability is initially measured at the present value of the unpaid lease payments at the lease commencement date. The lease liability is subsequently measured at amortized cost using the effective-interest method.</w:t>
      </w:r>
    </w:p>
    <w:p>
      <w:pPr>
        <w:spacing w:after="0" w:line="9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8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operating leases, the ROU asset is subsequently measured throughout the lease term at the carrying amount of the lease liability, plus initial direct costs, plus (minus) any prepaid (accrued) lease payments, less the unamortized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lease incentives received. Lease expense for lease payments is recognized on a straight-line basis over the lease term.</w:t>
      </w:r>
    </w:p>
    <w:p>
      <w:pPr>
        <w:spacing w:after="0" w:line="14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 Finance lease ROU assets are presented with property and equipment, net in the Condensed Consolidated Balance Sheets.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Warrants Liabilities</w:t>
      </w:r>
    </w:p>
    <w:p>
      <w:pPr>
        <w:spacing w:after="0" w:line="18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Freestanding financial instruments that permit the holder to acquire shares that are either puttable by the holder, redeemable or contingently redeemable are required to be reported as liabilities in the condensed consolidated financial statements. We present such liabilities on the balance sheets at their estimated fair values. Changes in fair value of the liability are calculated each reporting period, and any change in value are recognized in the Condensed Consolidated Statements of Operations. We have determined that the warrants issued to investors and lenders, which are exercisable for shares of our convertible preferred stock, should be classified as liabilities due to contingent redemption liability of the underlying convertible preferred stock.</w:t>
      </w:r>
    </w:p>
    <w:p>
      <w:pPr>
        <w:spacing w:after="0" w:line="12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warrants to purchase common stock. The warrants include the Public Warrants, Private Placement Warrants and Working Capital Warrants. We value the liability for all of the warrants based on the trading price of the publicly held warrants. See Notes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(4) Financial Instruments</w:t>
      </w:r>
      <w:r>
        <w:rPr>
          <w:rFonts w:ascii="Times New Roman" w:cs="Times New Roman" w:eastAsia="Times New Roman" w:hAnsi="Times New Roman"/>
          <w:sz w:val="18"/>
          <w:szCs w:val="18"/>
          <w:color w:val="auto"/>
        </w:rPr>
        <w:t xml:space="preserve"> for further discussion.</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our borrowing under the OrbiMed Credit Agreement, we issued the Initial OrbiMed Warrant with the initial $25.0 million draw and the Subsequent OrbiMed Warrant with the subsequent $10.0 million draw, collectively the "OrbiMed Warrants", which we classified as a derivative liability because it did not meet the equity classification criteria under ASC 815-40. We calculated the fair value of the OrbiMed Warrants based on the Black-Scholes-Merton option pricing model. This model considers several variables and assumptions in estimating the fair value of financial instruments, including the per-share fair value of the underlying common stock, exercise price, expected term, risk-free interest rate, expected stock price volatility over the expected term, and expected annual dividend yield. We calculated the expected terms as the contractual expiration period. The risk-free interest rate is estimated using the rate of return on U.S. treasury notes with a life that approximates the expected term. Our common stock does not have sufficient trading history and, therefore, we used the historical volatility of the stock prices of similar publicly traded peer companies. We utilized a dividend yield of zero, as we have no history or plan of declaring dividends on the Company's common stock. See Notes </w:t>
      </w:r>
      <w:r>
        <w:rPr>
          <w:rFonts w:ascii="Times New Roman" w:cs="Times New Roman" w:eastAsia="Times New Roman" w:hAnsi="Times New Roman"/>
          <w:sz w:val="18"/>
          <w:szCs w:val="18"/>
          <w:i w:val="1"/>
          <w:iCs w:val="1"/>
          <w:color w:val="auto"/>
        </w:rPr>
        <w:t>(9) Warrants and (13) Debt.</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tab/>
        <w:t>Revenue Base Redemption Liability</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the Initial OrbiMed Loan, a “Product Revenue Base” (i.e., with respect to any period, the net revenues for such period from sales of TriNav) on a trailing 12-month basis does not equal or exceed the specified amounts, we will start repaying the outstanding principal amount of the loans under the OrbiMed Credit Agreement. These required revenue thresholds are referred to as the “Revenue Base Redemption Liability." We determined that we should bifurcate and separately recognize the Revenue Base Redemption Liability. We determined the value of the Revenue Base Redemption Liability using a Monte Carlo simulation of future revenue and valuing the Initial Term Loan using the with and without method. The change in fair value of the liability is recorded in the Condensed Consolidated Statement of Operations. See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for further detail.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Contingent Earnout Liability</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("Common Stock")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Consolidated Balance Sheets because they do not qualify as being indexed to the Company’s own stock. The earnout liability was initially measured at fair value at the Closing Date using a Monte Carlo simulation of our future stock price and is subsequently remeasured at the end of each reporting period. The change in fair value of the earnout liability is recorded in the Condensed Consolidated Statements of Operations. See Notes </w:t>
      </w:r>
      <w:r>
        <w:rPr>
          <w:rFonts w:ascii="Times New Roman" w:cs="Times New Roman" w:eastAsia="Times New Roman" w:hAnsi="Times New Roman"/>
          <w:sz w:val="18"/>
          <w:szCs w:val="18"/>
          <w:i w:val="1"/>
          <w:iCs w:val="1"/>
          <w:color w:val="auto"/>
        </w:rPr>
        <w:t>(8) Contingent Earnout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(4) Financial Instruments</w:t>
      </w:r>
      <w:r>
        <w:rPr>
          <w:rFonts w:ascii="Times New Roman" w:cs="Times New Roman" w:eastAsia="Times New Roman" w:hAnsi="Times New Roman"/>
          <w:sz w:val="18"/>
          <w:szCs w:val="18"/>
          <w:color w:val="auto"/>
        </w:rPr>
        <w:t xml:space="preserve"> for further detail.</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(l)</w:t>
        <w:tab/>
        <w:t>Standby Equity Purchase Agreement</w:t>
      </w:r>
    </w:p>
    <w:p>
      <w:pPr>
        <w:spacing w:after="0" w:line="162"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 xml:space="preserve">In October 2023, we entered into the SEPA with Yorkville. Pursuant to the SEPA, we have the right, but not the obligation, to sell to Yorkville up to $30.0 million of shares of Common Stock at our request at any time during the 24 months following the execution of the SEPA, subject to certain conditions. We evaluated the contract that includes the right to require Yorkville to purchase shares of common stock in the future (“put right”) considering the guidance in ASC 815-40, </w:t>
      </w:r>
      <w:r>
        <w:rPr>
          <w:rFonts w:ascii="Times New Roman" w:cs="Times New Roman" w:eastAsia="Times New Roman" w:hAnsi="Times New Roman"/>
          <w:sz w:val="17"/>
          <w:szCs w:val="17"/>
          <w:i w:val="1"/>
          <w:iCs w:val="1"/>
          <w:color w:val="auto"/>
        </w:rPr>
        <w:t>Derivatives and Hedging — Contracts on an Entity’s Own Equity</w:t>
      </w:r>
      <w:r>
        <w:rPr>
          <w:rFonts w:ascii="Times New Roman" w:cs="Times New Roman" w:eastAsia="Times New Roman" w:hAnsi="Times New Roman"/>
          <w:sz w:val="17"/>
          <w:szCs w:val="17"/>
          <w:color w:val="auto"/>
        </w:rPr>
        <w:t xml:space="preserve"> and concluded that it is an equity-linked contract that does not qualify for equity classification, and therefore requires fair value accounting. Each period, we analyze the terms of the freestanding put right and record the balance as a liability. Changes in the fair value are recognized in earnings. See Note </w:t>
      </w:r>
      <w:r>
        <w:rPr>
          <w:rFonts w:ascii="Times New Roman" w:cs="Times New Roman" w:eastAsia="Times New Roman" w:hAnsi="Times New Roman"/>
          <w:sz w:val="17"/>
          <w:szCs w:val="17"/>
          <w:i w:val="1"/>
          <w:iCs w:val="1"/>
          <w:color w:val="auto"/>
        </w:rPr>
        <w:t>(12) Standby Equity Purchase Agreement</w:t>
      </w:r>
      <w:r>
        <w:rPr>
          <w:rFonts w:ascii="Times New Roman" w:cs="Times New Roman" w:eastAsia="Times New Roman" w:hAnsi="Times New Roman"/>
          <w:sz w:val="17"/>
          <w:szCs w:val="17"/>
          <w:color w:val="auto"/>
        </w:rPr>
        <w:t xml:space="preserve"> for further detail.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Impairment and Disposal of Long-Lived Assets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changes in circumstances indicate that the carrying amount of an asset may not be recoverable. Recoverability of assets to be held and used is generally measured by a comparison of the carrying amount of the asset to future net cash flows expected to be generated by the asset. If such assets are considered to be impaired, the impairment to be recognized is measured by the amount by which the carrying amounts of the assets exceed the estimated fair values of the assets. Assets to be disposed of are reported at the lower of the carrying amount or fair value less cost to sell.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Share-Based Compensation</w:t>
      </w:r>
    </w:p>
    <w:p>
      <w:pPr>
        <w:spacing w:after="0" w:line="175"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account for all employee share-based compensation awards by recording expense based on the estimated fair value of the awards at the time of grant using the Black-Scholes-Merton option valuation model (“Black-Scholes”) for stock options and price of our common stock on the grant date for restricted stock units ("RSUs") and performance stock units ("PSUs"). The determination of fair value using an option-pricing model is affected by the estimated fair value of the Company’s stock, as well as assumptions regarding a number of variables including, but not limited to, the fair value of underlying stock at the grant date, expected volatility of the underlying stock over the term of the awards, projected employee stock option exercise behaviors, and risk-free interest rates. We have elected to not include an estimated forfeiture rate in our share-based compensation expense recognition,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and we account for forfeitures in the period in which they occur. The estimated fair value of options, RSUs and PSUs granted is recognized as compensation expense on a straight-line basis over the expected life for each separately vesting portion of the awards. All shares issued upon the exercise of stock options and vesting of RSUs and PSUs are from our reserved authorized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Revenue Recognition</w:t>
      </w:r>
    </w:p>
    <w:p>
      <w:pPr>
        <w:spacing w:after="0" w:line="17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revenue is derived from the shipments of our PEDD infusion systems to our customers. Our customers are generally comprised of hospitals, clinics and physicians. Under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evaluate five steps to determine the appropriate timing and amount to recognize revenue. The five steps are:</w:t>
      </w:r>
    </w:p>
    <w:p>
      <w:pPr>
        <w:spacing w:after="0" w:line="122" w:lineRule="exact"/>
        <w:rPr>
          <w:sz w:val="20"/>
          <w:szCs w:val="20"/>
          <w:color w:val="auto"/>
        </w:rPr>
      </w:pPr>
    </w:p>
    <w:p>
      <w:pPr>
        <w:ind w:left="660" w:right="300" w:hanging="328"/>
        <w:spacing w:after="0" w:line="282"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 — Our performance obligation is to deliver the ordered products in accordance with the terms of the purchase order, which constitutes a single performance obligation. We do not have any on-going service obligation after delivery and only offer our customers an assurance-type warranty, which provides assurance the product will work as intended.</w:t>
      </w:r>
    </w:p>
    <w:p>
      <w:pPr>
        <w:spacing w:after="0" w:line="12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 We maintain a single sales price for each of our products, which is generally fixed. For customers with rebate agreements, the rebates are accounted for within a contra-revenue account at the time the rebate milestone is achieved. We do not have a history of any significant refunds, allowances or other concessions provided to our customers from the agreed-upon sales price after delivery of the product. Refunds, allowances or other concessions are accounted for as a reduction of revenue.</w:t>
      </w:r>
    </w:p>
    <w:p>
      <w:pPr>
        <w:spacing w:after="0" w:line="1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 We do not have multiple performance obligations to complete when we fulfill a purchase order, as such, the transaction price is allocated fully to the units being sold.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 We recognize revenue at the point-in-time when the units for a purchase order have been shipped and control of the units has transferred to the customer, as evidenced by the delivery terms on the shipping documents. Typically, we ship Ex Works; therefore, we recognize revenue when the shipment leaves our premises. In certain cases, the purchase order specifies alternate shipping terms, usually DAP (delivery at place). In those cases, we defer revenue recognition until we are assured the units have been delivered and control has transferred to the customer. Our sale team is able to make in-person sales. When this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60" w:right="180"/>
        <w:spacing w:after="0" w:line="266" w:lineRule="auto"/>
        <w:rPr>
          <w:sz w:val="20"/>
          <w:szCs w:val="20"/>
          <w:color w:val="auto"/>
        </w:rPr>
      </w:pPr>
      <w:r>
        <w:rPr>
          <w:rFonts w:ascii="Times New Roman" w:cs="Times New Roman" w:eastAsia="Times New Roman" w:hAnsi="Times New Roman"/>
          <w:sz w:val="18"/>
          <w:szCs w:val="18"/>
          <w:color w:val="auto"/>
        </w:rPr>
        <w:t>occurs, the revenue in not recognized until we receive a Purchase Order ("P.O.") from the customers, with the inventory treated as consignment until the time receiving the P.O. Shipping and handling activities are not considered to be a separate performance obligation; therefore, the costs are considered to be a fulfillment cost and the expenses are accounted for within cost of goods sold.</w:t>
      </w:r>
    </w:p>
    <w:p>
      <w:pPr>
        <w:spacing w:after="0" w:line="10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Subsequent to a rebate being earned, the customer receives a credit to apply to future purchases. We recognized $0.2 million and $0.1 million of rebates in the three months ended March 31, 2025 and 2024, respectively.</w:t>
      </w:r>
    </w:p>
    <w:p>
      <w:pPr>
        <w:spacing w:after="0" w:line="135"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(“R&amp;D”) costs include our engineering, regulatory, pre-clinical and clinical activities. R&amp;D costs are expensed as incurred. The costs are related to internal headcount and external service we purchase, such as pre-clinical supplies and materials, clinical study management and supplies, and consulting related to our R&amp;D. There were no development milestone payments of to Dynavax for nelitolimod in for three months ended March 31, 2025 and 2024. See Note </w:t>
      </w:r>
      <w:r>
        <w:rPr>
          <w:rFonts w:ascii="Times New Roman" w:cs="Times New Roman" w:eastAsia="Times New Roman" w:hAnsi="Times New Roman"/>
          <w:sz w:val="18"/>
          <w:szCs w:val="18"/>
          <w:i w:val="1"/>
          <w:iCs w:val="1"/>
          <w:color w:val="auto"/>
        </w:rPr>
        <w:t>(11) Dynavax Purchase</w:t>
      </w:r>
      <w:r>
        <w:rPr>
          <w:rFonts w:ascii="Times New Roman" w:cs="Times New Roman" w:eastAsia="Times New Roman" w:hAnsi="Times New Roman"/>
          <w:sz w:val="18"/>
          <w:szCs w:val="18"/>
          <w:color w:val="auto"/>
        </w:rPr>
        <w:t xml:space="preserve"> for further discussion of Dynavax.</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condensed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spacing w:after="0" w:line="13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Chief Operating Decision Maker (“CODM”), the Chief Executive Officer ("CEO"), reviews our financial information on a consolidated basis for purposes of allocating resources and evaluating its financial performance. The CEO considers recommendations from the Chief Financial Officer ("CFO") and reviews the Monthly Financial Report ("MFR"), including financial information and the Company’s performance highlights, such as revenue, accounts receivable and inventory balances, cash flows and cash on-hand, operational expenditures and headcount. Based on the Company’s condensed consolidated financial information, the CEO makes the key operating decisions and determines how resources should be allocated. Once the CEO has decided, the CEO and CFO are responsible for carrying out the CEO’s decisions. All of our customers and long-lived assets are located in the United States. Since the Company operates as a single reporting segment, all required segment reporting disclosures can be found in the condensed consolidated financial statements. Accordingly, we have determined we operate as a single reportable segment within a single geographic area.</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h.</w:t>
        <w:tab/>
        <w:t>Advertising</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Advertising expense, which is included in sales and marketing costs, is expensed as incurred, and expense for the three months ended March 31, 2025 and 2024 was $0.1 million, respectively.</w:t>
      </w:r>
    </w:p>
    <w:p>
      <w:pPr>
        <w:spacing w:after="0" w:line="10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We account for income taxes pursuant to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requires the use of the asset-and-liability method of accounting for deferred income taxes. Deferred tax assets and liabilities are recognized for the future tax consequences attributable to differences between the financial statement carrying amounts of existing assets and liabilities and their respective tax bases. A valuation allowance is recorded to the extent it is more likely than not that a deferred tax asset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w:t>
      </w:r>
    </w:p>
    <w:p>
      <w:pPr>
        <w:spacing w:after="0" w:line="13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when it is more likely than not, based on technical merits, that the position will be sustained upon examination. Through March 31, 2025, management determined that no uncertain tax positions have been taken or are expected to be taken that could have a material effect on the Company’s income tax liabilities.</w:t>
      </w: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ind w:right="240" w:firstLine="324"/>
        <w:spacing w:after="0" w:line="276" w:lineRule="auto"/>
        <w:rPr>
          <w:sz w:val="20"/>
          <w:szCs w:val="20"/>
          <w:color w:val="auto"/>
        </w:rPr>
      </w:pPr>
      <w:r>
        <w:rPr>
          <w:rFonts w:ascii="Times New Roman" w:cs="Times New Roman" w:eastAsia="Times New Roman" w:hAnsi="Times New Roman"/>
          <w:sz w:val="17"/>
          <w:szCs w:val="17"/>
          <w:color w:val="auto"/>
        </w:rPr>
        <w:t xml:space="preserve">Net loss per share is calculated using the weighted average number of shares and dilutive common stock equivalents outstanding during the period. Warrants, convertible preferred stock, stock options, and restricted stock units, as described in Notes </w:t>
      </w:r>
      <w:r>
        <w:rPr>
          <w:rFonts w:ascii="Times New Roman" w:cs="Times New Roman" w:eastAsia="Times New Roman" w:hAnsi="Times New Roman"/>
          <w:sz w:val="17"/>
          <w:szCs w:val="17"/>
          <w:i w:val="1"/>
          <w:iCs w:val="1"/>
          <w:color w:val="auto"/>
        </w:rPr>
        <w:t>(9) Warrants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(14) Convertible Preferred Stock</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right="20" w:firstLine="8"/>
        <w:spacing w:after="0" w:line="255" w:lineRule="auto"/>
        <w:tabs>
          <w:tab w:leader="none" w:pos="34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are considered to be common stock equivalents. Potentially dilutive shares are excluded from the computation of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 share if their effect is anti-dilutive. As we reported a net loss for the three months ended March 31, 2025 and 2024, all potentially dilutive shares were excluded from net loss per share in both periods. See Note </w:t>
      </w:r>
      <w:r>
        <w:rPr>
          <w:rFonts w:ascii="Times New Roman" w:cs="Times New Roman" w:eastAsia="Times New Roman" w:hAnsi="Times New Roman"/>
          <w:sz w:val="18"/>
          <w:szCs w:val="18"/>
          <w:i w:val="1"/>
          <w:iCs w:val="1"/>
          <w:color w:val="auto"/>
        </w:rPr>
        <w:t>(15) Net Loss Per Share</w:t>
      </w:r>
      <w:r>
        <w:rPr>
          <w:rFonts w:ascii="Times New Roman" w:cs="Times New Roman" w:eastAsia="Times New Roman" w:hAnsi="Times New Roman"/>
          <w:sz w:val="18"/>
          <w:szCs w:val="18"/>
          <w:color w:val="auto"/>
        </w:rPr>
        <w:t xml:space="preserve"> for further details.</w:t>
      </w:r>
    </w:p>
    <w:p>
      <w:pPr>
        <w:spacing w:after="0" w:line="128" w:lineRule="exact"/>
        <w:rPr>
          <w:sz w:val="20"/>
          <w:szCs w:val="20"/>
          <w:color w:val="auto"/>
        </w:rPr>
      </w:pPr>
    </w:p>
    <w:p>
      <w:pPr>
        <w:ind w:right="7720" w:firstLine="8"/>
        <w:spacing w:after="0" w:line="470" w:lineRule="auto"/>
        <w:tabs>
          <w:tab w:leader="none" w:pos="324"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Pronouncements Recently Adopted Accounting Pronouncements</w:t>
      </w:r>
    </w:p>
    <w:p>
      <w:pPr>
        <w:spacing w:after="0" w:line="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Compensation - 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which clarifies the guidance on ASC Topic 718 by illustrating how to apply the scope guidance to determine whether a profit interest award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accounted for as a shared-based payment arrangement under ASC 718 or another accounting standard (e.g., employee profit-sharing arrangement under ASC 710). The ASU aims to reduce the complexity diversity in practice by adding an example to ASC 718 that describes four fact patterns and illustrates how an entity evaluates common terms and characteristics of profit interests and similar awards to reach a conclusion about whether an award meets the scope conditions in ASC 718-10-15-3. The ASU is effective for all public entities for fiscal years beginning after December 15, 2024 and interim periods within those fiscal years. We adopted ASU 2024-01 on January 1, 2025. The effect of the adoption had no impact on our condensed consolidated financial statements.</w:t>
      </w:r>
    </w:p>
    <w:p>
      <w:pPr>
        <w:spacing w:after="0" w:line="14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 Statements,</w:t>
      </w:r>
      <w:r>
        <w:rPr>
          <w:rFonts w:ascii="Times New Roman" w:cs="Times New Roman" w:eastAsia="Times New Roman" w:hAnsi="Times New Roman"/>
          <w:sz w:val="18"/>
          <w:szCs w:val="18"/>
          <w:color w:val="auto"/>
        </w:rPr>
        <w:t xml:space="preserve"> which removes references to the Board's concepts statement from the FASB Accounting Standards Codification (the "Codification" or ASC). The ASU is part of the Board’s standing project to make “Codification updates for technical corrections such as conforming amendments, clarifications to guidance, simplifications to wording or the structure of guidance, and other minor improvements.” Before establishing the Codification in 2009, the FASB used or referred to the concepts statements as part of its standard setting. However, the Board is now removing those references since “references to the Concepts Statements in the Codification could imply that the Concepts Statements are authoritative." The amendment is effective for all public entities for fiscal years beginning after December 15, 2024. Those who adopt the amendments in an interim period would have to adopt them as of the beginning of the fiscal year that includes that interim period. We adopted ASU 2024-02 on January 1, 2025. The effect of the adoption had no impact on our condensed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46"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In October 2023, the FASB issued ASU No. 2023-06, D</w:t>
      </w:r>
      <w:r>
        <w:rPr>
          <w:rFonts w:ascii="Times New Roman" w:cs="Times New Roman" w:eastAsia="Times New Roman" w:hAnsi="Times New Roman"/>
          <w:sz w:val="18"/>
          <w:szCs w:val="18"/>
          <w:i w:val="1"/>
          <w:iCs w:val="1"/>
          <w:color w:val="auto"/>
        </w:rPr>
        <w:t>isclosure Improvements: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 and Simplification Initiative</w:t>
      </w:r>
      <w:r>
        <w:rPr>
          <w:rFonts w:ascii="Times New Roman" w:cs="Times New Roman" w:eastAsia="Times New Roman" w:hAnsi="Times New Roman"/>
          <w:sz w:val="18"/>
          <w:szCs w:val="18"/>
          <w:color w:val="auto"/>
        </w:rPr>
        <w:t>. The amendments in ASU 2023-06 update requirements in various disclosure areas, including the statement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earnings per share, debt, and equity.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the adoption of this ASU will have on our condensed consolidated financial statements.</w:t>
      </w:r>
    </w:p>
    <w:p>
      <w:pPr>
        <w:spacing w:after="0" w:line="142"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Under the ASU, Public Business Entity ("PBE") must annually "(1) disclose specific categories in the rate reconciliation and (2) provide additional information for reconciling items that meet a quantitative threshold (if the effect of those reconciling items is equal to or greater than 5% of the amount computed by multiplying pretax income or loss by the applicable statutory income tax rate)." This guidance is effective for public companies for annual periods beginning after December 15, 2024. For other companies, the amendments are effective for annual periods beginning after December 15, 2025. We are currently evaluating the impact the adoption of this ASU will have on our condensed consolidated financial statements.</w:t>
      </w:r>
    </w:p>
    <w:p>
      <w:pPr>
        <w:spacing w:after="0" w:line="15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issues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and in January 2025,</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2024-03 requires additional disclosure of the nature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income statement as well as disclosures about specific types of expenses included in the expense captions presented in the income statement. ASU 2024-03, as clarified by ASU 2025-01. The amendment applies to all public business entities and is effective for annual reporting periods beginning after December 15, 2026 and interim reporting periods beginning after December 15, 2027. The requirements will be applied prospectively with the option for</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retrospective application. Early adoption is permitted. We are currently evaluating the impact the adoption of this ASU will have on our condensed consolidated financial statements.</w:t>
      </w:r>
    </w:p>
    <w:p>
      <w:pPr>
        <w:spacing w:after="0" w:line="13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issues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which amends ASC 470-20, Debt: Debt With Conversion and Other Options, to clarify the requirements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for the settlement of a debt instrument as an induced conversion. Based primarily on the consensus-for-exposure reached on Issue 23-A, Induced Conversion of Convertible Debt Instruments, by the Emerging Issues Task Force on September 14, 2023. The ASU is intended to “improve the relevance and consistency in application of the induced conversion guidance in Subtopic 470-20 for (a) convertible debt instruments with cash conversion features and (b) debt instruments that are not currently convertible.” The amendments are effective for all entities for annual reporting periods beginning after December 15, 2025, and interim reporting periods within those annual reporting periods. Early adoption is permitted as of the beginning of the annual reporting period for all entities that have adopted the amendments in Update 2020-06, </w:t>
      </w:r>
      <w:r>
        <w:rPr>
          <w:rFonts w:ascii="Times New Roman" w:cs="Times New Roman" w:eastAsia="Times New Roman" w:hAnsi="Times New Roman"/>
          <w:sz w:val="18"/>
          <w:szCs w:val="18"/>
          <w:i w:val="1"/>
          <w:iCs w:val="1"/>
          <w:color w:val="auto"/>
        </w:rPr>
        <w:t>Debt—Debt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Derivatives and Hedging—Contracts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We are currently evaluating the impact the adoption of this ASU will have on our condensed consolidated financial statements.</w:t>
      </w:r>
    </w:p>
    <w:p>
      <w:pPr>
        <w:spacing w:after="0" w:line="143"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89"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On August 10, 2023, we consummated the previously announced merger pursuant to the Merger Agreement by and among MTAC, Merger Sub, Inc., and TriSalus Life Sciences, Inc. Upon the closing of the transactions contemplated by the Merger Agreement, Merger Sub merged with and into Legacy TriSalus (the “Business Combination”) with Legacy TriSalus surviving the merger as a wholly owned subsidiary of MTAC, renamed “TriSalus Operating Life Sciences, Inc.” In addition, in connection with the consummation of the Business Combination, MTAC was renamed “TriSalus Life Sciences, Inc.”</w:t>
      </w:r>
    </w:p>
    <w:p>
      <w:pPr>
        <w:spacing w:after="0" w:line="13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effective time of the Business Combination,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w:t>
      </w:r>
    </w:p>
    <w:p>
      <w:pPr>
        <w:spacing w:after="0" w:line="14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the existing stockholders of Legacy TriSalus exchanged their equity holdings at an exchange ratio of 0.02471853 (the “Exchange Ratio”) for an aggregate of 21,999,886 shares of our Common Stock. In addition, MTAC had previously issued public warrants and private placement warrants (collectively, the “MTAC Warrants”) as part of its initial public offering in November 2020. None of the terms of the MTAC Warrants were modified as a result of the Business Combination.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for additional discussion of the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14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the Closing Date, certain investors agreed to purchase an aggregate of 4,015,002 newly-issued shares of Series A Convertible Preferred Stock at a purchase price of $10.00 per share for an aggregate purchase price of $40.2 million, pursuant to separate subscription agreements dated June 7, 2023, and July 4, 2023 (collectively, the “Subscription Agreements”). See Note </w:t>
      </w:r>
      <w:r>
        <w:rPr>
          <w:rFonts w:ascii="Times New Roman" w:cs="Times New Roman" w:eastAsia="Times New Roman" w:hAnsi="Times New Roman"/>
          <w:sz w:val="18"/>
          <w:szCs w:val="18"/>
          <w:i w:val="1"/>
          <w:iCs w:val="1"/>
          <w:color w:val="auto"/>
        </w:rPr>
        <w:t>(14) Convertible Preferred Stock</w:t>
      </w:r>
      <w:r>
        <w:rPr>
          <w:rFonts w:ascii="Times New Roman" w:cs="Times New Roman" w:eastAsia="Times New Roman" w:hAnsi="Times New Roman"/>
          <w:sz w:val="18"/>
          <w:szCs w:val="18"/>
          <w:color w:val="auto"/>
        </w:rPr>
        <w:t xml:space="preserve">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Earnout</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MTAC entered into the Sponsor Support Agreement. Pursuant to the Sponsor Support Agreement, the 3,125,000 Sponsor Earnout Shares became unvested and subject to potential forfeiture if certain triggering events are not achieved prior to the 5th anniversary of the Closing Date. Pursuant to the Sponsor Support Agreement, (i) 25% of the shares of our Common Stock held by the Sponsor Holders will only vest if, during the five years period following the Closing, the volume weighted average price of our Common Stock equals or exceeds $15.00 for any 20 trading days within a period of 30 consecutive trading days, (ii) 25% of the shares of our Common Stock held by the Sponsor Holders will only vest if, during the five years period following the Closing, the volume weighted average price of our Common Stock equals or exceeds $20.00 for any 20 trading days within a period of 30 consecutive trading days, (iii) 25% of the shares of our Common Stock held by the Sponsor Holders will only vest if, during the five years period following the Closing, the volume weighted average price of our Common Stock equals or exceeds $25.00 for any 20 trading days within a period of 30 consecutive trading days; and (iv) 25% of the shares of our Common Stock held by the Sponsor Holders will only vest if, during the five years period following the Closing, the volume weighted average price of our Common Stock equals or exceeds $30.00 for any 20 trading days within a period of 30 consecutive trading days. Additionally, the Sponsor Earnout Shares will</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vest if there is a change in control of our company on or before the 5th anniversary of the Closing Date that results in the holders of our Common Stock receiving a price per share equal to or in excess of the applicable earnout targets. Any such shares held by the Sponsor Holders that remain unvested after the 5th anniversary of the Closing will be forfeited. See Note </w:t>
      </w:r>
      <w:r>
        <w:rPr>
          <w:rFonts w:ascii="Times New Roman" w:cs="Times New Roman" w:eastAsia="Times New Roman" w:hAnsi="Times New Roman"/>
          <w:sz w:val="18"/>
          <w:szCs w:val="18"/>
          <w:i w:val="1"/>
          <w:iCs w:val="1"/>
          <w:color w:val="auto"/>
        </w:rPr>
        <w:t>(8) Contingent Earnout Liability</w:t>
      </w:r>
      <w:r>
        <w:rPr>
          <w:rFonts w:ascii="Times New Roman" w:cs="Times New Roman" w:eastAsia="Times New Roman" w:hAnsi="Times New Roman"/>
          <w:sz w:val="18"/>
          <w:szCs w:val="18"/>
          <w:color w:val="auto"/>
        </w:rPr>
        <w:t xml:space="preserve"> for additional discussion of the Sponsor Earnout Shares and the liability we have recorded for them.</w:t>
      </w:r>
    </w:p>
    <w:p>
      <w:pPr>
        <w:spacing w:after="0" w:line="135"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trade accounts payable, tranche and warrant liabilities to purchase preferred stock, the contingent earnout liability and the warrant liability and revenue based redemption liability related to the Initial OrbiMed Credit Agreement. The carrying values of these financial instruments (other than the contingent earnout liability, tranche liabilities, revenue based redemption liability, and warrant liabilities, which are held at fair value) approximate fair value through the use of publicly available market prices as of March 31, 2025, and December 31, 2024. In general, asset and liability fair values are determined using the following categories: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utilize quoted prices in active markets for identical assets or liabilities.</w:t>
      </w:r>
    </w:p>
    <w:p>
      <w:pPr>
        <w:spacing w:after="0" w:line="185" w:lineRule="exact"/>
        <w:rPr>
          <w:sz w:val="20"/>
          <w:szCs w:val="20"/>
          <w:color w:val="auto"/>
        </w:rPr>
      </w:pPr>
    </w:p>
    <w:p>
      <w:pPr>
        <w:ind w:left="340" w:right="80"/>
        <w:spacing w:after="0" w:line="282" w:lineRule="auto"/>
        <w:rPr>
          <w:sz w:val="20"/>
          <w:szCs w:val="20"/>
          <w:color w:val="auto"/>
        </w:rPr>
      </w:pPr>
      <w:r>
        <w:rPr>
          <w:rFonts w:ascii="Times New Roman" w:cs="Times New Roman" w:eastAsia="Times New Roman" w:hAnsi="Times New Roman"/>
          <w:sz w:val="18"/>
          <w:szCs w:val="18"/>
          <w:color w:val="auto"/>
        </w:rPr>
        <w:t>Level 2 — Inputs include quoted prices for similar assets or liabilities in active markets, and inputs other than quoted prices that are observable for the asset or liability, either directly or indirectly.</w:t>
      </w:r>
    </w:p>
    <w:p>
      <w:pPr>
        <w:spacing w:after="0" w:line="121"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warrant, earnout liabilities, SEPA, tranche, and revenue base redemption feature are measured at fair value on a recurring basis.</w:t>
      </w:r>
    </w:p>
    <w:p>
      <w:pPr>
        <w:spacing w:after="0" w:line="183"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At the Closing Date, we assumed warrants to purchase 14,266,605 shares of common stock for $11.50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Of these, 8,333,272 were traded publicly (the "Public Warrants"), 5,933,333 were privately held (the 4,933,333 "Private Placement Warrants" and 1,000,000 "Working Capital Warrants" and together with the Public Warrants, the "SPAC Warrants").</w:t>
      </w:r>
    </w:p>
    <w:p>
      <w:pPr>
        <w:spacing w:after="0" w:line="6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At the Closing Date, we determined the fair value of the earnout liability to be $28.9 million based on a Monte Carlo simulation of future trading prices for our common stock. See Note </w:t>
      </w:r>
      <w:r>
        <w:rPr>
          <w:rFonts w:ascii="Times New Roman" w:cs="Times New Roman" w:eastAsia="Times New Roman" w:hAnsi="Times New Roman"/>
          <w:sz w:val="18"/>
          <w:szCs w:val="18"/>
          <w:i w:val="1"/>
          <w:iCs w:val="1"/>
          <w:color w:val="auto"/>
        </w:rPr>
        <w:t>(8) Contingent Earnout Liability</w:t>
      </w:r>
      <w:r>
        <w:rPr>
          <w:rFonts w:ascii="Times New Roman" w:cs="Times New Roman" w:eastAsia="Times New Roman" w:hAnsi="Times New Roman"/>
          <w:sz w:val="18"/>
          <w:szCs w:val="18"/>
          <w:color w:val="auto"/>
        </w:rPr>
        <w:t xml:space="preserve"> for further discussion.</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 of our outstanding SPAC warrants liabilities was $8.7 million and $7.9 million, respectively, at March 31, 2025 and December 31, 2024. The carrying amount of outstanding earnout liability was $8.2 million and $7.4 million, respectively, at March 31, 2025 and December 31, 2024. The carrying values of the warrant liabilities represent the remeasurement to fair value each reporting period based on Level 1 inputs for the publicly traded Public Warrants and Level 2 inputs for the Private Placement Warrants and Working Capital Warrants. The carrying amounts of the contingent earnout liability and SEPA derivative liability represent the remeasurement to fair value each reporting period based on unobservable, or Level 3 inputs, using assumptions made by us, including the market price of our common stock and the observed volatility of a peer group of companies.</w:t>
      </w:r>
    </w:p>
    <w:p>
      <w:pPr>
        <w:spacing w:after="0" w:line="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 2023, we entered into the SEPA with Yorkville. Upon execution of the SEPA, we determined the fair value of the SEPA derivative liability to be $0.2 million based on a scenario-based model. See Note </w:t>
      </w:r>
      <w:r>
        <w:rPr>
          <w:rFonts w:ascii="Times New Roman" w:cs="Times New Roman" w:eastAsia="Times New Roman" w:hAnsi="Times New Roman"/>
          <w:sz w:val="18"/>
          <w:szCs w:val="18"/>
          <w:i w:val="1"/>
          <w:iCs w:val="1"/>
          <w:color w:val="auto"/>
        </w:rPr>
        <w:t>(12) Standby Equity Purchase Agreement</w:t>
      </w:r>
      <w:r>
        <w:rPr>
          <w:rFonts w:ascii="Times New Roman" w:cs="Times New Roman" w:eastAsia="Times New Roman" w:hAnsi="Times New Roman"/>
          <w:sz w:val="18"/>
          <w:szCs w:val="18"/>
          <w:color w:val="auto"/>
        </w:rPr>
        <w:t xml:space="preserve"> for further discussion. We determined the fair value of the SEPA derivative liability to be $23 and $55, respectively, at March 31, 2025 and December 31, 2024; we recorded the change in fair value in other income (expense).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debt closing with OrbiMed on April 30, 2024, we also issued OrbiMed a warrant to purchase 130,805 shares of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with the initial exercise price of $9.5562 (the "Initial OrbiMed Warrant") per share, or approximately $1.25 million in the aggregate, assuming none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Initial OrbiMed Warrant is exercised through a "cashless" exercise. In the three months ended March 31, 2025, the exercise price remained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$9.3722 per share pursuant to the terms of the Initial OrbiMed Warrant, or approximately $1.23 million in the aggregate. On August 15, 2024, at OrbiMed's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the Initial OrbiMed warrant was split into two separate warrants ("Substitute Warrant Certificate #1" and "Substitute Warrant Certificate #2"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together, the "OrbiMed Warrants") held by two of OrbiMed's operating entities; one for 92,801 common shares and second for 38,004 common shares,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 to the related terms and conditions.</w:t>
      </w:r>
    </w:p>
    <w:p>
      <w:pPr>
        <w:spacing w:after="0" w:line="99"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 xml:space="preserve">In connection with the First Delayed Draw Term Loan Commitment draw on February 18, 2025, we issued the OrbiMed operating entities a warrant to purchase 64,748 and 26,515 shares of our common stock (the "Subsequent OrbiMed Warrant"), with the initial exercise price of $5.4787, or approximately $0.5 million. The Subsequent OrbiMed Warrant expires on February 18, 2032 (See Notes </w:t>
      </w:r>
      <w:r>
        <w:rPr>
          <w:rFonts w:ascii="Times New Roman" w:cs="Times New Roman" w:eastAsia="Times New Roman" w:hAnsi="Times New Roman"/>
          <w:sz w:val="17"/>
          <w:szCs w:val="17"/>
          <w:i w:val="1"/>
          <w:iCs w:val="1"/>
          <w:color w:val="auto"/>
        </w:rPr>
        <w:t>(9) Warrants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(13) Debt</w:t>
      </w:r>
      <w:r>
        <w:rPr>
          <w:rFonts w:ascii="Times New Roman" w:cs="Times New Roman" w:eastAsia="Times New Roman" w:hAnsi="Times New Roman"/>
          <w:sz w:val="17"/>
          <w:szCs w:val="17"/>
          <w:color w:val="auto"/>
        </w:rPr>
        <w:t xml:space="preserve"> for more information on the</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OrbiMed Credit Agreement). The Subsequent OrbiMed Warrant collectively with the Initial OrbiMed Warrant (the "OrbiMed Warrants") are accounted for as a liabilities under ASC 815, </w:t>
      </w:r>
      <w:r>
        <w:rPr>
          <w:rFonts w:ascii="Times New Roman" w:cs="Times New Roman" w:eastAsia="Times New Roman" w:hAnsi="Times New Roman"/>
          <w:sz w:val="18"/>
          <w:szCs w:val="18"/>
          <w:i w:val="1"/>
          <w:iCs w:val="1"/>
          <w:color w:val="auto"/>
        </w:rPr>
        <w:t>Derivatives and Hedging, Contracts in Equity's Own Equity</w:t>
      </w:r>
      <w:r>
        <w:rPr>
          <w:rFonts w:ascii="Times New Roman" w:cs="Times New Roman" w:eastAsia="Times New Roman" w:hAnsi="Times New Roman"/>
          <w:sz w:val="18"/>
          <w:szCs w:val="18"/>
          <w:color w:val="auto"/>
        </w:rPr>
        <w:t xml:space="preserve"> ("ASC 815-40").</w:t>
      </w:r>
    </w:p>
    <w:p>
      <w:pPr>
        <w:spacing w:after="0" w:line="5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use a Black-Scholes option pricing model to estimate the fair value of the OrbiMed Warrant, as warrants give the holders the right, but not the obligation, to purchase the underlying securities at a contractual exercise price. This method utilizes certain unobservable inputs, including the determination of the expected volatility, and is therefore considered a Level 3 fair value measurement. Certain inputs used in this Black-Scholes pricing model may fluctuate in future periods based upon factors that are outside of our control, including potential change in control outside of our control. A significant change in one or more of these inputs used in the calculation of the fair value may cause a significant change to the fair value of the warrant liabilities, which could also result in material non-cash gains or losses being reported in the condensed statement of operations. The expected volatility was implied from a blend of the Company's own common shares and the average historical share volatilizes of several unrelated public companies within the Company's industry that the Company considers to be comparable to its own business. We determined the fair value of the OrbiMed Warrant liability to be $0.7 million and $0.4 million, respectively, at March 31, 2025 and December 31, 2024, and recorded the adjustment to the change in fair value of SEPA, warrant, and revenue base redemption liabilities.</w:t>
      </w:r>
    </w:p>
    <w:p>
      <w:pPr>
        <w:spacing w:after="0" w:line="1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If the “Product Revenue Base” (i.e., with respect to any period, the net revenues for such period from sales of TriNav) on a trailing 12-month basis does not equal or exceed the specified amount as stipulated (see table in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we will start repaying the outstanding principal amount in equal monthly installments through April 30, 2029 (the "Maturity Date"). Such repayments will commence in the calendar month immediately following the applicable Test Date per the OrbiMed Credit Agreement (see table in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and occur on the last day of each calendar month ("Amortization Payment Date"). The repayments are calculated from the first Amortization Payment Date through the Maturity Date and the balance of the principal amount of the loans under the OrbiMed Credit Agreement shall be repaid on the Maturity Date. The repayments include the applicable Repayment Premium and the Exit Fee (see Note </w:t>
      </w:r>
      <w:r>
        <w:rPr>
          <w:rFonts w:ascii="Times New Roman" w:cs="Times New Roman" w:eastAsia="Times New Roman" w:hAnsi="Times New Roman"/>
          <w:sz w:val="18"/>
          <w:szCs w:val="18"/>
          <w:i w:val="1"/>
          <w:iCs w:val="1"/>
          <w:color w:val="auto"/>
        </w:rPr>
        <w:t>(13) Debt</w:t>
      </w:r>
      <w:r>
        <w:rPr>
          <w:rFonts w:ascii="Times New Roman" w:cs="Times New Roman" w:eastAsia="Times New Roman" w:hAnsi="Times New Roman"/>
          <w:sz w:val="18"/>
          <w:szCs w:val="18"/>
          <w:color w:val="auto"/>
        </w:rPr>
        <w:t xml:space="preserve"> ). The repayment of the loans under the OrbiMed Credit Agreement as aforementioned, is referred to as the “Revenue Base Redemption Liability.” Furthermore, if on the subsequent test date, the revenue-based condition is met, we will stop repaying the outstanding principal amount in equal installments and directly repay the balance amount on the Maturity Date. We determine the value of the Revenue Base Redemption Liability using a Monte Carlo simulation of future revenue and valuing the Term Loan using the with and without method.</w:t>
      </w:r>
    </w:p>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24, 2024, we commenced an offer (the “Offer”) to all holders of Public Warrants, Private Placement Warrants and Working Capital Warrants (collectively, the "Exchange Warrants") to receive 0.30 shares of common stock of the Company in exchange for each Exchange Warrant tendered by the holder and exchanged pursuant to the Offer. The Offer expired at one minute after 11:59 p.m., Eastern Standard Time, on June 25, 2024. The Exchange Warrants tendered were comprised of 6,529,954 Public Warrants and 504,685 Private Placement Warrants. We determined the Exchange Warrants met the criteria to be equity classified at June 26, 2024, and that their fair value was $11.9 million. Adjusting for issuance costs of $1.7 million, the net fair value of the Exchange Warrants was $10.2 million. Accordingly, we recorded that amount as a reduction of the warrant liability and a charge to APIC.</w:t>
      </w:r>
    </w:p>
    <w:p>
      <w:pPr>
        <w:spacing w:after="0" w:line="13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fair value of our outstanding warrant liabilities, contingent earnout liability, SEPA derivative liability, and revenue base redemption liability for the three months ended March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SPAC Warrant Liabilities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 Level 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 - Level 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487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 - Level 2</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6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7,899</w:t>
            </w:r>
          </w:p>
        </w:tc>
        <w:tc>
          <w:tcPr>
            <w:tcW w:w="16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8"/>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 derivative liability</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OrbiMed Warrants liability</w:t>
            </w: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fair value of our outstanding warrant liabilities, contingent earnout liability, and SEPA derivative liability for the three months ended March 31, 2024:</w:t>
      </w:r>
    </w:p>
    <w:p>
      <w:pPr>
        <w:spacing w:after="0" w:line="200" w:lineRule="exact"/>
        <w:rPr>
          <w:sz w:val="20"/>
          <w:szCs w:val="20"/>
          <w:color w:val="auto"/>
        </w:rPr>
      </w:pPr>
    </w:p>
    <w:p>
      <w:pPr>
        <w:spacing w:after="0" w:line="3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SPAC Warrant Liabilities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37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 - Level 1</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Private Placement Warrants - Level 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 - Level 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33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4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22,620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 derivative liability</w:t>
            </w:r>
          </w:p>
        </w:tc>
        <w:tc>
          <w:tcPr>
            <w:tcW w:w="4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Cash, Cash Equivalents and Restricted Cash</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as presented in the Condensed Consolidated Statements of Cash Flows,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40" w:type="dxa"/>
            <w:vAlign w:val="bottom"/>
            <w:shd w:val="clear" w:color="auto" w:fill="CCEEFF"/>
          </w:tcPr>
          <w:p>
            <w:pPr>
              <w:ind w:left="14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0" w:type="dxa"/>
            <w:vAlign w:val="bottom"/>
          </w:tcPr>
          <w:p>
            <w:pPr>
              <w:spacing w:after="0"/>
              <w:rPr>
                <w:sz w:val="1"/>
                <w:szCs w:val="1"/>
                <w:color w:val="auto"/>
              </w:rPr>
            </w:pPr>
          </w:p>
        </w:tc>
      </w:tr>
      <w:tr>
        <w:trPr>
          <w:trHeight w:val="254"/>
        </w:trPr>
        <w:tc>
          <w:tcPr>
            <w:tcW w:w="8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Flows</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Restricted cash of $350 is held by our bank to support our corporate credit card program.</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inventory are summarized as follows: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50"/>
        </w:trPr>
        <w:tc>
          <w:tcPr>
            <w:tcW w:w="80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obsolete inventory</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tab/>
        <w:t>Accrued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consists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incentives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 general</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 clinical trials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7"/>
        </w:trPr>
        <w:tc>
          <w:tcPr>
            <w:tcW w:w="8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8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 general includes accruals from our service providers and other miscellaneous operating accruals.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Contingent Earnout Liability</w:t>
      </w:r>
    </w:p>
    <w:p>
      <w:pPr>
        <w:sectPr>
          <w:pgSz w:w="11900" w:h="16838" w:orient="portrait"/>
          <w:cols w:equalWidth="0" w:num="1">
            <w:col w:w="11220"/>
          </w:cols>
          <w:pgMar w:left="320" w:top="135" w:right="359" w:bottom="9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92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 xml:space="preserve">In connection with the execution of the Merger Agreement (see Note </w:t>
      </w:r>
      <w:r>
        <w:rPr>
          <w:rFonts w:ascii="Times New Roman" w:cs="Times New Roman" w:eastAsia="Times New Roman" w:hAnsi="Times New Roman"/>
          <w:sz w:val="18"/>
          <w:szCs w:val="18"/>
          <w:i w:val="1"/>
          <w:iCs w:val="1"/>
          <w:color w:val="auto"/>
        </w:rPr>
        <w:t>(3) Business Combination)</w:t>
      </w:r>
      <w:r>
        <w:rPr>
          <w:rFonts w:ascii="Times New Roman" w:cs="Times New Roman" w:eastAsia="Times New Roman" w:hAnsi="Times New Roman"/>
          <w:sz w:val="18"/>
          <w:szCs w:val="18"/>
          <w:color w:val="auto"/>
        </w:rPr>
        <w:t>, MTAC entered into the Sponsor Support Agreement. Pursuant to the Sponsor Support Agreement, the 3,125,000 Sponsor Earnout Shares became unvested and subject to potential forfeiture if certain triggering events are not achieved prior to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Closing Date. Pursuant to the Sponsor Support Agreement, (i) 25% of the shares of the unvested Common Stock held by the Sponsor Holders will only vest if, during the five year period following the Closing, the volume weighted average price of our Common Stock equals or exceeds $15.00 for any 20 trading days within a period of 30 consecutive trading days, (ii) 25% of the shares of the unvested Common Stock held by the Sponsor Holders will only vest if, during the five year period following the Closing, the volume weighted average price of our Common Stock equals or exceeds $20.00 for any 20 trading days within a period of 30 consecutive trading days, (iii) 25% of the shares of the unvested Common Stock held by the Sponsor Holders will only vest if, during the five year period following the Closing, the volume weighted average price of our Common Stock equals or exceeds $25.00 for any 20 trading days within a period of 30 consecutive trading days; and (iv) 25% of the shares of the unvested Common Stock held by the Sponsor Holders will only vest if, during the five year period following the Closing, the volume weighted average price of our Common Stock equals or exceeds $30.00 for any 20 trading days within a period of 30 consecutive trading days. Additionally, the Sponsor Earnout Shares will vest if there is a change in control of our company on or before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Closing Date that results in the holders of our Common Stock receiving a price per share equal to or in excess of the applicable earnout targets. Any such shares held by the Sponsor Holders that remain unvested after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the Closing will be forfeited.</w:t>
      </w:r>
    </w:p>
    <w:p>
      <w:pPr>
        <w:spacing w:after="0" w:line="9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contingent earnout liability on the Closing Date, August 10, 2023, was $28.9 million, based on a Monte Carlo simulation valuation model. The liability was remeasured to its fair value of $8.2 million and $7.4 million, respectively, as of March 31, 2025 and December 31, 2024, respectively. This remeasurement resulted in the recording of a loss of $0.8 million and $4.0 million, respectively, for the three ended March 31, 2025 and 2024, respectively, classified as change in fair value of contingent earnout liability in the Condensed Consolidated Statements of Operations. Assumptions used in the valuation are described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8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stock price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7"/>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dividend yield</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the liability was determined using a Monte Carlo simulation valuation model using a distribution of potential outcomes.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and assumptions utilized in the calculation require management to apply judgment and make estimates including:</w:t>
      </w:r>
    </w:p>
    <w:p>
      <w:pPr>
        <w:spacing w:after="0" w:line="45" w:lineRule="exact"/>
        <w:rPr>
          <w:sz w:val="20"/>
          <w:szCs w:val="20"/>
          <w:color w:val="auto"/>
        </w:rPr>
      </w:pPr>
    </w:p>
    <w:p>
      <w:pPr>
        <w:ind w:left="660" w:right="60" w:hanging="328"/>
        <w:spacing w:after="0" w:line="281"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based on the historical equity volatility of publicly traded peer companies for a term equal to the expected term of the earnout period;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which we based on the earnout period per the agreement;</w:t>
      </w:r>
    </w:p>
    <w:p>
      <w:pPr>
        <w:spacing w:after="0" w:line="6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earnout period;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which we estimate to be 0% based on the fact that we have never paid or declared dividends.</w:t>
      </w:r>
    </w:p>
    <w:p>
      <w:pPr>
        <w:spacing w:after="0" w:line="19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Warrants that have not been tendered for exchange and outstanding at March 31, 2025, and December 31, 2024,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tcPr>
          <w:p>
            <w:pPr>
              <w:spacing w:after="0"/>
              <w:rPr>
                <w:sz w:val="15"/>
                <w:szCs w:val="15"/>
                <w:color w:val="auto"/>
              </w:rPr>
            </w:pPr>
          </w:p>
        </w:tc>
        <w:tc>
          <w:tcPr>
            <w:tcW w:w="16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4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OrbiMed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222,068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130,805</w:t>
            </w:r>
          </w:p>
        </w:tc>
      </w:tr>
      <w:tr>
        <w:trPr>
          <w:trHeight w:val="27"/>
        </w:trPr>
        <w:tc>
          <w:tcPr>
            <w:tcW w:w="80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warrants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7,402,541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7,311,278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Private Placement and Working Capital Warrant Liabilities</w:t>
      </w:r>
    </w:p>
    <w:p>
      <w:pPr>
        <w:spacing w:after="0" w:line="20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consummation of the Business Combination, we assumed the warrant liabilities associated with 8,333,272 Public Warrants. Each Public Warrant is exercisable to purchase one share of common stock at a price of $11.50 per share, subject to adjustment. As of March 31, 2025 and December 31, 2024, there were 1,751,825 Public Warrants outstanding. The Public Warrants expire on August 10, 2028 or earlier upon redemption or liquidation.</w:t>
      </w:r>
    </w:p>
    <w:p>
      <w:pPr>
        <w:spacing w:after="0" w:line="13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expire 5 years after the completion of the Business Combination or earlier upon redemption or liquidation. We may redeem for cash the outstanding Public Warrants:</w:t>
      </w:r>
    </w:p>
    <w:p>
      <w:pPr>
        <w:spacing w:after="0" w:line="54"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the Common Stock equals or exceeds $18.00 per share (as adjusted for stock splits, stock dividends, reorganizations, recapitalizations and the like) for any 20 trading days within a 30 trading day period ending three business days before we send the notice of redemption to the warrant holders.</w:t>
      </w:r>
    </w:p>
    <w:p>
      <w:pPr>
        <w:spacing w:after="0" w:line="13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If and when the SPAC Warrants become redeemable, we may exercise its redemption right even if it is unable to register or qualify the underlying securities for sale under all applicable state securities laws.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call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we be required to net cash settle the warrants. Accordingly, the warrants may expire worthless.</w:t>
      </w:r>
    </w:p>
    <w:p>
      <w:pPr>
        <w:spacing w:after="0" w:line="14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Public Warrants, we assumed the warrant liabilities associated with 4,933,333 Private Placement Warrants and 1,000,000 Working Capital Warrants. The Private Placement Warrants and Working Capital Warrants are identical to the Public Warrants, except that the Private Placement Warrants and Working Capital Warrants, and the common stock issuable upon the exercise of the Private Placement Warrants and Working Capital Warrants, were not transferable, assignable or saleable until 30 days after the completion of the Business Combination, subject to certain limited exceptions. Additionally, the Private Placement Warrants and Working Capital Warrants are exercisable on a cashless basis and are non-redeemable so long as they are held by the initial purchasers or their permitted transferees. If the Private Placement Warrants and Working Capital Warrants are held by someone other than the initial purchasers or their permitted transferees, they will be redeemable by the Company and exercisable by such holders on the same basis as the Public Warrants. As of March 31, 2025 and December 31, 2024, there were 4,428,648 Private Placement Warrants and 1,000,000 Working Capital Warrants outstanding.</w:t>
      </w:r>
    </w:p>
    <w:p>
      <w:pPr>
        <w:spacing w:after="0" w:line="14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the Public Warrants, Private Placement Warrants, and Working Capital Warrants do not meet the criteria to be equity classified and should be recorded as liabilities. Our analysis concluded liability classification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these warrants include a provision that could allow cash settlement upon an event outside our control, and such event may not result in a change in control of the Company. As a result, the Private and Public Warrants do not meet the criteria for equity classification.</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the close of the Business Combination, the fair values of the Public Warrants, Private Placement Warrants, and Working Capital Warrants were $1.5 million, $0.9 million, and $0.2 million, respectively. As of March 31, 2025, the fair values of the Public Warrants, Private Placement Warrants and Working Capital Warrants were $2.1 million, $5.4 million, and $1.2 million, respectively. As of December 31, 2024, the fair values of the Public Warrants, Private Placement Warrants and Working Capital Warrants were $1.9 million, $4.9 million, and $1.1 million. The fair value of the Public Warrants has been measured based on the quoted price of such warrants on the Nasdaq Global Market. The transfer of Private Placement Warrants or Working Capital Warrants to anyone outside of a small group of individuals who are permitted transferees would result in the Private Placement Warrants and Working Capital Warrants having substantially the same terms as the Public Warrants. Therefore, we determined that the fair value of each Private Warrant and Working Capital Warrant is equivalent to that of each Public Warrant.</w:t>
      </w:r>
    </w:p>
    <w:p>
      <w:pPr>
        <w:spacing w:after="0" w:line="8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May 24, 2024, we commenced (i) the Offer and (ii) the solicitation of consent (the “Consent Solicitation”) from holders of the Exchange Warrants to amend the Warrant Agreement, dated as of December 17, 2020 (the “Warrant Agreement” and such amendment, the “Warrant Amendment”), by and between the Company and Continental Stock Transfer &amp; Trust Company, which governs all of the Exchange Warrants.</w:t>
      </w:r>
    </w:p>
    <w:p>
      <w:pPr>
        <w:spacing w:after="0" w:line="6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Offer and Consent Solicitation expired at one minute after 11:59 p.m., Eastern Standard Time, on June 25, 2024. The Exchange Warrants tendered were comprised of 6,529,954 Public Warrants and 504,685 Private Placement</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Warrants, which represents approximately 78.8% and 10.2% of the outstanding warrants of each respective class. The Warrants were validly tendered and not validly withdrawn prior to the expiration of the Offer and Consent Solicitation. No Working Capital Warrants were tendered. We determined the Exchange Warrants met the criteria to be equity classified at June 26, 2024, and that their fair value was $11.9 million. Accordingly, we recorded that amount as a reduction of the warrant liability and a charge to APIC, partially offset by issuance costs of $1.7 million. On July 1, 2024, we issued 2,110,366 shares of common stock in exchange for the Exchange Warrants.</w:t>
      </w:r>
    </w:p>
    <w:p>
      <w:pPr>
        <w:spacing w:after="0" w:line="75" w:lineRule="exact"/>
        <w:rPr>
          <w:sz w:val="20"/>
          <w:szCs w:val="20"/>
          <w:color w:val="auto"/>
        </w:rPr>
      </w:pPr>
    </w:p>
    <w:p>
      <w:pPr>
        <w:jc w:val="both"/>
        <w:ind w:right="320" w:firstLine="324"/>
        <w:spacing w:after="0" w:line="281" w:lineRule="auto"/>
        <w:rPr>
          <w:sz w:val="20"/>
          <w:szCs w:val="20"/>
          <w:color w:val="auto"/>
        </w:rPr>
      </w:pPr>
      <w:r>
        <w:rPr>
          <w:rFonts w:ascii="Times New Roman" w:cs="Times New Roman" w:eastAsia="Times New Roman" w:hAnsi="Times New Roman"/>
          <w:sz w:val="17"/>
          <w:szCs w:val="17"/>
          <w:color w:val="auto"/>
        </w:rPr>
        <w:t>In addition, the Warrant Amendment was entered into with respect to the Public Warrants. As a result all (and not less than all) of the outstanding Public Warrants may be exchanged, at our option, at any time while they are exercisable and prior to their expiration, at the office of the warrant agent, upon notice to the holders of the then outstanding Public Warrants, at the exchange rate of 0.27 shares of Common Stock per Public Warrant (subject to equitable adjustment by us in the event of any stock splits, stock dividends, recapitalizations or similar transaction with respect to the Common Stock).</w:t>
      </w:r>
    </w:p>
    <w:p>
      <w:pPr>
        <w:spacing w:after="0" w:line="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the Public Warrants, Private Placement Warrants, Working Capital Warrants and Exchange Warrants in the three months ended March 31, 2025. There was no activity in the three months ended March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Retirements /</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Exchanges</w:t>
            </w:r>
          </w:p>
        </w:tc>
        <w:tc>
          <w:tcPr>
            <w:tcW w:w="10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3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1,751,825</w:t>
            </w:r>
          </w:p>
        </w:tc>
      </w:tr>
      <w:tr>
        <w:trPr>
          <w:trHeight w:val="24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c>
          <w:tcPr>
            <w:tcW w:w="100" w:type="dxa"/>
            <w:vAlign w:val="bottom"/>
          </w:tcPr>
          <w:p>
            <w:pPr>
              <w:spacing w:after="0"/>
              <w:rPr>
                <w:sz w:val="21"/>
                <w:szCs w:val="21"/>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4,428,648</w:t>
            </w: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Warrants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7"/>
        </w:trPr>
        <w:tc>
          <w:tcPr>
            <w:tcW w:w="3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Warrants</w:t>
      </w:r>
    </w:p>
    <w:p>
      <w:pPr>
        <w:spacing w:after="0" w:line="12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the OrbiMed Credit Agreement, we also issued OrbiMed a warrant to purchase 130,805 shares of our common stock (the "Warrant Shares"), with the initial exercise price of $9.5562, (the "Exercise Price") per share, or approximately $1.25 million in the aggregate, assuming none of the Initial OrbiMed Warrant is exercised through a "cashless" exercise. In the three months ended March 31, 2025, the exercise price remained at $9.3722 per share adjusted pursuant to the terms of the Initial OrbiMed Warrant, or approximately $1.23 million in the aggregate. The Initial OrbiMed Warrant expires on April 30, 2031 (the "Expiration Date").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Warrants” and collectively, with the Initial OrbiMed Warrant, the “OrbiMed Warrants” and together with the SPAC Warrants, the “Warrants”). The Subsequent OrbiMed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In connection with the First Delayed Draw Term Loan Commitment draw on February 18, 2025, we issued the OrbiMed operating entities a warrant to purchase 64,748 and 26,515 shares of our common stock (the "Subsequent OrbiMed Warrant"), with the initial exercise price of $5.4787, or approximately $0.5 million. The Subsequent OrbiMed Warrant expires on February 18, 2032.</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OrbiMed Warrants may be exercised in whole or in part, at any time prior to the Expiration Date (the "Exercise Period"), by either:</w:t>
      </w:r>
    </w:p>
    <w:p>
      <w:pPr>
        <w:spacing w:after="0" w:line="117" w:lineRule="exact"/>
        <w:rPr>
          <w:sz w:val="20"/>
          <w:szCs w:val="20"/>
          <w:color w:val="auto"/>
        </w:rPr>
      </w:pPr>
    </w:p>
    <w:p>
      <w:pPr>
        <w:ind w:left="660" w:hanging="328"/>
        <w:spacing w:after="0" w:line="282" w:lineRule="auto"/>
        <w:tabs>
          <w:tab w:leader="none" w:pos="6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payment to the Company, in an amount in immediately available funds equal to the aggregate Exercise Price to be paid upon the exercise of the OrbiMed Warrants; or</w:t>
      </w:r>
    </w:p>
    <w:p>
      <w:pPr>
        <w:spacing w:after="0" w:line="5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Company to withhold a number of Warrant Shares then issuable upon exercise of the OrbiMed Warrants with an aggregate fair market value as of the exercise date equal to such aggregate Exercise Price to be paid upon the exercise of the OrbiMed Warrants (the “Cashless Exercise”).</w:t>
      </w:r>
    </w:p>
    <w:p>
      <w:pPr>
        <w:spacing w:after="0" w:line="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If either upon (i) the occurrence of the Expiration Date, or (ii) the date on which a Sale of the Company (defined in the OrbiMed Warrants) is consummated pursuant to which the sole consideration payable to the Company or its stockholders in respect of such sale transaction consists of cash, marketable securities or a combination thereof, and the per share fair market value of a Warrant Share is greater than the exercise price, any portion of the OrbiMed Warrants that remains unexercised on such date shall be deemed to have been exercised automatically pursuant to a Cashless Exercise (the “Automatic Cashless Exercise”).</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Ownership Cap</w:t>
      </w:r>
    </w:p>
    <w:p>
      <w:pPr>
        <w:spacing w:after="0" w:line="11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Holder in any circumstance cannot exercise the OrbiMed Warrants if such exercise would result in the holder and its affiliates to own more than 9.99% of the Company's common stock (the “Ownership Cap”).</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Exercise Price and the number of Warrant Shares underlying the OrbiMed Warrants are subject to certain anti-dilutive adjustments. These are triggered by events such as stock splits, reclassification of shares, combinations, or substitutions. Additionally, the Exercise Price will be adjusted if shares (which include shares, options, and convertible securities settled in common stock) are issued at a price per share less than the current Exercise Price. These adjustments are collectively referred to as "Warrant Adjustments.”</w:t>
      </w:r>
    </w:p>
    <w:p>
      <w:pPr>
        <w:spacing w:after="0" w:line="12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If we declare or pay a dividend or distribution on our outstanding common shares payable in cash, capital securities or other property, the Holder shall be entitled to receive, at the time such dividend or distribution is paid, without additional cost to the Holder, the total number and kind of cash, capital securities or other property which the Holder would have received had the Holder owned the Warrant Shares of record as of the date such dividend or distribution was paid (the “Pro-Rata Distribution”).</w:t>
      </w:r>
    </w:p>
    <w:p>
      <w:pPr>
        <w:spacing w:after="0" w:line="12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Additionally, the OrbiMed Warrants are subject to customary price-based anti-dilution protections, such that, in certain circumstances, if we issue shares of our common stock below the current exercise price of the Initial OrbiMed Warrant, the exercise price of the OrbiMed Warrants will be adjusted downward based on such issuance. As a result of any adjustments, the amount of proceeds we receive from the exercise of the OrbiMed Warrants would be less than the amount we would receive immediately prior to such adjustment. In the three months ended March 31, 2025, the exercise price of the Initial OrbiMed Warrant remained at $9.3722 per share, while the Subsequent OrbiMed Warrant contained an exercise price of $5.4787, in accordance with the above described adjustment mechanics.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Transfers of OrbiMed Warrants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OrbiMed Warrants may be transferred or assigned in whole or in part, subject to compliance with applicable federal and state securities laws.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Proceeds and Issuance Costs</w:t>
      </w:r>
    </w:p>
    <w:p>
      <w:pPr>
        <w:spacing w:after="0" w:line="17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agreement explicitly permits the settlement of the OrbiMed Warrants in a cashless manner (i.e., net share settlement) and not indexed to the Company's own stock, therefore, it is considered as a derivative instrument and will be classified as a liability and is subsequently measured at fair value with changes reported to earnings following the proceeds from the issuance of the Initial Term Loan.</w:t>
      </w:r>
    </w:p>
    <w:p>
      <w:pPr>
        <w:spacing w:after="0" w:line="12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Initial OrbiMed Warrant was measured using the Black-Scholes option pricing model. The key inputs used in the valuations were as follows: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64"/>
        </w:trPr>
        <w:tc>
          <w:tcPr>
            <w:tcW w:w="468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42"/>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4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70.0%</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4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$9.3722</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$9.3722</w:t>
            </w:r>
          </w:p>
        </w:tc>
      </w:tr>
      <w:tr>
        <w:trPr>
          <w:trHeight w:val="27"/>
        </w:trPr>
        <w:tc>
          <w:tcPr>
            <w:tcW w:w="4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46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Subsequent OrbiMed Warrant was measured using the Black-Scholes option pricing model. The key inputs used in the valuations were as follows:</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466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 18, 2025</w:t>
            </w:r>
          </w:p>
        </w:tc>
      </w:tr>
      <w:tr>
        <w:trPr>
          <w:trHeight w:val="242"/>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70.0%</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$5.4787</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$5.4787</w:t>
            </w:r>
          </w:p>
        </w:tc>
      </w:tr>
      <w:tr>
        <w:trPr>
          <w:trHeight w:val="27"/>
        </w:trPr>
        <w:tc>
          <w:tcPr>
            <w:tcW w:w="4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r>
      <w:tr>
        <w:trPr>
          <w:trHeight w:val="27"/>
        </w:trPr>
        <w:tc>
          <w:tcPr>
            <w:tcW w:w="46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inputs utilized by management to value the warrant liabilities are subjective. The assumptions used in calculating the fair value of the warrant liabilities represent our best estimates, but these estimates involve inherent uncertainties and the application of management judgment. As a result, if factors change and we use different assumptions, the fair value of the warrant liabilities may be materially different in the future.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spacing w:after="0" w:line="15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utilize the balance sheet method of accounting for income taxes and deferred taxes which are determined based on the differences between the condensed consolidated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spacing w:after="0" w:line="14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Based on our full valuation allowance against the net deferred tax assets, our effective federal tax rate for the calendar year is zero, and we recorded an immaterial income tax expense in the three months ended March 31, 2025 and 2024. We continue to believe it is more likely than not that some or all of the benefits from its deferred tax assets will not be realized, and accordingly, believe a valuation allowance is still warranted on these assets. Management assesses the available positive and negative evidence, including future reversals of temporary differences, tax-planning strategies and future taxable income, to estimate whether sufficient future taxable income will be generated to permit the use of deferred tax assets. If we conclude it is more likely than not that a portion, or all, of our deferred tax assets will not be realized, the deferred tax asset is reduced by a valuation allowance. A significant piece of objective negative evidence evaluated is the cumulative loss incurred over recent years. Such objective negative evidence limits the ability to consider other subjective positive evidence. The amount of the deferred tax asset considered realizable could be adjusted if estimates of future taxable income change or if objective negative evidence, in the form of cumulative losses, is no longer present and additional weight is given to subjective evidence such as future growth. We evaluate the appropriateness of its valuation allowance on a quarterly basis.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Dynavax Purchase</w:t>
      </w:r>
    </w:p>
    <w:p>
      <w:pPr>
        <w:spacing w:after="0" w:line="162"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purchased all of the intellectual property and trial drug substance for nelitolimod from Dynavax Technologies (“Dynavax”) in 2020. This was a purchase of in-process research and development (“IPR&amp;D”). Nelitolimod, an investigational agent in development, is a toll-like receptor 9 (“TLR9”) agonist which is believed to bind to the TLR9 receptors found on suppressive immune cells including myeloid-derived suppressor cells (“MDSCs”) and antigen-presenting immune cells. We believe that nelitolimod, when delivered using our PEDD devices, can improve therapeutic distribution to solid tumors and improve outcomes for liver metastases and LA-PDAC.</w:t>
      </w:r>
    </w:p>
    <w:p>
      <w:pPr>
        <w:spacing w:after="0" w:line="11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Payments under the Dynavax purchase agreement consist of: (a) an upfront payment of $9,000, (b) milestone payments upon the achievement of certain development and commercial milestones, and (c) royalty payments based on aggregate annual net sales after nelitolimod receives Food and Drug Administration ("FDA") approval to be sold.</w:t>
      </w:r>
    </w:p>
    <w:p>
      <w:pPr>
        <w:spacing w:after="0" w:line="9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LA-PDAC. In aggregate, the commercial milestones shall not exceed $80,000. We will also pay annual royalties at the rate of 10.0% for aggregate annual net sales less than or equal to $1,000,000 and 12.0% for aggregate annual net sales above that amount.</w:t>
      </w:r>
    </w:p>
    <w:p>
      <w:pPr>
        <w:spacing w:after="0" w:line="11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record the milestone payments in R&amp;D expense when they are incurred. The milestone payments and royalty payments are contingent upon future events and therefore will also be recorded as expense when it is probable that a milestone has been achieved or when royalties are due. During the three months ended March 31, 2025 and 2024, we made no payments to Dynavax.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Standby Equity Purchase Agreement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we entered into the SEPA with Yorkville. Yorkville is a fund managed by Yorkville Advisors Global, LP.</w:t>
      </w:r>
    </w:p>
    <w:p>
      <w:pPr>
        <w:spacing w:after="0" w:line="17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Pursuant to the SEPA, we have the right, but not the obligation, to sell to Yorkville up to $30.0 million of Common Stock, par value $0.0001 per share, at our request any time during the commitment period commencing on October 2, 2023 (the “Effective Date”), and terminating on the first day of the month following the 24-month anniversary of the Effective Date. Each issuance and sale to Yorkville under the SEPA (an “Advance”) is subject to a</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maximum limit equal to the greater of: (i) an amount equal to 100% of the average of the daily volume of the Common Stock on the Nasdaq Stock Market (“Nasdaq”) for the 10 trading days immediately preceding an Advance notice, or (ii) 1,000,000 shares of Common Stock. At our election, the shares will be issued and sold to Yorkville at a per-share price equal to: (i) 96.0% of the Market Price (as defined below) for any period commencing on the receipt of the Advance notice by Yorkville and ending on 4:00 p.m. New York City time on the applicable Advance notice date (the “Option 1 Pricing Period”), or (ii)</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97.0%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outstanding voting power or Common Stock. Further, Yorkville cannot purchase shares that would result in it acquiring more than 5,260,704 shares of Common Stock, which represents 19.99% of the outstanding Common Stock, as of the Effective Date of SEPA.</w:t>
      </w:r>
    </w:p>
    <w:p>
      <w:pPr>
        <w:spacing w:after="0" w:line="105"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the SEPA is accounted for as a derivative and is recognized as a liability measured at fair value in accordance with ASC 820. We intend to utilize the SEPA to access capital to fund our operations. We did not issue any Advances during three months ended March 31, 2025.</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of the SEPA liability on December 31, 2024, was $0.1 million, which was determined using a scenario-based valuation model. The liability was remeasured to its fair value of $0.02 million as of March 31, 2025, and is classified within other long-term liabilities in the Condensed Consolidated Balance Sheets. This remeasurement resulted in the recognition of a gain of $0.03 million for three months ended March 31, 2025, classified as change in fair value of SEPA, tranche and warrant liabilities in the Condensed Consolidated Statement of Operations. Assumptions used in the valuation are described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assumptions:</w:t>
            </w:r>
          </w:p>
        </w:tc>
        <w:tc>
          <w:tcPr>
            <w:tcW w:w="208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2"/>
        </w:trPr>
        <w:tc>
          <w:tcPr>
            <w:tcW w:w="41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Expected draws</w:t>
            </w:r>
          </w:p>
        </w:tc>
        <w:tc>
          <w:tcPr>
            <w:tcW w:w="2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4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probability of draws</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20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5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liability was determined using a scenario-based valuation model which assigned a probability to a number of different outcomes. The inputs and assumptions utilized in the calculation require management to apply judgment and make estimates including:</w:t>
      </w:r>
    </w:p>
    <w:p>
      <w:pPr>
        <w:spacing w:after="0" w:line="54" w:lineRule="exact"/>
        <w:rPr>
          <w:sz w:val="20"/>
          <w:szCs w:val="20"/>
          <w:color w:val="auto"/>
        </w:rPr>
      </w:pPr>
    </w:p>
    <w:p>
      <w:pPr>
        <w:ind w:left="340" w:right="160" w:hanging="8"/>
        <w:spacing w:after="0" w:line="282" w:lineRule="auto"/>
        <w:tabs>
          <w:tab w:leader="none" w:pos="6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expected draws of $3.0 million and $2.0 million, at March 31, 2025, and December 31, 2024, respectively, through the issuance of multiple separate advances under the Option 2 Pricing Period at March 31, 2025, and Option 1 Pricing Period at December 31, 2024;</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probability of the draws on the SEPA, which we estimate based on our expectation of the draws being completed; and</w:t>
      </w:r>
    </w:p>
    <w:p>
      <w:pPr>
        <w:spacing w:after="0" w:line="117" w:lineRule="exact"/>
        <w:rPr>
          <w:rFonts w:ascii="Times New Roman" w:cs="Times New Roman" w:eastAsia="Times New Roman" w:hAnsi="Times New Roman"/>
          <w:sz w:val="18"/>
          <w:szCs w:val="18"/>
          <w:color w:val="auto"/>
        </w:rPr>
      </w:pPr>
    </w:p>
    <w:p>
      <w:pPr>
        <w:ind w:left="340" w:right="100" w:hanging="8"/>
        <w:spacing w:after="0" w:line="282" w:lineRule="auto"/>
        <w:tabs>
          <w:tab w:leader="none" w:pos="6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was determined by reference to the U.S. Treasury yield curve for time periods commensurate with the expected term of the agreement in relation to the date of the expected draw.</w:t>
      </w:r>
    </w:p>
    <w:p>
      <w:pPr>
        <w:spacing w:after="0" w:line="8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These estimates may be subjective in nature and involve uncertainties and matters of judgment and therefore cannot be determined with exact precision.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April 30, 2024 (the "OrbiMed Closing Date"), we entered into the Credit Agreement with OrbiMed, a healthcare investment firm, and certain of its affiliates to support the execution of strategic expansion plans, fuel continued growth, and provide financial flexibility.</w:t>
      </w:r>
    </w:p>
    <w:p>
      <w:pPr>
        <w:spacing w:after="0" w:line="40"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Pursuant to the Agreement, OrbiMed agreed to provide a term loan facility to the borrower, in an aggregate principal amount of $50.0 million, as follows:</w:t>
      </w:r>
    </w:p>
    <w:p>
      <w:pPr>
        <w:spacing w:after="0" w:line="41"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million funded on the OrbiMed Closing Date (the “Initial Term Loan”).</w:t>
      </w:r>
    </w:p>
    <w:p>
      <w:pPr>
        <w:spacing w:after="0" w:line="103" w:lineRule="exact"/>
        <w:rPr>
          <w:rFonts w:ascii="Times New Roman" w:cs="Times New Roman" w:eastAsia="Times New Roman" w:hAnsi="Times New Roman"/>
          <w:sz w:val="18"/>
          <w:szCs w:val="18"/>
          <w:color w:val="auto"/>
        </w:rPr>
      </w:pPr>
    </w:p>
    <w:p>
      <w:pPr>
        <w:jc w:val="both"/>
        <w:ind w:left="660" w:right="10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term loan available at the election of the borrower, provided that Product Revenue Base (defined below) for the trailing 12-months ending on the last day of the month immediately prior to the funding of such loan was at least $30.0 million (the “First Delayed Draw Term Loan Commitment”). The First Delayed Draw Term Loan Commitment expires on June 30, 2025.</w:t>
      </w:r>
    </w:p>
    <w:p>
      <w:pPr>
        <w:spacing w:after="0" w:line="68" w:lineRule="exact"/>
        <w:rPr>
          <w:rFonts w:ascii="Times New Roman" w:cs="Times New Roman" w:eastAsia="Times New Roman" w:hAnsi="Times New Roman"/>
          <w:sz w:val="18"/>
          <w:szCs w:val="18"/>
          <w:color w:val="auto"/>
        </w:rPr>
      </w:pPr>
    </w:p>
    <w:p>
      <w:pPr>
        <w:jc w:val="both"/>
        <w:ind w:left="660" w:right="460" w:hanging="328"/>
        <w:spacing w:after="0" w:line="250" w:lineRule="auto"/>
        <w:tabs>
          <w:tab w:leader="none" w:pos="6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 million term loan available at the election of the borrower, provided that Product Revenue Base (defined below) for the trailing 12-months ending on the last day of the month immediately prior to the funding of such loan was at least $50.0 million (the “Second Delayed Draw Term Loan Commitment” and</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together with the First Delayed Draw Term Loan Commitment the “DDTL Commitments”). The Second Delayed Draw Term Loan Commitment expires on December 31, 2025.</w:t>
      </w:r>
    </w:p>
    <w:p>
      <w:pPr>
        <w:spacing w:after="0" w:line="6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term loan will mature on April 30, 2029. On April 30, 2024, we borrowed the initial commitment amount, resulting in gross proceeds of $25.0 million. On February 18, 2025, we borrowed the First Delayed Draw Term Loan Commitment resulting in gross proceeds of $10.0 million based on achieving the trailing 12-month Product Revenue Base of $30.0 million in January 2025.</w:t>
      </w:r>
    </w:p>
    <w:p>
      <w:pPr>
        <w:spacing w:after="0" w:line="68"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includes a subjective acceleration clause whereby an event of default, including a material adverse change in the business, operations, or conditions (financial or otherwise), could result in the acceleration of the obligations under the Credit Agreement. Under certain circumstances, a default interest rate of an additional 4.0% per annum will apply, at the election of OrbiMed, on all outstanding obligations during the occurrence and continuance of an event of default. OrbiMed can also declare all or a portion of the outstanding principal amount of the loan due and payable, and cancel any unmade draws. OrbiMed has not exercised its right under this clause, as there have been no such events.</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part of the First Amendment To Credit Agreement and Registration Rights Agreement, effective March 20, 2025, we received a waiver for the prior default events related to the Series A Convertible Preferred Stock conversions and the Agreement was amended to allow for these conversions going forward. In addition, we received a waiver on March 31, 2025 to extend the timing for the required audited financial statements to occur on or before April 15, 2025. Effective on April 30, 2025, the Second Amendment To Credit Agreement allows for the Company accelerate payment of the Series A Preferred Stock dividends in cash payments in lieu of fractional shares upon conversion of the Preferred Stock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If the “Product Revenue Base” (i.e., with respect to any period, the net revenues for such period from sales of TriNav) on a trailing 12-month basis does not equal or exceed the specified amount as stipulated in table below, the Borrower will start repaying the outstanding principal amount of the Term Loans. Such repayments will commence in the calendar month immediately following the applicable Test Date (stipulated in the table below) and occur on the last day of each calendar month ("Amortization Payment Date"). The repayments are made in equal monthly installments, calculated from the first Amortization Payment Date through the Maturity Date and the balance principal amount of the Term Loans shall be repaid on the Maturity Date. The repayments include the applicable Repayment Premium and the Exit Fee (each as defined below). The repayment of the Term Loans as aforementioned, is referred to as the “Revenue Base Redemption Feature.”</w:t>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47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Test Dates (fiscal Quarter Ending)</w:t>
            </w:r>
          </w:p>
        </w:tc>
        <w:tc>
          <w:tcPr>
            <w:tcW w:w="4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Product Revenue Base for 12 months Period</w:t>
            </w:r>
          </w:p>
        </w:tc>
      </w:tr>
      <w:tr>
        <w:trPr>
          <w:trHeight w:val="24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r>
      <w:tr>
        <w:trPr>
          <w:trHeight w:val="27"/>
        </w:trPr>
        <w:tc>
          <w:tcPr>
            <w:tcW w:w="470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4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r>
      <w:tr>
        <w:trPr>
          <w:trHeight w:val="27"/>
        </w:trPr>
        <w:tc>
          <w:tcPr>
            <w:tcW w:w="470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4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w:t>
            </w:r>
          </w:p>
        </w:tc>
      </w:tr>
      <w:tr>
        <w:trPr>
          <w:trHeight w:val="27"/>
        </w:trPr>
        <w:tc>
          <w:tcPr>
            <w:tcW w:w="470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2026 and each Fiscal Quarter ending thereafter</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470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ind w:right="18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2025, we were in compliance with the Product Revenue Base requirement and no repayments were required. </w:t>
      </w:r>
      <w:r>
        <w:rPr>
          <w:rFonts w:ascii="Times New Roman" w:cs="Times New Roman" w:eastAsia="Times New Roman" w:hAnsi="Times New Roman"/>
          <w:sz w:val="18"/>
          <w:szCs w:val="18"/>
          <w:b w:val="1"/>
          <w:bCs w:val="1"/>
          <w:i w:val="1"/>
          <w:iCs w:val="1"/>
          <w:color w:val="auto"/>
        </w:rPr>
        <w:t>Repayment Premium</w:t>
      </w:r>
    </w:p>
    <w:p>
      <w:pPr>
        <w:spacing w:after="0" w:line="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repayments and prepayments of the Term Loans (other than on Maturity Date) shall be accompanied by the payment of the premium, which shall be determined based on the timing of the repayment as follows (the “Repayment Premium”):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403225</wp:posOffset>
            </wp:positionV>
            <wp:extent cx="669480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48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2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Time of Repayment</w:t>
      </w:r>
      <w:r>
        <w:rPr>
          <w:sz w:val="20"/>
          <w:szCs w:val="20"/>
          <w:color w:val="auto"/>
        </w:rPr>
        <w:tab/>
      </w:r>
      <w:r>
        <w:rPr>
          <w:rFonts w:ascii="Times New Roman" w:cs="Times New Roman" w:eastAsia="Times New Roman" w:hAnsi="Times New Roman"/>
          <w:sz w:val="17"/>
          <w:szCs w:val="17"/>
          <w:b w:val="1"/>
          <w:bCs w:val="1"/>
          <w:color w:val="auto"/>
        </w:rPr>
        <w:t>Premium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6694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Within the first 12 months from the funding date of each respective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94615</wp:posOffset>
            </wp:positionV>
            <wp:extent cx="6694805"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308610"/>
                    </a:xfrm>
                    <a:prstGeom prst="rect">
                      <a:avLst/>
                    </a:prstGeom>
                    <a:noFill/>
                  </pic:spPr>
                </pic:pic>
              </a:graphicData>
            </a:graphic>
          </wp:anchor>
        </w:drawing>
      </w:r>
    </w:p>
    <w:p>
      <w:pPr>
        <w:spacing w:after="0" w:line="138" w:lineRule="exact"/>
        <w:rPr>
          <w:sz w:val="20"/>
          <w:szCs w:val="20"/>
          <w:color w:val="auto"/>
        </w:rPr>
      </w:pPr>
    </w:p>
    <w:p>
      <w:pPr>
        <w:ind w:left="360"/>
        <w:spacing w:after="0" w:line="281" w:lineRule="auto"/>
        <w:rPr>
          <w:sz w:val="20"/>
          <w:szCs w:val="20"/>
          <w:color w:val="auto"/>
        </w:rPr>
      </w:pPr>
      <w:r>
        <w:rPr>
          <w:rFonts w:ascii="Times New Roman" w:cs="Times New Roman" w:eastAsia="Times New Roman" w:hAnsi="Times New Roman"/>
          <w:sz w:val="18"/>
          <w:szCs w:val="18"/>
          <w:color w:val="auto"/>
        </w:rPr>
        <w:t>After the first 12 months but before the 24-month anniversary of the funding date of each respective loan.</w:t>
      </w:r>
    </w:p>
    <w:p>
      <w:pPr>
        <w:spacing w:after="0" w:line="1" w:lineRule="exact"/>
        <w:rPr>
          <w:sz w:val="20"/>
          <w:szCs w:val="20"/>
          <w:color w:val="auto"/>
        </w:rPr>
      </w:pPr>
    </w:p>
    <w:p>
      <w:pPr>
        <w:ind w:left="360" w:right="280"/>
        <w:spacing w:after="0" w:line="281" w:lineRule="auto"/>
        <w:rPr>
          <w:sz w:val="20"/>
          <w:szCs w:val="20"/>
          <w:color w:val="auto"/>
        </w:rPr>
      </w:pPr>
      <w:r>
        <w:rPr>
          <w:rFonts w:ascii="Times New Roman" w:cs="Times New Roman" w:eastAsia="Times New Roman" w:hAnsi="Times New Roman"/>
          <w:sz w:val="18"/>
          <w:szCs w:val="18"/>
          <w:color w:val="auto"/>
        </w:rPr>
        <w:t>After the 24-month anniversary but before the 36-month anniversary of the funding date of each respective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-3810</wp:posOffset>
            </wp:positionV>
            <wp:extent cx="669480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94805" cy="308610"/>
                    </a:xfrm>
                    <a:prstGeom prst="rect">
                      <a:avLst/>
                    </a:prstGeom>
                    <a:noFill/>
                  </pic:spPr>
                </pic:pic>
              </a:graphicData>
            </a:graphic>
          </wp:anchor>
        </w:drawing>
      </w:r>
    </w:p>
    <w:p>
      <w:pPr>
        <w:ind w:left="360" w:right="280"/>
        <w:spacing w:after="0" w:line="273" w:lineRule="auto"/>
        <w:rPr>
          <w:sz w:val="20"/>
          <w:szCs w:val="20"/>
          <w:color w:val="auto"/>
        </w:rPr>
      </w:pPr>
      <w:r>
        <w:rPr>
          <w:rFonts w:ascii="Times New Roman" w:cs="Times New Roman" w:eastAsia="Times New Roman" w:hAnsi="Times New Roman"/>
          <w:sz w:val="18"/>
          <w:szCs w:val="18"/>
          <w:color w:val="auto"/>
        </w:rPr>
        <w:t>After the 36-month anniversary but before the 48-month anniversary of the funding date of each respective loan.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3.0% plus the Make-Whole Amount</w:t>
      </w:r>
    </w:p>
    <w:p>
      <w:pPr>
        <w:spacing w:after="0" w:line="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 xml:space="preserve">(defined below) </w:t>
      </w:r>
      <w:r>
        <w:rPr>
          <w:rFonts w:ascii="Times New Roman" w:cs="Times New Roman" w:eastAsia="Times New Roman" w:hAnsi="Times New Roman"/>
          <w:sz w:val="23"/>
          <w:szCs w:val="23"/>
          <w:color w:val="auto"/>
          <w:vertAlign w:val="superscript"/>
        </w:rPr>
        <w:t>(1)</w:t>
      </w:r>
    </w:p>
    <w:p>
      <w:pPr>
        <w:spacing w:after="0" w:line="2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3.0%</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2.0%</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pacing w:after="0" w:line="171" w:lineRule="exact"/>
        <w:rPr>
          <w:sz w:val="20"/>
          <w:szCs w:val="20"/>
          <w:color w:val="auto"/>
        </w:rPr>
      </w:pPr>
    </w:p>
    <w:p>
      <w:pPr>
        <w:sectPr>
          <w:pgSz w:w="11900" w:h="16838" w:orient="portrait"/>
          <w:cols w:equalWidth="0" w:num="2">
            <w:col w:w="7560" w:space="540"/>
            <w:col w:w="3120"/>
          </w:cols>
          <w:pgMar w:left="320" w:top="135" w:right="359" w:bottom="1440" w:gutter="0" w:footer="0" w:header="0"/>
          <w:type w:val="continuous"/>
        </w:sectPr>
      </w:pPr>
    </w:p>
    <w:tbl>
      <w:tblPr>
        <w:tblLayout w:type="fixed"/>
        <w:tblInd w:w="360" w:type="dxa"/>
        <w:tblCellMar>
          <w:top w:w="0" w:type="dxa"/>
          <w:left w:w="0" w:type="dxa"/>
          <w:bottom w:w="0" w:type="dxa"/>
          <w:right w:w="0" w:type="dxa"/>
        </w:tblCellMar>
      </w:tblPr>
      <w:tr>
        <w:trPr>
          <w:trHeight w:val="24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After the 48-month anniversary of the funding date of each respective loan.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68" w:lineRule="exact"/>
        <w:rPr>
          <w:sz w:val="20"/>
          <w:szCs w:val="20"/>
          <w:color w:val="auto"/>
        </w:rPr>
      </w:pPr>
    </w:p>
    <w:p>
      <w:pPr>
        <w:ind w:left="340" w:right="2680" w:hanging="8"/>
        <w:spacing w:after="0" w:line="213" w:lineRule="auto"/>
        <w:tabs>
          <w:tab w:leader="none" w:pos="505" w:val="left"/>
        </w:tabs>
        <w:numPr>
          <w:ilvl w:val="0"/>
          <w:numId w:val="23"/>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“Make-Whole Amount” is equal to the sum of the remaining scheduled interest payments through the 12-month anniversary of the closing date of each respective loa</w:t>
      </w:r>
      <w:r>
        <w:rPr>
          <w:rFonts w:ascii="Times New Roman" w:cs="Times New Roman" w:eastAsia="Times New Roman" w:hAnsi="Times New Roman"/>
          <w:sz w:val="16"/>
          <w:szCs w:val="16"/>
          <w:color w:val="auto"/>
        </w:rPr>
        <w:t>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Payment</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interest rate is calculated as Secured Overnight Financing Rate for the interest period (which shall not be less than 4.0% (the “Floor”)) plus 8.5% (the “Interest Rate”). Until the first full interest period after the 15 months anniversary of the OrbiMed Closing Date, 3.5% of the Interest Rate shall be designated as paid-in-kind interest, which is added to the outstanding principal amount of the Loans (the “PIK Interest”). However, the Borrower upon written notice can elect to pay all interest in cash, or to pay a percentage less than 3.5% as PIK Interest.</w:t>
      </w:r>
    </w:p>
    <w:p>
      <w:pPr>
        <w:spacing w:after="0" w:line="72"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On and after occurrence of any Event of Default, until such Event of Default is cured, the Borrower is obligated to pay 4.0% in addition to the otherwise applicable Interest Rate (the “Default Rate”).</w:t>
      </w:r>
    </w:p>
    <w:p>
      <w:pPr>
        <w:spacing w:after="0" w:line="5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Interest payments (except PIK Interest) are due on the last day of the month. Whenever a prepayment is made on the principal of the Term Loans, the accrued interest on the amount prepaid is also due on such date.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Related Fees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Exit Fee</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Borrower on the repayment of the Term Loans is obligated to pay an additional fee equal to 4.0% of the of the principal amount being repaid. This applies whether the repayment is made on the Maturity Date, or under any other conditions specified in the Agreement (the “Exit Fee”).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 Commitment Fee</w:t>
      </w:r>
    </w:p>
    <w:p>
      <w:pPr>
        <w:spacing w:after="0" w:line="11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Borrower on the funding date of the Term Loans, shall pay a commitment fee to the Lender, equal to 2.0% of the principal amount drawn (the “Commitment Fee”).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(3) Undrawn Fee</w:t>
      </w:r>
    </w:p>
    <w:p>
      <w:pPr>
        <w:spacing w:after="0" w:line="11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Every month, the Borrower is obligated to remit a fee to the Lender, calculated as 0.25% per annum of the total undrawn amount under the DDTL Commitments.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(4) Administrative Fee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Borrower will pay to the Agent for its own account a quarterly loan administration fee of $0.01 million, payable in advance, with the first payment due and payable upon the OrbiMed Closing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Costs</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If, at any time, any Lender incurs additional cost, reductions in any sum receivable by the Lender under the Agreement or reduction in the rate of return with respect to the Term Loans because of any change in applicable law or government rule including laws regarding capital adequacy, reserve requirements, taxes, or similar requirements, etc., (collectively, “Yield Adjustment Events”), the Borrower will pay the Lenders an additional amount to compensate the Lender for such increased costs or reduction in rate of return (the “Yield Protection Adjustment Feature”).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Unless otherwise required by applicable law, any and all payments shall be made free and clear of and without deduction for any taxes; provided, that if any taxes shall be deducted (as required by law or otherwise) from such payments, then the Borrower or the withholding agent shall be entitled to make such deductions and shall timely pay the full amount deducted to the relevant government authority in accordance with applicable law.</w:t>
      </w:r>
    </w:p>
    <w:p>
      <w:pPr>
        <w:spacing w:after="0" w:line="68"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If such taxes are Non-Excluded Taxes (as defined in the Agreement), then the sum payable by the Borrower shall be increased as necessary so that after all required deductions have been made, the Lenders receive an amount equal to the sum it would have received had no such deduction been made (the "Tax Gross-Up Feature”).</w:t>
      </w:r>
    </w:p>
    <w:p>
      <w:pPr>
        <w:sectPr>
          <w:pgSz w:w="11900" w:h="16838" w:orient="portrait"/>
          <w:cols w:equalWidth="0" w:num="1">
            <w:col w:w="11220"/>
          </w:cols>
          <w:pgMar w:left="320" w:top="135" w:right="35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closing of the OrbiMed Credit Agreement, we issued OrbiMed the Initial OrbiMed Warrant. See Note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for further discussion. In addition to issuing the Initial OrbiMed Warrant, on each of the closings of the Delayed Draw Commitment Amounts, if any, we agreed to issue additional warrants to purchase a number of shares of our common stock determined by dividing 5.0% of the applicable Delayed Draw Commitment Amount by the 10-day volume weighted average sale price of our common stock as of the issue date (the “Subsequent OrbiMed Warrant” and collectively, with the Initial OrbiMed Warrant, the “OrbiMed Warrants” and together with the SPAC Warrants, the “Warrants”). The Subsequent OrbiMed Warrants will expire seven years from each applicable issuance date, if any. In connection with the OrbiMed Warrants, we entered into a Registration Rights Agreement with OrbiMed (the “OrbiMed Registration Rights Agreement”), whereby OrbiMed will have certain customary registration rights with respect to the shares of common stock underlying the OrbiMed Warrants. If we fail to comply with certain of our obligations under the OrbiMed Registration Rights Agreement with respect to maintaining an effective registration statement covering shares of Common Stock underlying the OrbiMed Warrants, then the expiration date of an OrbiMed Warrant may be extended.</w:t>
      </w:r>
    </w:p>
    <w:p>
      <w:pPr>
        <w:spacing w:after="0" w:line="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Additionally, the Initial OrbiMed Warrant is subject to customary price-based anti-dilution protections, such that, in certain circumstances, if we issue shares of our common stock below the current exercise price of the Initial OrbiMed Warrant, the exercise price of the Initial OrbiMed Warrant will be adjusted downward based on such issuance.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2024, we recorded the Initial Term Loan and the First Delay Draw as long-term debt, and recorded the costs incurred to obtain the loan as contra-debt,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addition, we determined that the Initial OrbiMed Warrant met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should be recorded as a liability, and that we should bifurcate and separately recognize the Revenue Base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Feature (see Notes </w:t>
      </w:r>
      <w:r>
        <w:rPr>
          <w:rFonts w:ascii="Times New Roman" w:cs="Times New Roman" w:eastAsia="Times New Roman" w:hAnsi="Times New Roman"/>
          <w:sz w:val="18"/>
          <w:szCs w:val="18"/>
          <w:i w:val="1"/>
          <w:iCs w:val="1"/>
          <w:color w:val="auto"/>
        </w:rPr>
        <w:t>(4) Financial Instruments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(9) Warrants</w:t>
      </w:r>
      <w:r>
        <w:rPr>
          <w:rFonts w:ascii="Times New Roman" w:cs="Times New Roman" w:eastAsia="Times New Roman" w:hAnsi="Times New Roman"/>
          <w:sz w:val="18"/>
          <w:szCs w:val="18"/>
          <w:color w:val="auto"/>
        </w:rPr>
        <w:t xml:space="preserve"> for further discussion).</w:t>
      </w:r>
    </w:p>
    <w:p>
      <w:pPr>
        <w:spacing w:after="0" w:line="7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recognized interest of $1.0 million related to the Term Loan, of which $0.3 million was recorded as PIK interest. The remaining $0.7 million was paid in cash to OrbiMed. We also expensed $0.2 million of the capitalized debt issuance costs, which was charged to non-cash interest, and we accreted $0.1 million of the exit fee which will be due at the termination of the Initial Term Loan.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within the Term Loan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102870</wp:posOffset>
            </wp:positionV>
            <wp:extent cx="367728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77285" cy="179705"/>
                    </a:xfrm>
                    <a:prstGeom prst="rect">
                      <a:avLst/>
                    </a:prstGeom>
                    <a:noFill/>
                  </pic:spPr>
                </pic:pic>
              </a:graphicData>
            </a:graphic>
          </wp:anchor>
        </w:drawing>
      </w:r>
    </w:p>
    <w:p>
      <w:pPr>
        <w:spacing w:after="0" w:line="16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OrbiMed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36830</wp:posOffset>
            </wp:positionV>
            <wp:extent cx="3677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6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draw</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issuance costs</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base redemption liability</w:t>
            </w:r>
          </w:p>
        </w:tc>
        <w:tc>
          <w:tcPr>
            <w:tcW w:w="9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9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at April 30, 2024</w:t>
            </w:r>
          </w:p>
        </w:tc>
        <w:tc>
          <w:tcPr>
            <w:tcW w:w="9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PIK interest</w:t>
            </w:r>
          </w:p>
        </w:tc>
        <w:tc>
          <w:tcPr>
            <w:tcW w:w="9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exit fee liability</w:t>
            </w:r>
          </w:p>
        </w:tc>
        <w:tc>
          <w:tcPr>
            <w:tcW w:w="9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7"/>
        </w:trPr>
        <w:tc>
          <w:tcPr>
            <w:tcW w:w="3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22,084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Delayed Draw Term Loan Commitment</w:t>
            </w:r>
          </w:p>
        </w:tc>
        <w:tc>
          <w:tcPr>
            <w:tcW w:w="98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110"/>
        </w:trPr>
        <w:tc>
          <w:tcPr>
            <w:tcW w:w="378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issuance costs</w:t>
            </w: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0" w:type="dxa"/>
            <w:vAlign w:val="bottom"/>
          </w:tcPr>
          <w:p>
            <w:pPr>
              <w:spacing w:after="0"/>
              <w:rPr>
                <w:sz w:val="1"/>
                <w:szCs w:val="1"/>
                <w:color w:val="auto"/>
              </w:rPr>
            </w:pPr>
          </w:p>
        </w:tc>
      </w:tr>
      <w:tr>
        <w:trPr>
          <w:trHeight w:val="24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issuance costs:</w:t>
            </w: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9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0" w:type="dxa"/>
            <w:vAlign w:val="bottom"/>
          </w:tcPr>
          <w:p>
            <w:pPr>
              <w:spacing w:after="0"/>
              <w:rPr>
                <w:sz w:val="1"/>
                <w:szCs w:val="1"/>
                <w:color w:val="auto"/>
              </w:rPr>
            </w:pPr>
          </w:p>
        </w:tc>
      </w:tr>
      <w:tr>
        <w:trPr>
          <w:trHeight w:val="236"/>
        </w:trPr>
        <w:tc>
          <w:tcPr>
            <w:tcW w:w="37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PIK interest</w:t>
            </w:r>
          </w:p>
        </w:tc>
        <w:tc>
          <w:tcPr>
            <w:tcW w:w="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0" w:type="dxa"/>
            <w:vAlign w:val="bottom"/>
          </w:tcPr>
          <w:p>
            <w:pPr>
              <w:spacing w:after="0"/>
              <w:rPr>
                <w:sz w:val="1"/>
                <w:szCs w:val="1"/>
                <w:color w:val="auto"/>
              </w:rPr>
            </w:pPr>
          </w:p>
        </w:tc>
      </w:tr>
      <w:tr>
        <w:trPr>
          <w:trHeight w:val="24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exit fee liability</w:t>
            </w:r>
          </w:p>
        </w:tc>
        <w:tc>
          <w:tcPr>
            <w:tcW w:w="9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31,699</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tab/>
        <w:t>Convertible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0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At the Closing Date on August 10, 2023, we issued 4,015,002 shares of Series A Convertible Preferred Stock at a purchase price of $10.00 per share for an aggregate purchase price of $40.2 million, pursuant to separate subscription agreements dated June 7, 2023, and July 4, 2023 (collectively, the “Subscription Agreements”).</w:t>
      </w:r>
    </w:p>
    <w:p>
      <w:pPr>
        <w:spacing w:after="0" w:line="13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are authorized to issue up to 10,000,000 shares of preferred stock with 6,379,998 shares available for issuance. The original issue price of the Series A Convertible Preferred Stock was $10.00. The Series A Convertible Preferred Stock accrues cumulative dividends at the rate of 8.00% per annum on the original issue price. As of March 31, 2025, total undeclared cumulative dividends were $4.7 million. We have not recorded the undeclared dividends in our condensed consolidated financial statements, except the statement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shares of Series A Convertible Preferred Stock had the following rights:</w:t>
      </w:r>
    </w:p>
    <w:p>
      <w:pPr>
        <w:spacing w:after="0" w:line="223"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w:t>
      </w:r>
    </w:p>
    <w:p>
      <w:pPr>
        <w:spacing w:after="0" w:line="198"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31F20"/>
        </w:rPr>
        <w:t>Optional Conversion</w:t>
      </w:r>
    </w:p>
    <w:p>
      <w:pPr>
        <w:spacing w:after="0" w:line="187" w:lineRule="exact"/>
        <w:rPr>
          <w:sz w:val="20"/>
          <w:szCs w:val="20"/>
          <w:color w:val="auto"/>
        </w:rPr>
      </w:pPr>
    </w:p>
    <w:p>
      <w:pPr>
        <w:ind w:left="660" w:right="80" w:firstLine="324"/>
        <w:spacing w:after="0" w:line="256" w:lineRule="auto"/>
        <w:rPr>
          <w:sz w:val="20"/>
          <w:szCs w:val="20"/>
          <w:color w:val="auto"/>
        </w:rPr>
      </w:pPr>
      <w:r>
        <w:rPr>
          <w:rFonts w:ascii="Times New Roman" w:cs="Times New Roman" w:eastAsia="Times New Roman" w:hAnsi="Times New Roman"/>
          <w:sz w:val="18"/>
          <w:szCs w:val="18"/>
          <w:color w:val="auto"/>
        </w:rPr>
        <w:t>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w:t>
      </w:r>
    </w:p>
    <w:p>
      <w:pPr>
        <w:spacing w:after="0" w:line="14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231F20"/>
        </w:rPr>
        <w:t xml:space="preserve">Automatic </w:t>
      </w:r>
      <w:r>
        <w:rPr>
          <w:rFonts w:ascii="Times New Roman" w:cs="Times New Roman" w:eastAsia="Times New Roman" w:hAnsi="Times New Roman"/>
          <w:sz w:val="18"/>
          <w:szCs w:val="18"/>
          <w:i w:val="1"/>
          <w:iCs w:val="1"/>
          <w:color w:val="000000"/>
        </w:rPr>
        <w:t>Conversion</w:t>
      </w:r>
    </w:p>
    <w:p>
      <w:pPr>
        <w:spacing w:after="0" w:line="200" w:lineRule="exact"/>
        <w:rPr>
          <w:sz w:val="20"/>
          <w:szCs w:val="20"/>
          <w:color w:val="auto"/>
        </w:rPr>
      </w:pPr>
    </w:p>
    <w:p>
      <w:pPr>
        <w:ind w:left="660" w:right="180" w:firstLine="324"/>
        <w:spacing w:after="0" w:line="261" w:lineRule="auto"/>
        <w:rPr>
          <w:sz w:val="20"/>
          <w:szCs w:val="20"/>
          <w:color w:val="auto"/>
        </w:rPr>
      </w:pPr>
      <w:r>
        <w:rPr>
          <w:rFonts w:ascii="Times New Roman" w:cs="Times New Roman" w:eastAsia="Times New Roman" w:hAnsi="Times New Roman"/>
          <w:sz w:val="18"/>
          <w:szCs w:val="18"/>
          <w:color w:val="auto"/>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Voting Rights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spacing w:after="0" w:line="15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(iii) Dividends</w:t>
      </w:r>
    </w:p>
    <w:p>
      <w:pPr>
        <w:spacing w:after="0" w:line="18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daily at a rate per annum (calculated on the basis of an actual 365- or 366-day year, as applicable) equal to 8.00% of the original issue price of $10.00 per share (the "Annual Dividends”). The Annual Dividends will be either paid in cash, paid by issuing fully paid and nonassessable shares of Common Stock, or a combination thereof when, as and if authorized and declared by our Board. Upon conversion or a change of control, any unpaid Annual Dividends will be paid to the holders, either in the form of common stock upon a</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Anti-dilution Provisions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spacing w:after="0" w:line="13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Conversion Price automatically reset on February 10, 2025 and will automatically reset on July 10, 2027, the eighteen-month and forty-seven-month anniversaries of the Closing Date, to be equal to the lowest of:</w:t>
      </w:r>
    </w:p>
    <w:p>
      <w:pPr>
        <w:spacing w:after="0" w:line="54" w:lineRule="exact"/>
        <w:rPr>
          <w:sz w:val="20"/>
          <w:szCs w:val="20"/>
          <w:color w:val="auto"/>
        </w:rPr>
      </w:pPr>
    </w:p>
    <w:p>
      <w:pPr>
        <w:ind w:left="660" w:right="440" w:hanging="328"/>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Conversion Price, subject to adjustments for stock dividends and distributions or other distributions made to common stockholders for which there is no corresponding distribution for Preferred Stock,</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then-current Conversion Price,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of 1) the Floor Price ($2.10 per share) or 2) the trailing ten-Trading Day VWAP of the Common Stock determined as of the date of such reset.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10, 2025, the Conversion Price was reset to $5.277 based on the trailing ten-trading day VWAP of the Company's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Liquidation Preferences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terms of the Series A Convertible Preferred Stock provide for liquidation preferences in the event of a change in control, liquidation, dissolution, or certain other fundamental transactions of the Company (a “Liquidation Event”), none of which were deemed probable as of March 31, 2025. The Liquidation Preferences of $10.00 per share, plus all unpaid dividends, are payable prior to payment to any class of capital stock that is junior to the Series A Convertible Preferred Stock.</w:t>
      </w:r>
    </w:p>
    <w:p>
      <w:pPr>
        <w:spacing w:after="0" w:line="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in Series A Convertible Preferred Stock, if-converted, in the three months ended March 31, 2025.</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p>
      <w:pPr>
        <w:spacing w:after="0" w:line="8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Series A convertible preferred stock (assuming maximum conversion)</w:t>
      </w:r>
    </w:p>
    <w:p>
      <w:pPr>
        <w:spacing w:after="0" w:line="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convertible preferred stock</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Retirements /</w:t>
            </w:r>
          </w:p>
        </w:tc>
        <w:tc>
          <w:tcPr>
            <w:tcW w:w="15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90"/>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15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37"/>
        </w:trPr>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345"/>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25,048,584</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(2,294,287)</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22,754,297</w:t>
            </w:r>
          </w:p>
        </w:tc>
      </w:tr>
      <w:tr>
        <w:trPr>
          <w:trHeight w:val="135"/>
        </w:trPr>
        <w:tc>
          <w:tcPr>
            <w:tcW w:w="1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237"/>
        </w:trPr>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25,048,584</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(2,294,287)</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22,754,297</w:t>
            </w:r>
          </w:p>
        </w:tc>
      </w:tr>
      <w:tr>
        <w:trPr>
          <w:trHeight w:val="27"/>
        </w:trPr>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-530860</wp:posOffset>
            </wp:positionV>
            <wp:extent cx="7046595"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6595" cy="31750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4180" w:space="400"/>
            <w:col w:w="6640"/>
          </w:cols>
          <w:pgMar w:left="320" w:top="135" w:right="359" w:bottom="1440" w:gutter="0" w:footer="0" w:header="0"/>
          <w:type w:val="continuous"/>
        </w:sect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participates in any dividends declared, if any,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three months ended March 31, 2025 and 2024, diluted net loss per common share is the same as basic net loss per common share for those periods.</w:t>
      </w:r>
    </w:p>
    <w:p>
      <w:pPr>
        <w:sectPr>
          <w:pgSz w:w="11900" w:h="16838" w:orient="portrait"/>
          <w:cols w:equalWidth="0" w:num="1">
            <w:col w:w="11220"/>
          </w:cols>
          <w:pgMar w:left="320" w:top="135" w:right="3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22,754,297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25,237,155</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7,402,541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14,215,112</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562,428</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5,501,567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4,882,418</w:t>
            </w:r>
          </w:p>
        </w:tc>
      </w:tr>
      <w:tr>
        <w:trPr>
          <w:trHeight w:val="27"/>
        </w:trPr>
        <w:tc>
          <w:tcPr>
            <w:tcW w:w="8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under the SEPA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39,840,543</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44,897,113</w:t>
            </w:r>
          </w:p>
        </w:tc>
      </w:tr>
      <w:tr>
        <w:trPr>
          <w:trHeight w:val="21"/>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will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spacing w:after="0" w:line="16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2009 Plan and the 2023 Plan are administered by our chief executive officer and chief financial officer, who act on the recommendation of managers of the Company to select the individuals to whom the awards will be granted and to determine the amount and vesting period for the grants. All grants are subject to approval by the board of directors.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the balances under the two plans are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00" w:type="dxa"/>
            <w:vAlign w:val="bottom"/>
            <w:tcBorders>
              <w:top w:val="single" w:sz="8" w:color="CCEEFF"/>
              <w:bottom w:val="single" w:sz="8" w:color="CCEEFF"/>
            </w:tcBorders>
            <w:shd w:val="clear" w:color="auto" w:fill="CCEEFF"/>
          </w:tcPr>
          <w:p>
            <w:pPr>
              <w:spacing w:after="0"/>
              <w:rPr>
                <w:sz w:val="24"/>
                <w:szCs w:val="24"/>
                <w:color w:val="auto"/>
              </w:rPr>
            </w:pPr>
          </w:p>
        </w:tc>
        <w:tc>
          <w:tcPr>
            <w:tcW w:w="21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2200" w:type="dxa"/>
            <w:vAlign w:val="bottom"/>
            <w:tcBorders>
              <w:top w:val="single" w:sz="8" w:color="auto"/>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8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37"/>
        </w:trPr>
        <w:tc>
          <w:tcPr>
            <w:tcW w:w="4100" w:type="dxa"/>
            <w:vAlign w:val="bottom"/>
          </w:tcPr>
          <w:p>
            <w:pPr>
              <w:spacing w:after="0"/>
              <w:rPr>
                <w:sz w:val="20"/>
                <w:szCs w:val="20"/>
                <w:color w:val="auto"/>
              </w:rPr>
            </w:pPr>
          </w:p>
        </w:tc>
        <w:tc>
          <w:tcPr>
            <w:tcW w:w="2180" w:type="dxa"/>
            <w:vAlign w:val="bottom"/>
            <w:tcBorders>
              <w:top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 for Issue</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 Plan</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1,213,334</w:t>
            </w:r>
          </w:p>
        </w:tc>
        <w:tc>
          <w:tcPr>
            <w:tcW w:w="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1,213,334</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Plan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10,350,022</w:t>
            </w:r>
          </w:p>
        </w:tc>
        <w:tc>
          <w:tcPr>
            <w:tcW w:w="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5,001,373</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5,228,256</w:t>
            </w:r>
          </w:p>
        </w:tc>
      </w:tr>
      <w:tr>
        <w:trPr>
          <w:trHeight w:val="27"/>
        </w:trPr>
        <w:tc>
          <w:tcPr>
            <w:tcW w:w="4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11,563,356</w:t>
            </w:r>
          </w:p>
        </w:tc>
        <w:tc>
          <w:tcPr>
            <w:tcW w:w="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6,214,707</w:t>
            </w:r>
          </w:p>
        </w:tc>
        <w:tc>
          <w:tcPr>
            <w:tcW w:w="1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5,228,256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Equity Incentive Plan</w:t>
      </w:r>
    </w:p>
    <w:p>
      <w:pPr>
        <w:spacing w:after="0" w:line="20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2025, there were in total 1,179,655 stock options and 33,679 RSUs issued and outstanding under the 2009 Plan. Stock options were granted with an exercise price equal to the estimated fair value of the stock at the date of grant. Prior to the Business Combination, the fair value was determined by a third-party valuation performed in accordance with IRS Section 409A. No awards have been granted subsequent to the Business Combination, as the 2009 Plan was frozen and replaced by the 2023 Plan (see below). Options generally have a ten-year contractual term and typically have graded vesting over one to four years.</w:t>
      </w:r>
    </w:p>
    <w:p>
      <w:pPr>
        <w:spacing w:after="0" w:line="14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we had unrecognized compensation expense of $0.4 million and $0.3 million, respectively, for options and RSUs granted under the 2009 Plan. The March 31, 2025, balance will be recognized over a weighted average period of 1.0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there were in total 4,321,912 stock options and 679,461 RSUs and PSUs issued and outstanding under the 2023 Plan. 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On January 1, 2025,</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authorized shares under the 2023 Plan increased by 2,383,545 shares to 10,350,022. Options for 34,023 shares of Common Stock were exercised during the three months ended March 31, 2025. During the three months ended March 31, 2025, we granted 1,157,314 options with a weighted average fair value of $5.27, and 356,773 restricted stock units, net of forfeitures, with a weighted average fair value of $5.38.</w:t>
      </w:r>
    </w:p>
    <w:p>
      <w:pPr>
        <w:spacing w:after="0" w:line="13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we had unrecognized compensation expense of $12.2 million and $4.3 million, respectively, for options and RSUs &amp; PSUs granted under the 2023 Plan. The balance at March 31, 2025, will be recognized over a weighted average period of 2.9 years.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spacing w:after="0" w:line="156" w:lineRule="exact"/>
        <w:rPr>
          <w:sz w:val="20"/>
          <w:szCs w:val="20"/>
          <w:color w:val="auto"/>
        </w:rPr>
      </w:pPr>
    </w:p>
    <w:p>
      <w:pPr>
        <w:ind w:right="600" w:firstLine="324"/>
        <w:spacing w:after="0" w:line="414" w:lineRule="auto"/>
        <w:rPr>
          <w:sz w:val="20"/>
          <w:szCs w:val="20"/>
          <w:color w:val="auto"/>
        </w:rPr>
      </w:pPr>
      <w:r>
        <w:rPr>
          <w:rFonts w:ascii="Times New Roman" w:cs="Times New Roman" w:eastAsia="Times New Roman" w:hAnsi="Times New Roman"/>
          <w:sz w:val="18"/>
          <w:szCs w:val="18"/>
          <w:color w:val="auto"/>
        </w:rPr>
        <w:t xml:space="preserve">Stock options are granted with an exercise price no less than 100% of the estimated fair value of a share of Common Stock at the date of grant.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maintain an Employee Stock Purchase Plan ("ESPP"), which provides our eligible employees with an opportunity to purchase shares of Common Stock, to assist us in retaining the services of eligible employees, to secure and retain the services of new employees and to provide incentives for such persons to exert maximum efforts for our success. The ESPP became active in 2024. Initially, 2,350,530 shares of Common Stock were reserved for issuance under the ESPP. The number of shares of Common Stock reserved for issuance under the ESPP will automatically increase on January 1 of each year for a period of up to ten years, beginning on January 1, 2024, and continuing through and including January 1, 2033, by an amount equal to the lesser of (a) two percent (2%) of the total number of shares of the Fully Diluted Common Stock determined on December 31 of the preceding year, and (b) 200% of the Initial Share Reserve. On January 1, 2025, the authorized shares under ESPP increased by 953,418 shares to 3,303,948</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no shares were purchased in an offering under the ESPP.</w:t>
      </w:r>
    </w:p>
    <w:p>
      <w:pPr>
        <w:spacing w:after="0" w:line="18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tab/>
        <w:t>Commitments And Contingencies</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condensed consolidated financial position, results of operations, or cash flows.</w:t>
      </w:r>
    </w:p>
    <w:p>
      <w:pPr>
        <w:spacing w:after="0" w:line="12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part of the Business Combination, we entered into the Amended and Restated Registration Rights Agreement with certain investors in MedTech and Legacy TriSalus. Subject to certain requirements and customary conditions, we granted piggyback registration rights and demand registration rights to the parties thereto, agreed to pay certain expenses related to such registrations and agreed to indemnify the parties thereto against certain liabilities related to such registrations. Our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pacing w:after="0" w:line="13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Leases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two property leases in effect as of March 31, 2025, which we account for as operating leases:</w:t>
      </w:r>
    </w:p>
    <w:p>
      <w:pPr>
        <w:spacing w:after="0" w:line="171" w:lineRule="exact"/>
        <w:rPr>
          <w:sz w:val="20"/>
          <w:szCs w:val="20"/>
          <w:color w:val="auto"/>
        </w:rPr>
      </w:pPr>
    </w:p>
    <w:p>
      <w:pPr>
        <w:ind w:left="500" w:right="180" w:hanging="168"/>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for our principal administrative and production facility at 6272 West 91st Avenue, Westminster, Colorado, which expires on December 31, 2031. This lease includes one option to extend the lease by five years from the end of the then current term.</w:t>
      </w:r>
    </w:p>
    <w:p>
      <w:pPr>
        <w:spacing w:after="0" w:line="107" w:lineRule="exact"/>
        <w:rPr>
          <w:rFonts w:ascii="Times New Roman" w:cs="Times New Roman" w:eastAsia="Times New Roman" w:hAnsi="Times New Roman"/>
          <w:sz w:val="18"/>
          <w:szCs w:val="18"/>
          <w:color w:val="auto"/>
        </w:rPr>
      </w:pPr>
    </w:p>
    <w:p>
      <w:pPr>
        <w:ind w:left="500" w:right="220" w:hanging="168"/>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for office space at 2275 Half Day Road, Bannockburn, Illinois, which expires in January 2028. This lease includes an option to extend the lease by three years at the end of the current term.</w:t>
      </w:r>
    </w:p>
    <w:p>
      <w:pPr>
        <w:spacing w:after="0" w:line="200" w:lineRule="exact"/>
        <w:rPr>
          <w:sz w:val="20"/>
          <w:szCs w:val="20"/>
          <w:color w:val="auto"/>
        </w:rPr>
      </w:pPr>
    </w:p>
    <w:p>
      <w:pPr>
        <w:spacing w:after="0" w:line="3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have two finance leases for copier equipment in our Westminster and Bannockburn facilities.</w:t>
      </w:r>
    </w:p>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2024, we exercised one of the two options to extend the current lease for the Westminster facility for an additional period of five years commencing on January 1, 2027, and ending on December 31, 2031 ("Second Extended Lease Term"). All terms and conditions of the lease shall continue to apply during the Second Extended Lease Term. We will pay approximately $1.5 million in rent during the Second Extended Lease Term.</w:t>
      </w:r>
    </w:p>
    <w:p>
      <w:pPr>
        <w:spacing w:after="0" w:line="200" w:lineRule="exact"/>
        <w:rPr>
          <w:sz w:val="20"/>
          <w:szCs w:val="20"/>
          <w:color w:val="auto"/>
        </w:rPr>
      </w:pPr>
    </w:p>
    <w:p>
      <w:pPr>
        <w:spacing w:after="0" w:line="35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the related notes thereto included elsewhere in this Quarterly Report on Form 10-Q ("Quarterly Report") and for our audited financial statements and related notes thereto as of and for the year ended December 31, 2024 included in our Annual Report on Form 10-K, filed with the Securities and Exchange Commission (“SEC”), on April 15, 2025 ("Annual Report"). Information included in this Form 10-Q, including information with respect to our plans and strategy for our business, includes forward-looking statements that involve risks and uncertainties. For a complete discussion of forward-looking statements, see the section above entitled “Special Note Regarding Forward Looking Statements.” As a result of many factors, including those factors set forth in the section captioned “Item 1A. Risk Factors” of our Annual Report, our actual results could differ materially from the results described in or implied by the forward-looking statements contained in the following discussion and analysis. You should carefully read the “Risk Factors” section of our Annual Report to gain an understanding of the various factors that could cause actual results to differ materially from our forward-looking statements.</w:t>
      </w:r>
    </w:p>
    <w:p>
      <w:pPr>
        <w:spacing w:after="0" w:line="15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after the consummation of the Business Combination, unless the context otherwise requires.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 growing, oncology focused medical technology business seeking to transform outcomes for patients with solid tumors by integrating our innovative delivery technology with standard-of-care therapies, and with our investigational immunotherapeutic, nelitolimod, a class C Toll-like receptor 9 (“TLR9”) agonist, for a range of different therapeutic and technology applications. Our ultimate goal is to transform the treatment paradigm for patients battling solid tumors. We have developed an innovative technology designed to overcome two significant challenges that prevent optimal delivery and performance of therapeutics in these difficult-to-treat diseases: (i) high intratumoral pressure caused by tumor growth and collapsed vasculature restricting the delivery of oncology therapeutics and (ii) off target delivery. Nelitolimod, specifically, combined with our technology, aims to address the immunosuppressive properties of immune cells in the tumor and tumor microenvironment of the liver, pancreas and other solid tumors. By systematically addressing these barriers, we aim to improve response to therapies and to enable improved patient outcomes.</w:t>
      </w:r>
    </w:p>
    <w:p>
      <w:pPr>
        <w:spacing w:after="0" w:line="111"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7"/>
          <w:szCs w:val="17"/>
          <w:color w:val="auto"/>
        </w:rPr>
        <w:t>We market our cutting-edge Pressure Enabled Drug Delivery (PEDD™) infusion systems, which optimize delivery of embolics and therapeutics for the treatment of various solid tumors. Additionally, we have conducted Phase I clinical trials of nelitolimod to study the ability of an immunotherapeutic-- when administered via PEDD in combination with systemic treatment--can enhance the effectiveness of other therapeutics and ultimately lead to better patient responses. Once final data is assembled, we plan to pursue a pharmaceutical partner for future development. We believe the combination of our PEDD technology with nelitolimod has the potential to solve two main barriers in the tumor microenvironment that inhibits the success of immunotherapy.</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first barrier (mechanical) is comprised of high intratumoral pressure within tumors that limits drug uptake and the second barrier (biological) is the reversal of intratumoral immunosuppression.</w:t>
      </w:r>
    </w:p>
    <w:p>
      <w:pPr>
        <w:spacing w:after="0" w:line="9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2020, we launched TriNav™, our liver therapy delivery device with SmartValve technology for our proprietary PEDD approach. Current sales consist of the TriNav Infusion System, introduced in 2020. In 2020, we gained transitional pass-through payments (“TPT”) approval from the Centers for Medicare &amp; Medicaid Services (“CMS”), which allows hospitals to cover the cost of using TriNav. The approval began in January 2020 and expired at the end of 2023. On December 14, 2023, CMS created a permanent New Technology Healthcare Common Procedure Coding System (HCPCS) code for procedures involving the TriNav® Infusion System. This code became effective on January 1, 2024, and may be reported by hospital outpatient departments (HOPDs) and ambulatory surgical centers (ASCs) for the Company to obtain reimbursement for TriNav device. Effective April 1, 2025, TriNav received a second unique and permanent HCPCS code from CMS. This new code provides reimbursement clarity for mapping procedures conducted prior to transarterial radioembolization ("TARE").</w:t>
      </w:r>
    </w:p>
    <w:p>
      <w:pPr>
        <w:spacing w:after="0" w:line="124"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In 2024, TriSalus expanded its portfolio of PEDD devices with the launch of the TriNav LV Infusion System and TriGuide Guiding Catheter to optimize therapeutic delivery for patients with larger vessels. The TriNav LV is targeted for patients with vessels sized between 3.5 and 5.0mm and is expected to provide a full range of PEDD devices for all vessel sizes and allow us to expand our addressable liver embolization market. The TriGuide Guiding Catheter has a larger inner diameter, lubricious inner lining, and reverse curve design to support femoral access for the TriNav LV,</w:t>
      </w: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which we believe will enhance procedural efficiency. These new products are eligible for the same HCPCS reimbursement codes as existing TriNav products, enabling seamless integration into current billing structures.</w:t>
      </w:r>
    </w:p>
    <w:p>
      <w:pPr>
        <w:spacing w:after="0" w:line="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TriSalus also initiated a registry study called PROTECT (Pressure Enabled Retrograde Occlusive Therapy with Embolization for Control of Thyroid Disease) and intends to enroll 100 patients across ten leading academic sites. It is estimated that approximately 5% of adults have multinodular goiters, and the prevalence in adults over 50 is estimated to be up to 50%. We estimate that this could expand the addressable market by approximately 50,000 procedures, representing an incremental $400.0 million market opportunity. This new procedure utilizing the TriNav system is also eligible for the same Healthcare Common Procedure Coding System (HCPCS) reimbursement code allowing for seamless integration into current billing approaches.</w:t>
      </w:r>
    </w:p>
    <w:p>
      <w:pPr>
        <w:spacing w:after="0" w:line="11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a high growth, high margin company approaching a level of revenues that can generate sufficient cash flow to sustain our operations. Beginning in 2020, our mission was to improve the delivery of therapeutics to solid tumors across a range of different diseases and tumor types. Additionally, we acquired an immune-oncology drug, nelitolimod, in July 2020, and conducted several Phase I clinical trials to study the ability and value of our PEDD technology. We have completed Phase I dose escalation (UMLM and LA-PCAD) and Phase Ib (ICC/HCC) clinical trials for nelitolimod. Due to physician and investigator interest, we are supporting two IIT studies, one in patients with advanced HCC in combination with durvalumab and tremelimumab and another in patients with resectable colorectal liver metastases. Based on the changing landscape for second line treatment of uveal melanoma, we do not intend to proceed to Phase II trials for that indication on our own, but we are looking for potential partners to advance that indication. Our PERIO-03 Phase I dose escalation in LA-PDAC has completed enrollment and we anticipate data from the study will be available sometime in 2025, and will begin discussions for a pharmaceutical partner for further clinical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62"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We believe that our performance and future success depend on several factors that present significant opportunities for us but also pose risks and challenges, including those discussed below and in the section of the Annual Report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particular, our performance is affected by:</w:t>
      </w:r>
    </w:p>
    <w:p>
      <w:pPr>
        <w:spacing w:after="0" w:line="30" w:lineRule="exact"/>
        <w:rPr>
          <w:sz w:val="20"/>
          <w:szCs w:val="20"/>
          <w:color w:val="auto"/>
        </w:rPr>
      </w:pPr>
    </w:p>
    <w:p>
      <w:pPr>
        <w:ind w:left="660" w:right="280" w:hanging="328"/>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continued acceptance and growth of TriNav in the marketplace</w:t>
      </w:r>
      <w:r>
        <w:rPr>
          <w:rFonts w:ascii="Times New Roman" w:cs="Times New Roman" w:eastAsia="Times New Roman" w:hAnsi="Times New Roman"/>
          <w:sz w:val="18"/>
          <w:szCs w:val="18"/>
          <w:color w:val="auto"/>
        </w:rPr>
        <w:t>. While we believe TriNav to be a superior technology for the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to tumors, particularly high-density tumors, there are other technologies with which we compete. Our ability to increase TriNav sales depends on the skills of our sales force and the willingness of the marketplace to use TriNav.</w:t>
      </w:r>
    </w:p>
    <w:p>
      <w:pPr>
        <w:spacing w:after="0" w:line="78" w:lineRule="exact"/>
        <w:rPr>
          <w:rFonts w:ascii="Times New Roman" w:cs="Times New Roman" w:eastAsia="Times New Roman" w:hAnsi="Times New Roman"/>
          <w:sz w:val="18"/>
          <w:szCs w:val="18"/>
          <w:color w:val="auto"/>
        </w:rPr>
      </w:pPr>
    </w:p>
    <w:p>
      <w:pPr>
        <w:ind w:left="660" w:hanging="328"/>
        <w:spacing w:after="0" w:line="250"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Our ability to maintain our current TriNav pricing and gross margins to help fund the rest of our activities. </w:t>
      </w:r>
      <w:r>
        <w:rPr>
          <w:rFonts w:ascii="Times New Roman" w:cs="Times New Roman" w:eastAsia="Times New Roman" w:hAnsi="Times New Roman"/>
          <w:sz w:val="18"/>
          <w:szCs w:val="18"/>
          <w:color w:val="auto"/>
        </w:rPr>
        <w:t>Our current pricing allows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a substantial gross margin, which provides funds to support our growth and our research and development (“R&amp;D”) for both TriNav and nelitolimod. TriNav sells at a significant premium to competitive products. Our higher price was previously supported by the TPT payment program from CMS; however, the TPT authorization expired on December 31, 2023. In December 2023, CMS granted a New Technology HCPCS for both mapping and therapeutic procedures involving TriNav. This code, HCPCS C9797, has been assigned to the Ambulatory Payment Classification (APC) 5194 - Level 4 Endovascular Procedures. The code became effective on January 1, 2024, and may be reported by hospital outpatient departments and ambulatory surgical centers, but there can be no assurance that continuing reimbursement will be available at similar reimbursement rates or at all. Effective April 1, 2025, TriNav received a second unique and permanent HCPCS code from CMS, C8004, which has been assigned to APC 5193 (Level 3 Endovascular Procedures). This new code provides reimbursement clarity for mapping procedures conducted prior to TARE. 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89" w:lineRule="exact"/>
        <w:rPr>
          <w:rFonts w:ascii="Times New Roman" w:cs="Times New Roman" w:eastAsia="Times New Roman" w:hAnsi="Times New Roman"/>
          <w:sz w:val="20"/>
          <w:szCs w:val="20"/>
          <w:color w:val="auto"/>
        </w:rPr>
      </w:pPr>
    </w:p>
    <w:p>
      <w:pPr>
        <w:ind w:left="660" w:right="100" w:hanging="328"/>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and cost of our clinical trials of nelitolimod</w:t>
      </w:r>
      <w:r>
        <w:rPr>
          <w:rFonts w:ascii="Times New Roman" w:cs="Times New Roman" w:eastAsia="Times New Roman" w:hAnsi="Times New Roman"/>
          <w:sz w:val="18"/>
          <w:szCs w:val="18"/>
          <w:color w:val="auto"/>
        </w:rPr>
        <w:t>. Nelitolimod is in Phase I human trials to determine if, when delivered via TriNav,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and effective in treating certain cancers. As with all drug candidates, the cost of operating clinical trials can be substantial, with no guarantee that the trials will result in favorable data.</w:t>
      </w:r>
    </w:p>
    <w:p>
      <w:pPr>
        <w:spacing w:after="0" w:line="6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FDA approval of nelitolimod for sale</w:t>
      </w:r>
      <w:r>
        <w:rPr>
          <w:rFonts w:ascii="Times New Roman" w:cs="Times New Roman" w:eastAsia="Times New Roman" w:hAnsi="Times New Roman"/>
          <w:sz w:val="18"/>
          <w:szCs w:val="18"/>
          <w:color w:val="auto"/>
        </w:rPr>
        <w:t>. Our clinical trials are still in early stages, and there is no certainty that we will generate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or that, upon review, the FDA will approve nelitolimod for sale.</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February 10, 2025, the Conversion Price was reset to $5.277 based on the trailing ten-trading day VWAP of the Company's common stock. Upon the first reset pricing occurring, holders of the Series A Convertible Preferred Stock converted 365,000 shares for 777,829 shares of our Common Stock during the three months ended March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Credit Agreement</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February 18, 2025, we borrowed the First Delayed Draw Term Loan Commitment resulting in gross proceeds of $10.0 million based on achieving the trailing 12-month Product Revenue Base of $30.0 million in January 2025. As part of the First Amendment To Credit Agreement and Registration Rights Agreement, effective March 20, 2025, we received a waiver for the prior default events related to the Series A Convertible Preferred Stock conversions and the Agreement was amended to allow for these conversions going forward. In addition, we received a waiver on March 31, 2025 to extend the timing for the required audited financial statements to occur on or before April 15, 2025. Effective on April 30, 2025, the Second Amendment To Credit Agreement allows for the Company accelerate payment of the Series A Preferred Stock dividends in cash payments in lieu of fractional shares upon conversion of the Preferred Stock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Collaboration Agreement</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2021, we entered into a 5-year Alliance Program (the “MDACC Agreement”) with the University of Texas MD Anderson Cancer Center (“MDACC”) to serve as the lead clinicians for the PERIO-01, PERIO-02, and PERIO-03 studies. The term of the agreement was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 Effective February 25, 2025, we modified and extended the MDACC Agreement payment terms with MDACC and added a sixth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2025 Securities Purchase Agreement</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April 2025, we entered into a securities purchase agreement (the “Purchase Agreement”) with certain institutional and accredited investors named therein (the “Purchasers”) pursuant to which the Company agreed to issue and sell to the Purchasers in a private placement (the “Private Placement”) an aggregate of 5,500,000 shares (the “Shares”) of the Company’s common stock, par value $0.0001 per share (the “Common Stock”), at a purchase price of $4.00 per share.</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the Purchasers, indemnification rights and other obligations of the parties. In connection with the Private Placement, the Company and the Purchasers has entered into a registration rights agreement (the “Registration Rights Agreement”) at the closing, pursuant to which the Company will grant certain registration rights to the Purchasers with respect to their Shares (as further described below). In addition, the Company has committed to use commercially reasonable efforts to satisfy all of its obligations set forth in the Support Agreements (as defined below). The Company and its directors and officers have agreed, for a period of 60 days after the date of the Purchase Agreement, to customary lock-up and clear market provisions, as applicable, subject to certain exceptions.</w:t>
      </w:r>
    </w:p>
    <w:p>
      <w:pPr>
        <w:spacing w:after="0" w:line="160"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The Private Placement closed on May 2, 2025. The Company anticipates received aggregate gross proceeds from the Private Placement of approximately $22.0 million, before deducting estimated offering fees and expenses payable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sets forth certain components of our Condensed Consolidated Statements of Operations as well as factors that impact those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currently operate in one reportable segment and revenue is generated primarily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end-user customers for our products are hospitals, clinics, and physicians, to which we sell directly.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 We recognized $0.2 million of rebates for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primarily consists of raw materials, direct labor, manufacturing overhead and depreciation costs related to production of TriNav.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of R&amp;D, sales and marketing and general and administrative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R&amp;D expenses include engineering, regulatory, pre-clinical and clinical activities, including salaries, travel, materials purchased for R&amp;D activities and patent expense.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consists primarily of salaries, commissions, travel and related business expenses for our sales force, which is principally engaged in physician education regarding the features and benefits of TriNav. We also incur expenses for attendance at medical society meetings, product promotions and marketing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includes executive management, finance, information technology, human resources, business development, legal, one-time costs associated with the Business Combination,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 We also record public company costs in general and administrative, including board expenses, insurance, audit fees, NASDAQ fees, and costs associated with public company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SEPA, Warrant, and Revenue Base Redemption Liabilities</w:t>
      </w:r>
    </w:p>
    <w:p>
      <w:pPr>
        <w:spacing w:after="0" w:line="20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SEPA, Warrant, and Revenue Base Redemption liabilities represents the change in fair value at each reporting period of the SEPA, the change in fair value of the SPAC Warrants we assumed in the Business Combination, and the change in fair value of the OrbiMed Warrants issued in connection with the initial and subsequent draw down under the OrbiMed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Earnout Liability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earnout liability represents the change recorded as a result of remeasurement of the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62"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Statements of Operations data for each of the periods indicated (in thousands):</w:t>
      </w:r>
    </w:p>
    <w:p>
      <w:pPr>
        <w:sectPr>
          <w:pgSz w:w="11900" w:h="16838" w:orient="portrait"/>
          <w:cols w:equalWidth="0" w:num="1">
            <w:col w:w="11220"/>
          </w:cols>
          <w:pgMar w:left="320" w:top="135" w:right="359" w:bottom="1440" w:gutter="0" w:footer="0" w:header="0"/>
        </w:sectPr>
      </w:pPr>
    </w:p>
    <w:p>
      <w:pPr>
        <w:spacing w:after="0" w:line="257"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41910</wp:posOffset>
            </wp:positionV>
            <wp:extent cx="1903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2" w:lineRule="exact"/>
        <w:rPr>
          <w:sz w:val="20"/>
          <w:szCs w:val="20"/>
          <w:color w:val="auto"/>
        </w:rPr>
      </w:pPr>
    </w:p>
    <w:p>
      <w:pPr>
        <w:ind w:left="524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Percent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41910</wp:posOffset>
            </wp:positionV>
            <wp:extent cx="22117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2"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46" w:lineRule="exact"/>
        <w:rPr>
          <w:sz w:val="20"/>
          <w:szCs w:val="20"/>
          <w:color w:val="auto"/>
        </w:rPr>
      </w:pPr>
    </w:p>
    <w:p>
      <w:pPr>
        <w:sectPr>
          <w:pgSz w:w="11900" w:h="16838" w:orient="portrait"/>
          <w:cols w:equalWidth="0" w:num="2">
            <w:col w:w="7780" w:space="720"/>
            <w:col w:w="2720"/>
          </w:cols>
          <w:pgMar w:left="320" w:top="135" w:right="35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7"/>
        </w:trPr>
        <w:tc>
          <w:tcPr>
            <w:tcW w:w="46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4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90.5 %</w:t>
            </w:r>
          </w:p>
        </w:tc>
      </w:tr>
      <w:tr>
        <w:trPr>
          <w:trHeight w:val="243"/>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103.6 %</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37"/>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SEPA, warrant, and revenue base</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41"/>
        </w:trPr>
        <w:tc>
          <w:tcPr>
            <w:tcW w:w="4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7"/>
        </w:trPr>
        <w:tc>
          <w:tcPr>
            <w:tcW w:w="4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Undeclared dividends on Series A preferred stock</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8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0"/>
        </w:trPr>
        <w:tc>
          <w:tcPr>
            <w:tcW w:w="4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increased by $2.7 million, or 42.0% for the three months ended March 31, 2025, as compared to the three months ended March 31, 2024. The increase in revenue was due to an increase of $2.7 million in sales of TriNav.</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$0.5 million, or 54.0% for the three months ended March 31, 2025, as compared to the three months ended March 31, 2024. The increase in cost of goods sold was primarily due to higher production volumes to support our increased revenue.</w:t>
      </w:r>
    </w:p>
    <w:p>
      <w:pPr>
        <w:spacing w:after="0" w:line="108"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Gross profit increased by $2.2 million, or 39.8% for the three months ended March 31, 2025, and gross margin decreased to 83.7% from 85.0% for the three months ended March 31, 2025, as compared to the three months ended March 31, 2024. The increase in gross profit was due primarily to the increase in sales volume. The decrease in gross margin percentage was driven principally by decreased manufacturing efficiencies due to lower production volumes for a planned shut down during the current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R&amp;D expenses decreased by $2.5 million, or 43.6% for the three months ended March 31, 2025, as compared to the three months ended March 31, 2024. The decrease was primarily driven by a $1.3 million reduction of clinical trial expenses related to nelitolimod and a decrease in headcount-related expenses of $0.5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were flat for the three months ended March 31, 2025, as compared to the three months ended March 31, 2024. We incurred a $0.3 million increase in the sales and marketing department headcount during the three months ended March 31, 2025 compared to the same period in the prior year, which was substantially offset by a reduction in our need to utilize consultants.</w:t>
      </w:r>
    </w:p>
    <w:p>
      <w:pPr>
        <w:sectPr>
          <w:pgSz w:w="11900" w:h="16838" w:orient="portrait"/>
          <w:cols w:equalWidth="0" w:num="1">
            <w:col w:w="11220"/>
          </w:cols>
          <w:pgMar w:left="320" w:top="135" w:right="35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or 7.4%, for the three months ended March 31, 2025, as compared to the three months ended March 31, 2024. The increase was primarily due to professional services as a result of the timing of various filing and audit related expenses.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by $1.2 million for the three months ended March 31, 2025, as compared to the three months ended March 31, 2024. The increase was due to our usage of the OrbiMed Credit Agreement throughout the three months ended March 31, 2025 compared to the prior year period as we entered into the OrbiMed Credit Agreement subsequent to March 31, 2024.</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the SEPA, Warrant, and Revenue Base Redemption Liabilities</w:t>
      </w:r>
    </w:p>
    <w:p>
      <w:pPr>
        <w:spacing w:after="0" w:line="20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SEPA, warrant, and revenue base redemption liabilities resulted in a change of $3.4 million as a result of a loss of $0.8 million in the three months ended March 31, 2025, compared to a gain of $2.5 million in the three months ended March 31, 2024. The change was primarily due to the increase of the warrant price on the open market and the additions of the Subsequent OrbiMed Warrant as a result of the First Delayed Draw.</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Liability</w:t>
      </w:r>
    </w:p>
    <w:p>
      <w:pPr>
        <w:spacing w:after="0" w:line="148"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earnout liability resulted in a change of $3.2 million as a result of $0.8 million in the three months ended March 31, 2025, compared to a loss of $4.0 million for the three months ended March 31, 2024. This is mainly due to the change in the market price of the underlying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$10.4 million for the three months ended March 31, 2025. We had cash and cash equivalents of approximately $13.0 million at March 31, 2025. Since inception, we have financed operations primarily through the issuance and sales of common and preferred stock, convertible notes, and term loans. We are still in our early stages of development and have yet to generate revenues sufficient to fund cash flows from operations. Our ability to fund future operations and execute our long-term business plan and strategy will require that we raise additional capital. There can be no assurance that we will be able to raise such additional capital on satisfactory terms, if at all. If additional capital is not secured when required, we may need to delay or curtail our operations until such funding is received.</w:t>
      </w:r>
    </w:p>
    <w:p>
      <w:pPr>
        <w:spacing w:after="0" w:line="13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we achieved the trailing 12-month Product Revenue Base of $30.0 million in January 2025 and were able to borrow the First Delayed Draw Term Loan Commitment resulting in gross proceeds of $10.0 million. As of March 31, 2025, the minimum cash requirement increased from $5.0 million to $10.0 million. Subsequent to March 31, 2025, we raised gross proceeds of approximately $22.0 million through a Private Placement. Although these events have occurred, our existing cash and cash equivalents may not be sufficient to fund our projected liquidity requirements for at least the next 12 months from the date of this Quarterly Report, as the adequacy of available funds will depend on many factors, including those described in the section titled “Risk Factors” in our Annual Report on Form 10-K for the year ended December 31, 2024. See also “Funding Requirements”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2025, and March 31, 2024</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cash from operating, investing, and financing activities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180" w:type="dxa"/>
            <w:vAlign w:val="bottom"/>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0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8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6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$4.5 million. The net cash used in operating activities consisted of net loss of $10.4 million, adjusted for non-cash charges totaling $4.3 million, primarily related to a loss on share-based compensation of $1.6 million, the adjustments of the fair value of the contingent earnout liability of $0.8 million and warrant and SEPA liabilities of $0.8 million. The change in net operating assets and liabilities decreased $1.6 million, due primarily to an increase in accounts payable and accrued liabilities.</w:t>
      </w:r>
    </w:p>
    <w:p>
      <w:pPr>
        <w:spacing w:after="0" w:line="11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net cash used in operating activities was $10.9 million. The net cash used in operating activities consisted of net loss of $13.2 million, adjusted for non-cash charges totaling $2.8 million, primarily related to a loss on the adjustment of the fair value of the contingent earnout liability of $4.0 million, depreciation and amortization of $0.2 million and stock-based compensation expense of $1.1 million, partially offset a gain from the change in fair value of warrants to purchase preferred stock of $2.5 million. In addition, net operating assets and liabilities decreased $0.5 million driven by an increase in accounts payable and accrued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60"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$0.7 million for the three months ended March 31, 2025, was primarily due to purchases of property and equipment of $0.8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6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$9.7 million for the three months ended March 31, 2025, consisted primarily of $9.5 million, net of expenses, from the First Delayed draw under the OrbiMed Credit Agreement.</w:t>
      </w:r>
    </w:p>
    <w:p>
      <w:pPr>
        <w:spacing w:after="0" w:line="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$3.1 million for the three months ended March 31, 2024, consisted primarily of proceeds from the issuance of common stock $3.1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which consist of sales and marketing expenses related to the growth of our sole commercial product TriNav, research, development and clinical expenses related primarily to TriNav and, to a lesser extent, nelitolimod, as well as general and administrative expenses. If we obtain approval for our product candidates, we expect to incur commercialization expenses, which may be significant, related to establishing or expanding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conflicts in the Middle East.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w:t>
      </w:r>
    </w:p>
    <w:p>
      <w:pPr>
        <w:spacing w:after="0" w:line="130"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also expect to continue to incur significant expenses in connection with our ongoing activities related to TriNav, including sales and marketing expenses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nelitolimod by the FDA, including the potential for the FDA to require that we perform more studies and clinical trials than those that we currently expect; our ability to draw the remaining $15.0 million available under the OrbiMed Credit Agreement if and when needed;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w:t>
      </w: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14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 securities. Additionally, we are subject to a number of affirmative and restrictive covenants pursuant to the OrbiMed Credit Agreement, which limit or restrict our ability to take specific actions, such as incurring additional debt, making capital expenditures or declaring dividends.</w:t>
      </w:r>
    </w:p>
    <w:p>
      <w:pPr>
        <w:spacing w:after="0" w:line="12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9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may require additional capital in order to continue to fund our operations through one or a combination of securities offerings, debt financings, collaborations, strategic alliances and/or licensing arrangements which may not be available on a timely basis, on favorable terms, or at all, and such capital, if obtained, may not be sufficient to enable us to continue to implement our long-term business strategy. See factors further described in the sections titled "Risk Factors" in this Quarterly Report.</w:t>
      </w:r>
    </w:p>
    <w:p>
      <w:pPr>
        <w:spacing w:after="0" w:line="15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continuation as a going concern is dependent on our ability to generate sufficient cash flows from operations and/or obtain additional capital through one or a combination of securities offerings, debt financings, collaborations, strategic alliances and/or licensing arrangements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w:t>
      </w:r>
      <w:r>
        <w:rPr>
          <w:rFonts w:ascii="Times New Roman" w:cs="Times New Roman" w:eastAsia="Times New Roman" w:hAnsi="Times New Roman"/>
          <w:sz w:val="18"/>
          <w:szCs w:val="18"/>
          <w:i w:val="1"/>
          <w:iCs w:val="1"/>
          <w:color w:val="auto"/>
        </w:rPr>
        <w:t>(1) Nature of Business</w:t>
      </w:r>
      <w:r>
        <w:rPr>
          <w:rFonts w:ascii="Times New Roman" w:cs="Times New Roman" w:eastAsia="Times New Roman" w:hAnsi="Times New Roman"/>
          <w:sz w:val="18"/>
          <w:szCs w:val="18"/>
          <w:color w:val="auto"/>
        </w:rPr>
        <w:t xml:space="preserve"> to our unaudited condensed consolidated financial statements accompanying this Quarterly Report, there is substantial doubt regarding our ability to continue as a going concern as of March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March 31, 2025, include lease obligations of $2.2 million, reflecting the minimum commitments for our principal administrative and production facility and other office spaces.</w:t>
      </w:r>
    </w:p>
    <w:p>
      <w:pPr>
        <w:spacing w:after="0" w:line="8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Asset Purchase Agreement, dated July 31, 2020, between TriSalus and Dynavax, we have paid Dynavax $12.0 million as of March 31, 2025, and may be required to pay Dynavax up to an additional $158 million upon the achievement of certain development and regulatory milestones with respect to nelitolimod. Subject to obtaining marketing approval for nelitolimod, we will also be required to pay up to $80 million upon achieving certain commercial milestones. The Dynavax Agreement also obligates us to pay low double-digit royalties based on potential future net sales of product containing nelitolimod compound on a product-by-product and country-by-country basis during the applicable royalty term. Such royalties are subject to reduction by up to 50% in certain circumstances.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4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significant accounting policies are summarized in Note </w:t>
      </w:r>
      <w:r>
        <w:rPr>
          <w:rFonts w:ascii="Times New Roman" w:cs="Times New Roman" w:eastAsia="Times New Roman" w:hAnsi="Times New Roman"/>
          <w:sz w:val="18"/>
          <w:szCs w:val="18"/>
          <w:i w:val="1"/>
          <w:iCs w:val="1"/>
          <w:color w:val="auto"/>
        </w:rPr>
        <w:t>(2) Summary of Significant Accounting Policies</w:t>
      </w:r>
      <w:r>
        <w:rPr>
          <w:rFonts w:ascii="Times New Roman" w:cs="Times New Roman" w:eastAsia="Times New Roman" w:hAnsi="Times New Roman"/>
          <w:sz w:val="18"/>
          <w:szCs w:val="18"/>
          <w:color w:val="auto"/>
        </w:rPr>
        <w:t xml:space="preserve"> in the unaudited condensed consolidated financial statements accompanying this Quarterly Report. There have been no significant changes in our critical accounting policies during the three months ended March 31, 2025, as compared to the critical accounting policies disclosed in Management's Discussion and Analysis of Financial Condition and Results of Operations included in our Annual Report on Form 10-K for the year ended December 31, 2024, filed with the SEC on April 15, 2025. While all of these significant accounting policies affect the reporting of our financial condition and</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Item 10(f)(1) of Regulation S-K of the Securities Act; we are not required to provide the information contemplated by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the Securities Exchange Act of 1934, as amended (the "Exchange Act") Rule 13a-15) that are designed to provide reasonable assurance that the information required to be disclosed by us in reports that we file or submit under the Exchange Act, is recorded, processed, summarized and reported within the time periods specified in the rules and forms promulgated by the Securities and Exchange Commission, and that such information is accumulated and communicated to our management, including our Chief Executive Officer and Chief Financial Officer, as appropriate to allow timely decisions regarding required disclosure. Because of the inherent limitations to the effectiveness of any system of disclosure controls and procedures, no evaluation of disclosure controls and procedures can provide absolute assurance that all control issues and instances of fraud, if any, with a company have been prevented or detected on a timely basis. Even disclosure controls and procedures determined to be effective can only provide reasonable assurance that their objectives are achieved.</w:t>
      </w:r>
    </w:p>
    <w:p>
      <w:pPr>
        <w:spacing w:after="0" w:line="12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carried out an evaluation, under the supervision and with the participation of our management, including our Chief Executive Officer and Chief Financial Officer, of the effectiveness of the design and operation of our disclosure controls and procedures (as defined in Exchange Act Rule 13a-15(e)) pursuant to Rule 13a-15 of the Exchange Act. Based upon that evaluation, our Chief Executive Officer and Chief Financial Officer concluded that our disclosure controls and procedures are not effective at the reasonable assurance level.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 material weakness is a deficiency or combination of deficiencies in internal control over financial reporting such that there is a reasonable possibility that a material misstatement of our condensed consolidated financial statements would not be prevented or detected on a timely basis. </w:t>
      </w:r>
      <w:r>
        <w:rPr>
          <w:rFonts w:ascii="Times New Roman" w:cs="Times New Roman" w:eastAsia="Times New Roman" w:hAnsi="Times New Roman"/>
          <w:sz w:val="18"/>
          <w:szCs w:val="18"/>
          <w:color w:val="231F20"/>
        </w:rPr>
        <w:t>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our audited consolidated financial statements for the years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our unaudited condensed consolidated financial statements for the </w:t>
      </w:r>
      <w:r>
        <w:rPr>
          <w:rFonts w:ascii="Times New Roman" w:cs="Times New Roman" w:eastAsia="Times New Roman" w:hAnsi="Times New Roman"/>
          <w:sz w:val="18"/>
          <w:szCs w:val="18"/>
          <w:color w:val="000000"/>
        </w:rPr>
        <w:t>three months ended March 31, 2025</w:t>
      </w:r>
      <w:r>
        <w:rPr>
          <w:rFonts w:ascii="Times New Roman" w:cs="Times New Roman" w:eastAsia="Times New Roman" w:hAnsi="Times New Roman"/>
          <w:sz w:val="18"/>
          <w:szCs w:val="18"/>
          <w:color w:val="231F20"/>
        </w:rPr>
        <w:t>, management identified material weaknesses in our internal control over financial reporting with respect to:</w:t>
      </w:r>
    </w:p>
    <w:p>
      <w:pPr>
        <w:spacing w:after="0" w:line="3" w:lineRule="exact"/>
        <w:rPr>
          <w:sz w:val="20"/>
          <w:szCs w:val="20"/>
          <w:color w:val="auto"/>
        </w:rPr>
      </w:pPr>
    </w:p>
    <w:p>
      <w:pPr>
        <w:ind w:left="660" w:right="20" w:hanging="328"/>
        <w:spacing w:after="0" w:line="250" w:lineRule="auto"/>
        <w:tabs>
          <w:tab w:leader="none" w:pos="654"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lack of sufficient number of trained resources with the appropriate skills and knowledge and with assigned responsibilities and accountability for the design and operation of internal controls over:</w:t>
      </w:r>
    </w:p>
    <w:p>
      <w:pPr>
        <w:ind w:left="1960" w:hanging="656"/>
        <w:spacing w:after="0"/>
        <w:tabs>
          <w:tab w:leader="none" w:pos="1960"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reporting,</w:t>
      </w:r>
    </w:p>
    <w:p>
      <w:pPr>
        <w:spacing w:after="0" w:line="9"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costs,</w:t>
      </w:r>
    </w:p>
    <w:p>
      <w:pPr>
        <w:spacing w:after="0" w:line="9"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R&amp;D accruals,</w:t>
      </w:r>
    </w:p>
    <w:p>
      <w:pPr>
        <w:spacing w:after="0" w:line="9"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general accruals,</w:t>
      </w:r>
    </w:p>
    <w:p>
      <w:pPr>
        <w:spacing w:after="0" w:line="9"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accounting for leases under ASC 842,</w:t>
      </w:r>
    </w:p>
    <w:p>
      <w:pPr>
        <w:spacing w:after="0" w:line="9"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accounting for revenue, and</w:t>
      </w:r>
    </w:p>
    <w:p>
      <w:pPr>
        <w:spacing w:after="0" w:line="9" w:lineRule="exact"/>
        <w:rPr>
          <w:rFonts w:ascii="Times New Roman" w:cs="Times New Roman" w:eastAsia="Times New Roman" w:hAnsi="Times New Roman"/>
          <w:sz w:val="18"/>
          <w:szCs w:val="18"/>
          <w:color w:val="231F20"/>
        </w:rPr>
      </w:pPr>
    </w:p>
    <w:p>
      <w:pPr>
        <w:ind w:left="1300" w:firstLine="4"/>
        <w:spacing w:after="0" w:line="260" w:lineRule="auto"/>
        <w:tabs>
          <w:tab w:leader="none" w:pos="1948" w:val="left"/>
        </w:tabs>
        <w:numPr>
          <w:ilvl w:val="2"/>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accounting for significant transactions, including costs associated with the SEPA, the Exchange Warrants, and accounting for the OrbiMed Credit Agreement, including the Initial OrbiMed Commitment amount and the related derivative financial instruments;</w:t>
      </w:r>
    </w:p>
    <w:p>
      <w:pPr>
        <w:spacing w:after="0" w:line="73"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1"/>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controls over the accounting and financial reporting for the Business Combination;</w:t>
      </w:r>
    </w:p>
    <w:p>
      <w:pPr>
        <w:spacing w:after="0" w:line="117" w:lineRule="exact"/>
        <w:rPr>
          <w:rFonts w:ascii="Times New Roman" w:cs="Times New Roman" w:eastAsia="Times New Roman" w:hAnsi="Times New Roman"/>
          <w:sz w:val="18"/>
          <w:szCs w:val="18"/>
          <w:color w:val="231F20"/>
        </w:rPr>
      </w:pPr>
    </w:p>
    <w:p>
      <w:pPr>
        <w:ind w:left="660" w:hanging="4"/>
        <w:spacing w:after="0" w:line="282" w:lineRule="auto"/>
        <w:tabs>
          <w:tab w:leader="none" w:pos="1308" w:val="left"/>
        </w:tabs>
        <w:numPr>
          <w:ilvl w:val="1"/>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internal controls over the valuation of the warrant and tranche rights and obligations and liabilities resulting from the series B-2 preferred stock financing, and the revenue base redemption liability associated with the Initial OrbiMed Commitment Amount;</w:t>
      </w:r>
    </w:p>
    <w:p>
      <w:pPr>
        <w:spacing w:after="0" w:line="53" w:lineRule="exact"/>
        <w:rPr>
          <w:rFonts w:ascii="Times New Roman" w:cs="Times New Roman" w:eastAsia="Times New Roman" w:hAnsi="Times New Roman"/>
          <w:sz w:val="18"/>
          <w:szCs w:val="18"/>
          <w:color w:val="231F20"/>
        </w:rPr>
      </w:pPr>
    </w:p>
    <w:p>
      <w:pPr>
        <w:ind w:left="660" w:right="100" w:hanging="4"/>
        <w:spacing w:after="0" w:line="289" w:lineRule="auto"/>
        <w:tabs>
          <w:tab w:leader="none" w:pos="1298" w:val="left"/>
        </w:tabs>
        <w:numPr>
          <w:ilvl w:val="1"/>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inadequate design and implementation of controls over the conversion of data from our legacy stock-based compensation management system to our new system, over the assumptions used to calculate fair value of certain equity awards to support the recognition of stock compensation expense, and over the assumptions used to determine the achievement of the performance obligations of certain equity awards; and</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right="160" w:hanging="4"/>
        <w:spacing w:after="0" w:line="282" w:lineRule="auto"/>
        <w:tabs>
          <w:tab w:leader="none" w:pos="1302"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inadequate security management internal controls over certain IT applications supporting financial reporting, related to segregation of privileged IT user rights and to monitor elevated user activity.</w:t>
      </w:r>
    </w:p>
    <w:p>
      <w:pPr>
        <w:spacing w:after="0" w:line="9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 xml:space="preserve">Our management developed a remediation plan, and we have continued to take steps to remediate each of the material weaknesses described above. The remediation plan included hiring additional trained resources with requisite experience with complicated accounting issues, designing and enforcing processes that ensure adequate segregation of duties within the finance function and adequately reviewing the assumptions and inputs to accounting estimates and engaging outside expert consultants as needed.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we are in the process of hiring additional trained resources with such requisite experience or selected outside expert consultants. We will continue to evaluate the existing finance function experience and expertise to identify additional resource and application needs to aid in the remediation of the material weaknesses. The material weaknesses will be considered remediated when our management designs and implements effective controls that operate for a sufficient period of time and management has concluded, through testing, that these controls are effective. Our management will continue to monitor the effectiveness of the remediation plan and will make the changes it determines to be appropriate. .</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material weaknesses and remediation efforts described above, there have been no changes in our internal control procedures over financial reporting (as defined in Rules 13a-15(f) and 15d-15(f) of the Exchange Act)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proceedings against us that we believe could have a material adverse effect on our business, operating results, cash flows, or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in our risk factors. The Risk Factors identified in Item 1A. Risk Factors in our Annual Report on Form 10-K for the year ended December 31, 2024 continue to represent the most significant risks to the Company’s future results of operations and financial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2025 Securities Purchase Agreement</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in April 2025, we entered into a securities purchase agreement (the “Purchase Agreement”) with certain institutional and accredited investors named therein (the “Purchasers”) pursuant to which the Company agreed to issue and sell to the Purchasers in a private placement (the “Private Placement”) an aggregate of 5,500,000 shares (the “Shares”) of the Company’s common stock, par value $0.0001 per share (the “Common Stock”), at a purchase price of $4.00 per share.</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the Purchasers, indemnification rights and other obligations of the parties. In connection with the Private Placement, the Company and the Purchasers will enter into a registration rights agreement (the “Registration Rights Agreement”) at the closing, pursuant to which the Company will grant certain registration rights to the Purchasers with respect to their Shares (as further described below). In addition, the Company has committed to use commercially reasonable efforts to satisfy all of its obligations set forth in the Support Agreements (as defined below). The Company and its directors and officers have agreed, for a period of 60 days after the date of the Purchase Agreement, to customary lock-up and clear market provisions, as applicable, subject to certain exceptions.</w:t>
      </w:r>
    </w:p>
    <w:p>
      <w:pPr>
        <w:spacing w:after="0" w:line="16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Private Placement closed on May 2, 2025. The Company raised $22.0 million, before deducting estimated offering fees and expenses payable by the Company, from the Private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2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Pr>
          <w:p>
            <w:pPr>
              <w:spacing w:after="0"/>
              <w:rPr>
                <w:sz w:val="16"/>
                <w:szCs w:val="16"/>
                <w:color w:val="auto"/>
              </w:rPr>
            </w:pPr>
          </w:p>
        </w:tc>
      </w:tr>
      <w:tr>
        <w:trPr>
          <w:trHeight w:val="37"/>
        </w:trPr>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7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40" w:type="dxa"/>
            <w:vAlign w:val="bottom"/>
            <w:gridSpan w:val="18"/>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6"/>
        </w:trPr>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Second Amendment to Credit Agreement by and between TriSalus</w:t>
            </w:r>
          </w:p>
        </w:tc>
        <w:tc>
          <w:tcPr>
            <w:tcW w:w="128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Operating Life Sciences, Inc., TriSalus Life Sciences, Inc., and</w:t>
            </w:r>
          </w:p>
        </w:tc>
        <w:tc>
          <w:tcPr>
            <w:tcW w:w="18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OrbiMed Royalty &amp; Credit Opportunities IV, LP.</w:t>
            </w:r>
          </w:p>
        </w:tc>
        <w:tc>
          <w:tcPr>
            <w:tcW w:w="1000" w:type="dxa"/>
            <w:vAlign w:val="bottom"/>
            <w:tcBorders>
              <w:top w:val="single" w:sz="8" w:color="0000FF"/>
            </w:tcBorders>
            <w:gridSpan w:val="6"/>
          </w:tcPr>
          <w:p>
            <w:pPr>
              <w:spacing w:after="0"/>
              <w:rPr>
                <w:sz w:val="17"/>
                <w:szCs w:val="17"/>
                <w:color w:val="auto"/>
              </w:rPr>
            </w:pPr>
          </w:p>
        </w:tc>
        <w:tc>
          <w:tcPr>
            <w:tcW w:w="460" w:type="dxa"/>
            <w:vAlign w:val="bottom"/>
            <w:gridSpan w:val="10"/>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Amendment No. 1 to Strategic Collaboration Agreement, dated</w:t>
            </w:r>
          </w:p>
        </w:tc>
        <w:tc>
          <w:tcPr>
            <w:tcW w:w="420" w:type="dxa"/>
            <w:vAlign w:val="bottom"/>
            <w:gridSpan w:val="9"/>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March 2, 2021, by and between Surefire Medical Inc. d/b/a</w:t>
            </w:r>
          </w:p>
        </w:tc>
        <w:tc>
          <w:tcPr>
            <w:tcW w:w="720" w:type="dxa"/>
            <w:vAlign w:val="bottom"/>
            <w:gridSpan w:val="13"/>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TriSalus Life Sciences and the University of Texas M.D. Anderson</w:t>
            </w:r>
          </w:p>
        </w:tc>
        <w:tc>
          <w:tcPr>
            <w:tcW w:w="16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Cancer Center</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Securities Purchase Agreement dated, April 30, 2025, by an among</w:t>
              </w:r>
            </w:hyperlink>
          </w:p>
        </w:tc>
        <w:tc>
          <w:tcPr>
            <w:tcW w:w="140" w:type="dxa"/>
            <w:vAlign w:val="bottom"/>
            <w:gridSpan w:val="2"/>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TriSalus Life Sciences, Inc. and the persons party thereto</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Registration Rights Agreement</w:t>
              </w:r>
            </w:hyperlink>
          </w:p>
        </w:tc>
        <w:tc>
          <w:tcPr>
            <w:tcW w:w="880" w:type="dxa"/>
            <w:vAlign w:val="bottom"/>
            <w:gridSpan w:val="14"/>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2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Tender an Support Agreement, dated April 30, 2025, by an among</w:t>
              </w:r>
            </w:hyperlink>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001-39813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2025</w:t>
            </w: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TriSalus Life Sciences, Inc. and the person party thereto</w:t>
              </w:r>
            </w:hyperlink>
          </w:p>
        </w:tc>
        <w:tc>
          <w:tcPr>
            <w:tcW w:w="720" w:type="dxa"/>
            <w:vAlign w:val="bottom"/>
            <w:tcBorders>
              <w:top w:val="single" w:sz="8" w:color="0000FF"/>
            </w:tcBorders>
            <w:gridSpan w:val="10"/>
          </w:tcPr>
          <w:p>
            <w:pPr>
              <w:spacing w:after="0"/>
              <w:rPr>
                <w:sz w:val="17"/>
                <w:szCs w:val="17"/>
                <w:color w:val="auto"/>
              </w:rPr>
            </w:pPr>
          </w:p>
        </w:tc>
        <w:tc>
          <w:tcPr>
            <w:tcW w:w="22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Rule</w:t>
            </w:r>
          </w:p>
        </w:tc>
        <w:tc>
          <w:tcPr>
            <w:tcW w:w="360" w:type="dxa"/>
            <w:vAlign w:val="bottom"/>
            <w:gridSpan w:val="8"/>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13a-14(a) and Rule 15d-14(a) under the Securities Exchange Act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of 1934, as adopted pursuant to Section 302 of the Sarbanes-Oxley</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3940" w:type="dxa"/>
            <w:vAlign w:val="bottom"/>
            <w:tcBorders>
              <w:top w:val="single" w:sz="8" w:color="0000FF"/>
            </w:tcBorders>
            <w:gridSpan w:val="16"/>
          </w:tcPr>
          <w:p>
            <w:pPr>
              <w:spacing w:after="0"/>
              <w:rPr>
                <w:sz w:val="17"/>
                <w:szCs w:val="17"/>
                <w:color w:val="auto"/>
              </w:rPr>
            </w:pPr>
          </w:p>
        </w:tc>
        <w:tc>
          <w:tcPr>
            <w:tcW w:w="18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Filed herewith</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13a-14(a) and Rule 15d-14(a) under the Securities Exchange Act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of 1934, as adopted pursuant to Section 302 of the Sarbanes-Oxley</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3940" w:type="dxa"/>
            <w:vAlign w:val="bottom"/>
            <w:tcBorders>
              <w:top w:val="single" w:sz="8" w:color="0000FF"/>
            </w:tcBorders>
            <w:gridSpan w:val="16"/>
          </w:tcPr>
          <w:p>
            <w:pPr>
              <w:spacing w:after="0"/>
              <w:rPr>
                <w:sz w:val="17"/>
                <w:szCs w:val="17"/>
                <w:color w:val="auto"/>
              </w:rPr>
            </w:pPr>
          </w:p>
        </w:tc>
        <w:tc>
          <w:tcPr>
            <w:tcW w:w="18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18</w:t>
            </w:r>
          </w:p>
        </w:tc>
        <w:tc>
          <w:tcPr>
            <w:tcW w:w="520" w:type="dxa"/>
            <w:vAlign w:val="bottom"/>
            <w:gridSpan w:val="11"/>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Furnished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U.S.C. 1350, as adopted pursuant to Section 906 of the Sarbanes-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3360" w:type="dxa"/>
            <w:vAlign w:val="bottom"/>
            <w:tcBorders>
              <w:top w:val="single" w:sz="8" w:color="0000FF"/>
            </w:tcBorders>
            <w:gridSpan w:val="12"/>
          </w:tcPr>
          <w:p>
            <w:pPr>
              <w:spacing w:after="0"/>
              <w:rPr>
                <w:sz w:val="17"/>
                <w:szCs w:val="17"/>
                <w:color w:val="auto"/>
              </w:rPr>
            </w:pPr>
          </w:p>
        </w:tc>
        <w:tc>
          <w:tcPr>
            <w:tcW w:w="280" w:type="dxa"/>
            <w:vAlign w:val="bottom"/>
            <w:gridSpan w:val="6"/>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18</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Furnished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9"/>
            <w:shd w:val="clear" w:color="auto" w:fill="0000FF"/>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U.S.C. 1350, as adopted pursuant to Section 906 of the Sarbanes-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3360" w:type="dxa"/>
            <w:vAlign w:val="bottom"/>
            <w:tcBorders>
              <w:top w:val="single" w:sz="8" w:color="0000FF"/>
            </w:tcBorders>
            <w:gridSpan w:val="12"/>
          </w:tcPr>
          <w:p>
            <w:pPr>
              <w:spacing w:after="0"/>
              <w:rPr>
                <w:sz w:val="17"/>
                <w:szCs w:val="17"/>
                <w:color w:val="auto"/>
              </w:rPr>
            </w:pPr>
          </w:p>
        </w:tc>
        <w:tc>
          <w:tcPr>
            <w:tcW w:w="280" w:type="dxa"/>
            <w:vAlign w:val="bottom"/>
            <w:gridSpan w:val="6"/>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1"/>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3"/>
                <w:szCs w:val="23"/>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2"/>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36" w:lineRule="exact"/>
        <w:rPr>
          <w:sz w:val="20"/>
          <w:szCs w:val="20"/>
          <w:color w:val="auto"/>
        </w:rPr>
      </w:pPr>
    </w:p>
    <w:p>
      <w:pPr>
        <w:ind w:left="1180" w:right="5340" w:hanging="781"/>
        <w:spacing w:after="0" w:line="281"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11160"/>
          </w:cols>
          <w:pgMar w:left="320" w:top="135" w:right="419" w:bottom="1440" w:gutter="0" w:footer="0" w:header="0"/>
        </w:sectPr>
      </w:pP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Certain portions of this Exhibit have been omitted in accordance with Regulation S-K Item 01(b)(10)(iv) because they are not material and are the type of information that the Registrant treats as private or confidential. The Registrant agrees to furnish supplementally an unredacted copy of the Exhibit, or any section thereof, to the SEC upon request.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ectPr>
          <w:pgSz w:w="11900" w:h="16838" w:orient="portrait"/>
          <w:cols w:equalWidth="0" w:num="2">
            <w:col w:w="580" w:space="600"/>
            <w:col w:w="9980"/>
          </w:cols>
          <w:pgMar w:left="320" w:top="13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type w:val="continuous"/>
        </w:sectPr>
      </w:pPr>
    </w:p>
    <w:bookmarkStart w:id="49" w:name="page50"/>
    <w:bookmarkEnd w:id="4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report to be signed on its behalf by the undersigned, thereunto duly authorized, on the 15th day of May, 2025.</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TriSalus Life Sciences, Inc.</w:t>
      </w:r>
    </w:p>
    <w:p>
      <w:pPr>
        <w:spacing w:after="0" w:line="200" w:lineRule="exact"/>
        <w:rPr>
          <w:sz w:val="20"/>
          <w:szCs w:val="20"/>
          <w:color w:val="auto"/>
        </w:rPr>
      </w:pPr>
    </w:p>
    <w:p>
      <w:pPr>
        <w:spacing w:after="0" w:line="380" w:lineRule="exact"/>
        <w:rPr>
          <w:sz w:val="20"/>
          <w:szCs w:val="20"/>
          <w:color w:val="auto"/>
        </w:rPr>
      </w:pPr>
    </w:p>
    <w:p>
      <w:pPr>
        <w:ind w:left="548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James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432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5960"/>
        <w:spacing w:after="0"/>
        <w:tabs>
          <w:tab w:leader="none" w:pos="6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Young</w:t>
      </w:r>
    </w:p>
    <w:p>
      <w:pPr>
        <w:spacing w:after="0" w:line="63" w:lineRule="exact"/>
        <w:rPr>
          <w:sz w:val="20"/>
          <w:szCs w:val="20"/>
          <w:color w:val="auto"/>
        </w:rPr>
      </w:pPr>
    </w:p>
    <w:p>
      <w:pPr>
        <w:ind w:left="5960"/>
        <w:spacing w:after="0"/>
        <w:tabs>
          <w:tab w:leader="none" w:pos="6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0940"/>
          </w:cols>
          <w:pgMar w:left="320" w:top="117" w:right="6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CREDIT AGREEMENT</w:t>
      </w:r>
    </w:p>
    <w:p>
      <w:pPr>
        <w:spacing w:after="0" w:line="15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SECOND AMENDMENT TO CREDIT AGREEMENT</w:t>
      </w:r>
      <w:r>
        <w:rPr>
          <w:rFonts w:ascii="Times New Roman" w:cs="Times New Roman" w:eastAsia="Times New Roman" w:hAnsi="Times New Roman"/>
          <w:sz w:val="22"/>
          <w:szCs w:val="22"/>
          <w:color w:val="auto"/>
        </w:rPr>
        <w:t xml:space="preserve"> (this “Amendment”) is made and entered into as of April 30, 2025 by and among </w:t>
      </w:r>
      <w:r>
        <w:rPr>
          <w:rFonts w:ascii="Times New Roman" w:cs="Times New Roman" w:eastAsia="Times New Roman" w:hAnsi="Times New Roman"/>
          <w:sz w:val="22"/>
          <w:szCs w:val="22"/>
          <w:b w:val="1"/>
          <w:bCs w:val="1"/>
          <w:color w:val="auto"/>
        </w:rPr>
        <w:t>TRISALUS OPERATING LIFE SCIENCES, INC.</w:t>
      </w:r>
      <w:r>
        <w:rPr>
          <w:rFonts w:ascii="Times New Roman" w:cs="Times New Roman" w:eastAsia="Times New Roman" w:hAnsi="Times New Roman"/>
          <w:sz w:val="22"/>
          <w:szCs w:val="22"/>
          <w:color w:val="auto"/>
        </w:rPr>
        <w:t xml:space="preserve">, a Delaware corporation (the “Borrower”), </w:t>
      </w:r>
      <w:r>
        <w:rPr>
          <w:rFonts w:ascii="Times New Roman" w:cs="Times New Roman" w:eastAsia="Times New Roman" w:hAnsi="Times New Roman"/>
          <w:sz w:val="22"/>
          <w:szCs w:val="22"/>
          <w:b w:val="1"/>
          <w:bCs w:val="1"/>
          <w:color w:val="auto"/>
        </w:rPr>
        <w:t xml:space="preserve">TRISALUS LIFE SCIENCES, INC. </w:t>
      </w:r>
      <w:r>
        <w:rPr>
          <w:rFonts w:ascii="Times New Roman" w:cs="Times New Roman" w:eastAsia="Times New Roman" w:hAnsi="Times New Roman"/>
          <w:sz w:val="22"/>
          <w:szCs w:val="22"/>
          <w:color w:val="auto"/>
        </w:rPr>
        <w:t>, a Delaware corporation (the “Parent”), the Lenders party hereto (the “Lenders”) and</w:t>
      </w:r>
      <w:r>
        <w:rPr>
          <w:rFonts w:ascii="Times New Roman" w:cs="Times New Roman" w:eastAsia="Times New Roman" w:hAnsi="Times New Roman"/>
          <w:sz w:val="22"/>
          <w:szCs w:val="22"/>
          <w:b w:val="1"/>
          <w:bCs w:val="1"/>
          <w:color w:val="auto"/>
        </w:rPr>
        <w:t xml:space="preserve"> ORBIMED ROYALTY &amp; CREDIT OPPORTUNITIES IV, LP</w:t>
      </w:r>
      <w:r>
        <w:rPr>
          <w:rFonts w:ascii="Times New Roman" w:cs="Times New Roman" w:eastAsia="Times New Roman" w:hAnsi="Times New Roman"/>
          <w:sz w:val="22"/>
          <w:szCs w:val="22"/>
          <w:color w:val="auto"/>
        </w:rPr>
        <w:t>, as administrative agent for the Lenders (in such capacity,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its Affiliates, successors, transferees and assignees, the “Administrative Agent”).</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the Parent, the Lenders and the Administrative Agent entered into a Credit Agreement, dated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of April 30, 2024 (as amended by that First Amendment to Credit Agreement and Registration Rights Agreement, dated as of March 20, 2025, and that Waiver, dated as of March 31, 2025, and as otherwise amended, restated, modified or supplemented from time to time, the “Credit Agreement”), pursuant to which the Lenders have extended credit to the Borrower on the terms set forth therein; </w:t>
      </w: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10.1 of the Credit Agreement, the Credit Agreement may be amended by an instrument in writing signed by the Borrower, the Parent and the Lenders and acknowledged by the Administrative Agent; and</w:t>
      </w:r>
    </w:p>
    <w:p>
      <w:pPr>
        <w:spacing w:after="0" w:line="95"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Parent and the Lenders desire to amend certain provisions of the Credit Agreement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this Amendment.</w:t>
      </w:r>
    </w:p>
    <w:p>
      <w:pPr>
        <w:spacing w:after="0" w:line="82" w:lineRule="exact"/>
        <w:rPr>
          <w:sz w:val="20"/>
          <w:szCs w:val="20"/>
          <w:color w:val="auto"/>
        </w:rPr>
      </w:pPr>
    </w:p>
    <w:p>
      <w:pPr>
        <w:ind w:right="520"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agreements herein contained, and for other good and valuable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the receipt and sufficiency of which are hereby acknowledged, the parties hereto agree as follows:</w:t>
      </w:r>
    </w:p>
    <w:p>
      <w:pPr>
        <w:spacing w:after="0" w:line="60" w:lineRule="exact"/>
        <w:rPr>
          <w:sz w:val="20"/>
          <w:szCs w:val="20"/>
          <w:color w:val="auto"/>
        </w:rPr>
      </w:pPr>
    </w:p>
    <w:p>
      <w:pPr>
        <w:ind w:right="20" w:firstLine="656"/>
        <w:spacing w:after="0" w:line="259" w:lineRule="auto"/>
        <w:tabs>
          <w:tab w:leader="none" w:pos="8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 Loan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herein without definition shall have the meanings assigned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terms in the Credit Agreement. This Amendment shall constitute a Loan Document for all purposes of the Credit Agreement and the other Loan Documents.</w:t>
      </w:r>
    </w:p>
    <w:p>
      <w:pPr>
        <w:spacing w:after="0" w:line="98"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p>
    <w:p>
      <w:pPr>
        <w:spacing w:after="0" w:line="156" w:lineRule="exact"/>
        <w:rPr>
          <w:sz w:val="20"/>
          <w:szCs w:val="20"/>
          <w:color w:val="auto"/>
        </w:rPr>
      </w:pPr>
    </w:p>
    <w:p>
      <w:pPr>
        <w:ind w:left="1300" w:right="1200" w:firstLine="4"/>
        <w:spacing w:after="0" w:line="382" w:lineRule="auto"/>
        <w:tabs>
          <w:tab w:leader="none" w:pos="1606"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7.15(a) of the Credit Agreement is hereby amended and restated in its entirety as follows: “Evidence that on or prior to October 31, 2025, Global Biolink Ltd has been dissolved;”.</w:t>
      </w:r>
    </w:p>
    <w:p>
      <w:pPr>
        <w:spacing w:after="0" w:line="4" w:lineRule="exact"/>
        <w:rPr>
          <w:rFonts w:ascii="Times New Roman" w:cs="Times New Roman" w:eastAsia="Times New Roman" w:hAnsi="Times New Roman"/>
          <w:sz w:val="22"/>
          <w:szCs w:val="22"/>
          <w:b w:val="1"/>
          <w:bCs w:val="1"/>
          <w:color w:val="auto"/>
        </w:rPr>
      </w:pPr>
    </w:p>
    <w:p>
      <w:pPr>
        <w:ind w:left="660" w:right="220" w:firstLine="644"/>
        <w:spacing w:after="0" w:line="266" w:lineRule="auto"/>
        <w:tabs>
          <w:tab w:leader="none" w:pos="1626" w:val="left"/>
        </w:tabs>
        <w:numPr>
          <w:ilvl w:val="1"/>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Section 8.6 of the Credit Agreement is hereby amended by deleting the word “and” at the end of clause (f) thereof, inserting the word “and” at the end of clause (g) thereof and inserting a new clause (h) immediately after clause</w:t>
      </w:r>
    </w:p>
    <w:p>
      <w:pPr>
        <w:spacing w:after="0" w:line="1" w:lineRule="exact"/>
        <w:rPr>
          <w:rFonts w:ascii="Times New Roman" w:cs="Times New Roman" w:eastAsia="Times New Roman" w:hAnsi="Times New Roman"/>
          <w:sz w:val="21"/>
          <w:szCs w:val="21"/>
          <w:b w:val="1"/>
          <w:bCs w:val="1"/>
          <w:color w:val="auto"/>
        </w:rPr>
      </w:pPr>
    </w:p>
    <w:p>
      <w:pPr>
        <w:ind w:left="960" w:hanging="304"/>
        <w:spacing w:after="0"/>
        <w:tabs>
          <w:tab w:leader="none" w:pos="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 as follows:</w:t>
      </w:r>
    </w:p>
    <w:p>
      <w:pPr>
        <w:spacing w:after="0" w:line="128" w:lineRule="exact"/>
        <w:rPr>
          <w:sz w:val="20"/>
          <w:szCs w:val="20"/>
          <w:color w:val="auto"/>
        </w:rPr>
      </w:pPr>
    </w:p>
    <w:p>
      <w:pPr>
        <w:ind w:left="660" w:right="60" w:firstLine="648"/>
        <w:spacing w:after="0" w:line="252" w:lineRule="auto"/>
        <w:rPr>
          <w:sz w:val="20"/>
          <w:szCs w:val="20"/>
          <w:color w:val="auto"/>
        </w:rPr>
      </w:pPr>
      <w:r>
        <w:rPr>
          <w:rFonts w:ascii="Times New Roman" w:cs="Times New Roman" w:eastAsia="Times New Roman" w:hAnsi="Times New Roman"/>
          <w:sz w:val="22"/>
          <w:szCs w:val="22"/>
          <w:color w:val="auto"/>
        </w:rPr>
        <w:t>“(h) cashless exchanges of the Series A Preferred Stock of the Parent outstanding as of the Closing Date solely for common stock of the Parent, accelerated payment of dividends payable solely in common stock of the Parent on the Series A Preferred Stock so exchanged, and cash payments made by the Parent in lieu of fractional shares in connection with the foregoing cashless exchanges and dividends.”</w:t>
      </w:r>
    </w:p>
    <w:p>
      <w:pPr>
        <w:sectPr>
          <w:pgSz w:w="11900" w:h="16838" w:orient="portrait"/>
          <w:cols w:equalWidth="0" w:num="1">
            <w:col w:w="11240"/>
          </w:cols>
          <w:pgMar w:left="320" w:top="117" w:right="339" w:bottom="1440" w:gutter="0" w:footer="0" w:header="0"/>
        </w:sectPr>
      </w:pPr>
    </w:p>
    <w:bookmarkStart w:id="51" w:name="page52"/>
    <w:bookmarkEnd w:id="51"/>
    <w:p>
      <w:pPr>
        <w:spacing w:after="0" w:line="127" w:lineRule="exact"/>
        <w:rPr>
          <w:sz w:val="20"/>
          <w:szCs w:val="20"/>
          <w:color w:val="auto"/>
        </w:rPr>
      </w:pPr>
    </w:p>
    <w:p>
      <w:pPr>
        <w:ind w:left="-656" w:firstLine="656"/>
        <w:spacing w:after="0" w:line="251" w:lineRule="auto"/>
        <w:tabs>
          <w:tab w:leader="none" w:pos="2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 of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shall become effective upon: (i) receipt by the Lenders,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the Borrower and the Parent of a counterpart signature of the others to this Amendment duly executed and delivered by each of the Lenders, the Administrative Agent, the Borrower and the Parent and (ii) receipt by the Lenders, for their own account, on a pro rata basis in accordance with their respective Applicable Percentages, of a fee in an aggregate amount equal to $20,000.00.</w:t>
      </w:r>
    </w:p>
    <w:p>
      <w:pPr>
        <w:spacing w:after="0" w:line="108" w:lineRule="exact"/>
        <w:rPr>
          <w:rFonts w:ascii="Times New Roman" w:cs="Times New Roman" w:eastAsia="Times New Roman" w:hAnsi="Times New Roman"/>
          <w:sz w:val="22"/>
          <w:szCs w:val="22"/>
          <w:color w:val="auto"/>
        </w:rPr>
      </w:pPr>
    </w:p>
    <w:p>
      <w:pPr>
        <w:ind w:left="-656" w:right="280" w:firstLine="656"/>
        <w:spacing w:after="0" w:line="283" w:lineRule="auto"/>
        <w:tabs>
          <w:tab w:leader="none" w:pos="20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Borrower agrees to pay on demand all expenses of the Administrative Agent and the Lenders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without limitation, the fees and out-of-pocket expenses of Covington &amp; Burling LLP, counsel to the Administrative Agent and the Lenders) incurred in connection with the negotiation, preparation, execution and delivery of this Amendment.</w:t>
      </w:r>
    </w:p>
    <w:p>
      <w:pPr>
        <w:spacing w:after="0" w:line="63" w:lineRule="exact"/>
        <w:rPr>
          <w:rFonts w:ascii="Times New Roman" w:cs="Times New Roman" w:eastAsia="Times New Roman" w:hAnsi="Times New Roman"/>
          <w:sz w:val="21"/>
          <w:szCs w:val="21"/>
          <w:color w:val="auto"/>
        </w:rPr>
      </w:pPr>
    </w:p>
    <w:p>
      <w:pPr>
        <w:ind w:left="-656" w:right="140" w:firstLine="656"/>
        <w:spacing w:after="0" w:line="287" w:lineRule="auto"/>
        <w:tabs>
          <w:tab w:leader="none" w:pos="2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Parent and the Borrower represents and warrants to the Administrative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and the Lenders, as of the effective date of this Amendment, as follows:</w:t>
      </w:r>
    </w:p>
    <w:p>
      <w:pPr>
        <w:spacing w:after="0" w:line="73" w:lineRule="exact"/>
        <w:rPr>
          <w:rFonts w:ascii="Times New Roman" w:cs="Times New Roman" w:eastAsia="Times New Roman" w:hAnsi="Times New Roman"/>
          <w:sz w:val="22"/>
          <w:szCs w:val="22"/>
          <w:color w:val="auto"/>
        </w:rPr>
      </w:pPr>
    </w:p>
    <w:p>
      <w:pPr>
        <w:ind w:left="4" w:right="160" w:firstLine="644"/>
        <w:spacing w:after="0" w:line="250" w:lineRule="auto"/>
        <w:tabs>
          <w:tab w:leader="none" w:pos="94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Parent,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spacing w:after="0" w:line="113" w:lineRule="exact"/>
        <w:rPr>
          <w:rFonts w:ascii="Times New Roman" w:cs="Times New Roman" w:eastAsia="Times New Roman" w:hAnsi="Times New Roman"/>
          <w:sz w:val="22"/>
          <w:szCs w:val="22"/>
          <w:color w:val="auto"/>
        </w:rPr>
      </w:pPr>
    </w:p>
    <w:p>
      <w:pPr>
        <w:ind w:left="4" w:right="400" w:firstLine="644"/>
        <w:spacing w:after="0" w:line="271" w:lineRule="auto"/>
        <w:tabs>
          <w:tab w:leader="none" w:pos="95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under the Credit Agreement has occurred and is continuing or would result from the effectiveness of this Amendment.</w:t>
      </w:r>
    </w:p>
    <w:p>
      <w:pPr>
        <w:spacing w:after="0" w:line="86" w:lineRule="exact"/>
        <w:rPr>
          <w:rFonts w:ascii="Times New Roman" w:cs="Times New Roman" w:eastAsia="Times New Roman" w:hAnsi="Times New Roman"/>
          <w:sz w:val="22"/>
          <w:szCs w:val="22"/>
          <w:color w:val="auto"/>
        </w:rPr>
      </w:pPr>
    </w:p>
    <w:p>
      <w:pPr>
        <w:ind w:left="-656" w:right="180" w:firstLine="656"/>
        <w:spacing w:after="0" w:line="250" w:lineRule="auto"/>
        <w:tabs>
          <w:tab w:leader="none" w:pos="2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Implied Amendment or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expressly set forth in this Amendment, this Amendment shall not,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spacing w:after="0" w:line="112" w:lineRule="exact"/>
        <w:rPr>
          <w:rFonts w:ascii="Times New Roman" w:cs="Times New Roman" w:eastAsia="Times New Roman" w:hAnsi="Times New Roman"/>
          <w:sz w:val="22"/>
          <w:szCs w:val="22"/>
          <w:color w:val="auto"/>
        </w:rPr>
      </w:pPr>
    </w:p>
    <w:p>
      <w:pPr>
        <w:ind w:left="-656" w:right="40" w:firstLine="656"/>
        <w:spacing w:after="0" w:line="252" w:lineRule="auto"/>
        <w:tabs>
          <w:tab w:leader="none" w:pos="2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INDUCE THE ADMINISTRATIVE AGENT AND THE LENDERS TO AGREE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AMENDMENT, THE PARENT, THE BORROWER AND ITS AFFILIATES (COLLECTIVELY, THE “</w:t>
      </w:r>
      <w:r>
        <w:rPr>
          <w:rFonts w:ascii="Times New Roman" w:cs="Times New Roman" w:eastAsia="Times New Roman" w:hAnsi="Times New Roman"/>
          <w:sz w:val="22"/>
          <w:szCs w:val="22"/>
          <w:b w:val="1"/>
          <w:bCs w:val="1"/>
          <w:color w:val="auto"/>
        </w:rPr>
        <w:t>RELEASING PARTIES</w:t>
      </w:r>
      <w:r>
        <w:rPr>
          <w:rFonts w:ascii="Times New Roman" w:cs="Times New Roman" w:eastAsia="Times New Roman" w:hAnsi="Times New Roman"/>
          <w:sz w:val="22"/>
          <w:szCs w:val="22"/>
          <w:color w:val="auto"/>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sectPr>
          <w:pgSz w:w="11900" w:h="16838" w:orient="portrait"/>
          <w:cols w:equalWidth="0" w:num="1">
            <w:col w:w="10584"/>
          </w:cols>
          <w:pgMar w:left="976" w:top="1440" w:right="339" w:bottom="1440" w:gutter="0" w:footer="0" w:header="0"/>
        </w:sectPr>
      </w:pPr>
    </w:p>
    <w:bookmarkStart w:id="52" w:name="page53"/>
    <w:bookmarkEnd w:id="52"/>
    <w:p>
      <w:pPr>
        <w:spacing w:after="0" w:line="131" w:lineRule="exact"/>
        <w:rPr>
          <w:sz w:val="20"/>
          <w:szCs w:val="20"/>
          <w:color w:val="auto"/>
        </w:rPr>
      </w:pPr>
    </w:p>
    <w:p>
      <w:pPr>
        <w:ind w:left="-460" w:right="420" w:firstLine="644"/>
        <w:spacing w:after="0" w:line="257" w:lineRule="auto"/>
        <w:tabs>
          <w:tab w:leader="none" w:pos="48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AND ALL SUCH CLAIMS, OFFSETS, RIGHTS OF RECOUPMENT, DISPUTES, DEFENSES AND COUNTERCLAIMS, WHETHER KNOWN OR UNKNOWN, ARISING PRIOR TO THE DATE HEREOF.</w:t>
      </w:r>
    </w:p>
    <w:p>
      <w:pPr>
        <w:spacing w:after="0" w:line="105" w:lineRule="exact"/>
        <w:rPr>
          <w:rFonts w:ascii="Times New Roman" w:cs="Times New Roman" w:eastAsia="Times New Roman" w:hAnsi="Times New Roman"/>
          <w:sz w:val="22"/>
          <w:szCs w:val="22"/>
          <w:color w:val="auto"/>
        </w:rPr>
      </w:pPr>
    </w:p>
    <w:p>
      <w:pPr>
        <w:ind w:left="-460" w:firstLine="644"/>
        <w:spacing w:after="0" w:line="260" w:lineRule="auto"/>
        <w:tabs>
          <w:tab w:leader="none" w:pos="49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104" w:lineRule="exact"/>
        <w:rPr>
          <w:rFonts w:ascii="Times New Roman" w:cs="Times New Roman" w:eastAsia="Times New Roman" w:hAnsi="Times New Roman"/>
          <w:sz w:val="21"/>
          <w:szCs w:val="21"/>
          <w:color w:val="auto"/>
        </w:rPr>
      </w:pPr>
    </w:p>
    <w:p>
      <w:pPr>
        <w:ind w:left="-460" w:right="60" w:firstLine="644"/>
        <w:spacing w:after="0" w:line="249" w:lineRule="auto"/>
        <w:tabs>
          <w:tab w:leader="none" w:pos="48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spacing w:after="0" w:line="115" w:lineRule="exact"/>
        <w:rPr>
          <w:rFonts w:ascii="Times New Roman" w:cs="Times New Roman" w:eastAsia="Times New Roman" w:hAnsi="Times New Roman"/>
          <w:sz w:val="22"/>
          <w:szCs w:val="22"/>
          <w:color w:val="auto"/>
        </w:rPr>
      </w:pPr>
    </w:p>
    <w:p>
      <w:pPr>
        <w:ind w:left="-460" w:right="480" w:firstLine="644"/>
        <w:spacing w:after="0" w:line="252" w:lineRule="auto"/>
        <w:tabs>
          <w:tab w:leader="none" w:pos="49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131" w:lineRule="exact"/>
        <w:rPr>
          <w:sz w:val="20"/>
          <w:szCs w:val="20"/>
          <w:color w:val="auto"/>
        </w:rPr>
      </w:pPr>
    </w:p>
    <w:p>
      <w:pPr>
        <w:ind w:left="600" w:right="40" w:firstLine="644"/>
        <w:spacing w:after="0" w:line="257" w:lineRule="auto"/>
        <w:tabs>
          <w:tab w:leader="none" w:pos="154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 AND WARRANT TO THE RELEASED PARTIES THAT THEY HAVE NOT HERETOFORE ASSIGNED OR TRANSFERRED, OR PURPORTED TO ASSIGN OR TRANSFER, TO ANY PERSON OR ENTITY ANY CLAIMS OR OTHER MATTERS HEREIN RELEASED.</w:t>
      </w:r>
    </w:p>
    <w:p>
      <w:pPr>
        <w:spacing w:after="0" w:line="105" w:lineRule="exact"/>
        <w:rPr>
          <w:rFonts w:ascii="Times New Roman" w:cs="Times New Roman" w:eastAsia="Times New Roman" w:hAnsi="Times New Roman"/>
          <w:sz w:val="22"/>
          <w:szCs w:val="22"/>
          <w:color w:val="auto"/>
        </w:rPr>
      </w:pPr>
    </w:p>
    <w:p>
      <w:pPr>
        <w:ind w:left="600" w:firstLine="644"/>
        <w:spacing w:after="0" w:line="268" w:lineRule="auto"/>
        <w:tabs>
          <w:tab w:leader="none" w:pos="151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83" w:lineRule="exact"/>
        <w:rPr>
          <w:sz w:val="20"/>
          <w:szCs w:val="20"/>
          <w:color w:val="auto"/>
        </w:rPr>
      </w:pPr>
    </w:p>
    <w:p>
      <w:pPr>
        <w:ind w:left="1240"/>
        <w:spacing w:after="0" w:line="263"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96" w:lineRule="exact"/>
        <w:rPr>
          <w:sz w:val="20"/>
          <w:szCs w:val="20"/>
          <w:color w:val="auto"/>
        </w:rPr>
      </w:pPr>
    </w:p>
    <w:p>
      <w:pPr>
        <w:ind w:left="-60" w:right="60" w:firstLine="656"/>
        <w:spacing w:after="0" w:line="266" w:lineRule="auto"/>
        <w:tabs>
          <w:tab w:leader="none" w:pos="80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Governing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Amendment may be executed by the parties hereto in several counterparts,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SHALL BE GOVERNED BY, AND CONSTRUED IN ACCORDANCE WITH, THE LAWS OF THE STATE OF NEW YORK (INCLUDING FOR SUCH PURPOSE SECTIONS 5-1401 AND 5-1402 OF THE GENERAL OBLIGATIONS LAW OF THE STATE OF NEW YORK).</w:t>
      </w:r>
    </w:p>
    <w:p>
      <w:pPr>
        <w:spacing w:after="0" w:line="81" w:lineRule="exact"/>
        <w:rPr>
          <w:rFonts w:ascii="Times New Roman" w:cs="Times New Roman" w:eastAsia="Times New Roman" w:hAnsi="Times New Roman"/>
          <w:sz w:val="21"/>
          <w:szCs w:val="21"/>
          <w:color w:val="auto"/>
        </w:rPr>
      </w:pPr>
    </w:p>
    <w:p>
      <w:pPr>
        <w:ind w:left="-60" w:right="140" w:firstLine="656"/>
        <w:spacing w:after="0" w:line="287" w:lineRule="auto"/>
        <w:tabs>
          <w:tab w:leader="none" w:pos="80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Agent Authorization.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the Lenders party hereto, constituting all of the Lenders, hereby authorizes and directs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Administrative Agent to execute and deliver the acknowledgment to this Amendment.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120"/>
          </w:cols>
          <w:pgMar w:left="380" w:top="1440" w:right="39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by their respective officers thereunto duly authorized as of the day and year first above written.</w:t>
      </w:r>
    </w:p>
    <w:p>
      <w:pPr>
        <w:ind w:left="2800"/>
        <w:spacing w:after="0"/>
        <w:rPr>
          <w:sz w:val="20"/>
          <w:szCs w:val="20"/>
          <w:color w:val="auto"/>
        </w:rPr>
      </w:pPr>
      <w:r>
        <w:rPr>
          <w:rFonts w:ascii="Arial" w:cs="Arial" w:eastAsia="Arial" w:hAnsi="Arial"/>
          <w:sz w:val="18"/>
          <w:szCs w:val="18"/>
          <w:b w:val="1"/>
          <w:bCs w:val="1"/>
          <w:color w:val="auto"/>
        </w:rPr>
        <w:t>TRISALUS OPERATING LIFE SCIENCES, INC.,</w:t>
      </w:r>
    </w:p>
    <w:p>
      <w:pPr>
        <w:spacing w:after="0" w:line="4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as the Borrower</w:t>
      </w:r>
    </w:p>
    <w:p>
      <w:pPr>
        <w:spacing w:after="0" w:line="141" w:lineRule="exact"/>
        <w:rPr>
          <w:sz w:val="20"/>
          <w:szCs w:val="20"/>
          <w:color w:val="auto"/>
        </w:rPr>
      </w:pPr>
    </w:p>
    <w:tbl>
      <w:tblPr>
        <w:tblLayout w:type="fixed"/>
        <w:tblInd w:w="280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gridSpan w:val="2"/>
          </w:tcPr>
          <w:p>
            <w:pPr>
              <w:spacing w:after="0"/>
              <w:rPr>
                <w:sz w:val="20"/>
                <w:szCs w:val="20"/>
                <w:color w:val="auto"/>
              </w:rPr>
            </w:pPr>
            <w:r>
              <w:rPr>
                <w:rFonts w:ascii="Arial" w:cs="Arial" w:eastAsia="Arial" w:hAnsi="Arial"/>
                <w:sz w:val="18"/>
                <w:szCs w:val="18"/>
                <w:color w:val="auto"/>
              </w:rPr>
              <w:t>/s/ Mary Szela</w:t>
            </w:r>
          </w:p>
        </w:tc>
      </w:tr>
      <w:tr>
        <w:trPr>
          <w:trHeight w:val="245"/>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Mary Szela</w:t>
            </w:r>
          </w:p>
        </w:tc>
        <w:tc>
          <w:tcPr>
            <w:tcW w:w="700" w:type="dxa"/>
            <w:vAlign w:val="bottom"/>
          </w:tcPr>
          <w:p>
            <w:pPr>
              <w:spacing w:after="0"/>
              <w:rPr>
                <w:sz w:val="21"/>
                <w:szCs w:val="21"/>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1840" w:type="dxa"/>
            <w:vAlign w:val="bottom"/>
            <w:gridSpan w:val="2"/>
          </w:tcPr>
          <w:p>
            <w:pPr>
              <w:spacing w:after="0"/>
              <w:rPr>
                <w:sz w:val="20"/>
                <w:szCs w:val="20"/>
                <w:color w:val="auto"/>
              </w:rPr>
            </w:pPr>
            <w:r>
              <w:rPr>
                <w:rFonts w:ascii="Arial" w:cs="Arial" w:eastAsia="Arial" w:hAnsi="Arial"/>
                <w:sz w:val="18"/>
                <w:szCs w:val="18"/>
                <w:color w:val="auto"/>
                <w:w w:val="99"/>
              </w:rPr>
              <w:t>Chief Executive Officer</w:t>
            </w:r>
          </w:p>
        </w:tc>
      </w:tr>
    </w:tbl>
    <w:p>
      <w:pPr>
        <w:spacing w:after="0" w:line="200" w:lineRule="exact"/>
        <w:rPr>
          <w:sz w:val="20"/>
          <w:szCs w:val="20"/>
          <w:color w:val="auto"/>
        </w:rPr>
      </w:pPr>
    </w:p>
    <w:p>
      <w:pPr>
        <w:spacing w:after="0" w:line="33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TRISALUS LIFE SCIENCES, INC.,</w:t>
      </w:r>
    </w:p>
    <w:p>
      <w:pPr>
        <w:spacing w:after="0" w:line="4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as the Parent</w:t>
      </w:r>
    </w:p>
    <w:p>
      <w:pPr>
        <w:spacing w:after="0" w:line="141" w:lineRule="exact"/>
        <w:rPr>
          <w:sz w:val="20"/>
          <w:szCs w:val="20"/>
          <w:color w:val="auto"/>
        </w:rPr>
      </w:pPr>
    </w:p>
    <w:tbl>
      <w:tblPr>
        <w:tblLayout w:type="fixed"/>
        <w:tblInd w:w="280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840" w:type="dxa"/>
            <w:vAlign w:val="bottom"/>
            <w:gridSpan w:val="2"/>
          </w:tcPr>
          <w:p>
            <w:pPr>
              <w:spacing w:after="0"/>
              <w:rPr>
                <w:sz w:val="20"/>
                <w:szCs w:val="20"/>
                <w:color w:val="auto"/>
              </w:rPr>
            </w:pPr>
            <w:r>
              <w:rPr>
                <w:rFonts w:ascii="Arial" w:cs="Arial" w:eastAsia="Arial" w:hAnsi="Arial"/>
                <w:sz w:val="18"/>
                <w:szCs w:val="18"/>
                <w:color w:val="auto"/>
              </w:rPr>
              <w:t>/s/ Mary Szela</w:t>
            </w:r>
          </w:p>
        </w:tc>
      </w:tr>
      <w:tr>
        <w:trPr>
          <w:trHeight w:val="245"/>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Mary Szela</w:t>
            </w:r>
          </w:p>
        </w:tc>
        <w:tc>
          <w:tcPr>
            <w:tcW w:w="700" w:type="dxa"/>
            <w:vAlign w:val="bottom"/>
          </w:tcPr>
          <w:p>
            <w:pPr>
              <w:spacing w:after="0"/>
              <w:rPr>
                <w:sz w:val="21"/>
                <w:szCs w:val="21"/>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1840" w:type="dxa"/>
            <w:vAlign w:val="bottom"/>
            <w:gridSpan w:val="2"/>
          </w:tcPr>
          <w:p>
            <w:pP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0800"/>
          </w:cols>
          <w:pgMar w:left="320" w:top="1440" w:right="779" w:bottom="1440" w:gutter="0" w:footer="0" w:header="0"/>
        </w:sectPr>
      </w:pPr>
    </w:p>
    <w:bookmarkStart w:id="55" w:name="page56"/>
    <w:bookmarkEnd w:id="55"/>
    <w:p>
      <w:pPr>
        <w:spacing w:after="0" w:line="301" w:lineRule="exact"/>
        <w:rPr>
          <w:sz w:val="20"/>
          <w:szCs w:val="20"/>
          <w:color w:val="auto"/>
        </w:rPr>
      </w:pPr>
    </w:p>
    <w:p>
      <w:pPr>
        <w:ind w:left="1680" w:right="2639"/>
        <w:spacing w:after="0" w:line="318" w:lineRule="auto"/>
        <w:rPr>
          <w:sz w:val="20"/>
          <w:szCs w:val="20"/>
          <w:color w:val="auto"/>
        </w:rPr>
      </w:pPr>
      <w:r>
        <w:rPr>
          <w:rFonts w:ascii="Arial" w:cs="Arial" w:eastAsia="Arial" w:hAnsi="Arial"/>
          <w:sz w:val="18"/>
          <w:szCs w:val="18"/>
          <w:b w:val="1"/>
          <w:bCs w:val="1"/>
          <w:color w:val="auto"/>
        </w:rPr>
        <w:t xml:space="preserve">ORBIMED ROYALTY &amp; CREDIT OPPORTUNITIES IV, LP, </w:t>
      </w:r>
      <w:r>
        <w:rPr>
          <w:rFonts w:ascii="Arial" w:cs="Arial" w:eastAsia="Arial" w:hAnsi="Arial"/>
          <w:sz w:val="18"/>
          <w:szCs w:val="18"/>
          <w:color w:val="auto"/>
        </w:rPr>
        <w:t>as a Lender</w:t>
      </w:r>
    </w:p>
    <w:p>
      <w:pPr>
        <w:spacing w:after="0" w:line="153" w:lineRule="exact"/>
        <w:rPr>
          <w:sz w:val="20"/>
          <w:szCs w:val="20"/>
          <w:color w:val="auto"/>
        </w:rPr>
      </w:pPr>
    </w:p>
    <w:tbl>
      <w:tblPr>
        <w:tblLayout w:type="fixed"/>
        <w:tblInd w:w="1680"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spacing w:after="0"/>
              <w:rPr>
                <w:sz w:val="20"/>
                <w:szCs w:val="20"/>
                <w:color w:val="auto"/>
              </w:rPr>
            </w:pPr>
            <w:r>
              <w:rPr>
                <w:rFonts w:ascii="Arial" w:cs="Arial" w:eastAsia="Arial" w:hAnsi="Arial"/>
                <w:sz w:val="18"/>
                <w:szCs w:val="18"/>
                <w:color w:val="auto"/>
              </w:rPr>
              <w:t>OrbiMed ROF IV LLC,</w:t>
            </w:r>
          </w:p>
        </w:tc>
      </w:tr>
      <w:tr>
        <w:trPr>
          <w:trHeight w:val="194"/>
        </w:trPr>
        <w:tc>
          <w:tcPr>
            <w:tcW w:w="840" w:type="dxa"/>
            <w:vAlign w:val="bottom"/>
          </w:tcPr>
          <w:p>
            <w:pPr>
              <w:spacing w:after="0"/>
              <w:rPr>
                <w:sz w:val="16"/>
                <w:szCs w:val="16"/>
                <w:color w:val="auto"/>
              </w:rPr>
            </w:pPr>
          </w:p>
        </w:tc>
        <w:tc>
          <w:tcPr>
            <w:tcW w:w="152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its General Partner</w:t>
            </w:r>
          </w:p>
        </w:tc>
        <w:tc>
          <w:tcPr>
            <w:tcW w:w="1120" w:type="dxa"/>
            <w:vAlign w:val="bottom"/>
          </w:tcPr>
          <w:p>
            <w:pPr>
              <w:spacing w:after="0"/>
              <w:rPr>
                <w:sz w:val="16"/>
                <w:szCs w:val="16"/>
                <w:color w:val="auto"/>
              </w:rPr>
            </w:pPr>
          </w:p>
        </w:tc>
      </w:tr>
      <w:tr>
        <w:trPr>
          <w:trHeight w:val="393"/>
        </w:trPr>
        <w:tc>
          <w:tcPr>
            <w:tcW w:w="8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3"/>
          </w:tcPr>
          <w:p>
            <w:pPr>
              <w:ind w:left="60"/>
              <w:spacing w:after="0"/>
              <w:rPr>
                <w:sz w:val="20"/>
                <w:szCs w:val="20"/>
                <w:color w:val="auto"/>
              </w:rPr>
            </w:pPr>
            <w:r>
              <w:rPr>
                <w:rFonts w:ascii="Arial" w:cs="Arial" w:eastAsia="Arial" w:hAnsi="Arial"/>
                <w:sz w:val="18"/>
                <w:szCs w:val="18"/>
                <w:color w:val="auto"/>
                <w:w w:val="98"/>
              </w:rPr>
              <w:t>OrbiMed Advisors LLC,</w:t>
            </w:r>
          </w:p>
        </w:tc>
      </w:tr>
      <w:tr>
        <w:trPr>
          <w:trHeight w:val="239"/>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color w:val="auto"/>
              </w:rPr>
              <w:t>its Managing Member</w:t>
            </w:r>
          </w:p>
        </w:tc>
      </w:tr>
      <w:tr>
        <w:trPr>
          <w:trHeight w:val="33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spacing w:after="0"/>
              <w:rPr>
                <w:sz w:val="20"/>
                <w:szCs w:val="20"/>
                <w:color w:val="auto"/>
              </w:rPr>
            </w:pPr>
            <w:r>
              <w:rPr>
                <w:rFonts w:ascii="Arial" w:cs="Arial" w:eastAsia="Arial" w:hAnsi="Arial"/>
                <w:sz w:val="18"/>
                <w:szCs w:val="18"/>
                <w:color w:val="auto"/>
              </w:rPr>
              <w:t>/s/ Matthew Rizzo</w:t>
            </w:r>
          </w:p>
        </w:tc>
      </w:tr>
      <w:tr>
        <w:trPr>
          <w:trHeight w:val="245"/>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Rizzo</w:t>
            </w:r>
          </w:p>
        </w:tc>
        <w:tc>
          <w:tcPr>
            <w:tcW w:w="1220" w:type="dxa"/>
            <w:vAlign w:val="bottom"/>
            <w:gridSpan w:val="2"/>
          </w:tcPr>
          <w:p>
            <w:pPr>
              <w:spacing w:after="0"/>
              <w:rPr>
                <w:sz w:val="21"/>
                <w:szCs w:val="21"/>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720" w:type="dxa"/>
            <w:vAlign w:val="bottom"/>
          </w:tcPr>
          <w:p>
            <w:pPr>
              <w:spacing w:after="0"/>
              <w:rPr>
                <w:sz w:val="20"/>
                <w:szCs w:val="20"/>
                <w:color w:val="auto"/>
              </w:rPr>
            </w:pPr>
            <w:r>
              <w:rPr>
                <w:rFonts w:ascii="Arial" w:cs="Arial" w:eastAsia="Arial" w:hAnsi="Arial"/>
                <w:sz w:val="18"/>
                <w:szCs w:val="18"/>
                <w:color w:val="auto"/>
              </w:rPr>
              <w:t>Member</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80" w:right="1579"/>
        <w:spacing w:after="0" w:line="318" w:lineRule="auto"/>
        <w:rPr>
          <w:sz w:val="20"/>
          <w:szCs w:val="20"/>
          <w:color w:val="auto"/>
        </w:rPr>
      </w:pPr>
      <w:r>
        <w:rPr>
          <w:rFonts w:ascii="Arial" w:cs="Arial" w:eastAsia="Arial" w:hAnsi="Arial"/>
          <w:sz w:val="18"/>
          <w:szCs w:val="18"/>
          <w:b w:val="1"/>
          <w:bCs w:val="1"/>
          <w:color w:val="auto"/>
        </w:rPr>
        <w:t xml:space="preserve">ORBIMED ROYALTY &amp; CREDIT OPPORTUNITIES IV OFFSHORE, LP, </w:t>
      </w:r>
      <w:r>
        <w:rPr>
          <w:rFonts w:ascii="Arial" w:cs="Arial" w:eastAsia="Arial" w:hAnsi="Arial"/>
          <w:sz w:val="18"/>
          <w:szCs w:val="18"/>
          <w:color w:val="auto"/>
        </w:rPr>
        <w:t>as a Lender</w:t>
      </w:r>
    </w:p>
    <w:p>
      <w:pPr>
        <w:spacing w:after="0" w:line="72" w:lineRule="exact"/>
        <w:rPr>
          <w:sz w:val="20"/>
          <w:szCs w:val="20"/>
          <w:color w:val="auto"/>
        </w:rPr>
      </w:pPr>
    </w:p>
    <w:tbl>
      <w:tblPr>
        <w:tblLayout w:type="fixed"/>
        <w:tblInd w:w="1680"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spacing w:after="0"/>
              <w:rPr>
                <w:sz w:val="20"/>
                <w:szCs w:val="20"/>
                <w:color w:val="auto"/>
              </w:rPr>
            </w:pPr>
            <w:r>
              <w:rPr>
                <w:rFonts w:ascii="Arial" w:cs="Arial" w:eastAsia="Arial" w:hAnsi="Arial"/>
                <w:sz w:val="18"/>
                <w:szCs w:val="18"/>
                <w:color w:val="auto"/>
              </w:rPr>
              <w:t>OrbiMed ROF IV LLC,</w:t>
            </w:r>
          </w:p>
        </w:tc>
      </w:tr>
      <w:tr>
        <w:trPr>
          <w:trHeight w:val="194"/>
        </w:trPr>
        <w:tc>
          <w:tcPr>
            <w:tcW w:w="840" w:type="dxa"/>
            <w:vAlign w:val="bottom"/>
          </w:tcPr>
          <w:p>
            <w:pPr>
              <w:spacing w:after="0"/>
              <w:rPr>
                <w:sz w:val="16"/>
                <w:szCs w:val="16"/>
                <w:color w:val="auto"/>
              </w:rPr>
            </w:pPr>
          </w:p>
        </w:tc>
        <w:tc>
          <w:tcPr>
            <w:tcW w:w="152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18"/>
                <w:szCs w:val="18"/>
                <w:color w:val="auto"/>
                <w:w w:val="99"/>
              </w:rPr>
              <w:t>its General Partner</w:t>
            </w:r>
          </w:p>
        </w:tc>
        <w:tc>
          <w:tcPr>
            <w:tcW w:w="1120" w:type="dxa"/>
            <w:vAlign w:val="bottom"/>
          </w:tcPr>
          <w:p>
            <w:pPr>
              <w:spacing w:after="0"/>
              <w:rPr>
                <w:sz w:val="16"/>
                <w:szCs w:val="16"/>
                <w:color w:val="auto"/>
              </w:rPr>
            </w:pPr>
          </w:p>
        </w:tc>
      </w:tr>
      <w:tr>
        <w:trPr>
          <w:trHeight w:val="393"/>
        </w:trPr>
        <w:tc>
          <w:tcPr>
            <w:tcW w:w="8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3"/>
          </w:tcPr>
          <w:p>
            <w:pPr>
              <w:ind w:left="60"/>
              <w:spacing w:after="0"/>
              <w:rPr>
                <w:sz w:val="20"/>
                <w:szCs w:val="20"/>
                <w:color w:val="auto"/>
              </w:rPr>
            </w:pPr>
            <w:r>
              <w:rPr>
                <w:rFonts w:ascii="Arial" w:cs="Arial" w:eastAsia="Arial" w:hAnsi="Arial"/>
                <w:sz w:val="18"/>
                <w:szCs w:val="18"/>
                <w:color w:val="auto"/>
                <w:w w:val="98"/>
              </w:rPr>
              <w:t>OrbiMed Advisors LLC,</w:t>
            </w:r>
          </w:p>
        </w:tc>
      </w:tr>
      <w:tr>
        <w:trPr>
          <w:trHeight w:val="239"/>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color w:val="auto"/>
              </w:rPr>
              <w:t>its Managing Member</w:t>
            </w:r>
          </w:p>
        </w:tc>
      </w:tr>
      <w:tr>
        <w:trPr>
          <w:trHeight w:val="334"/>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gridSpan w:val="4"/>
          </w:tcPr>
          <w:p>
            <w:pPr>
              <w:spacing w:after="0"/>
              <w:rPr>
                <w:sz w:val="20"/>
                <w:szCs w:val="20"/>
                <w:color w:val="auto"/>
              </w:rPr>
            </w:pPr>
            <w:r>
              <w:rPr>
                <w:rFonts w:ascii="Arial" w:cs="Arial" w:eastAsia="Arial" w:hAnsi="Arial"/>
                <w:sz w:val="18"/>
                <w:szCs w:val="18"/>
                <w:color w:val="auto"/>
              </w:rPr>
              <w:t>/s/ Matthew Rizzo</w:t>
            </w:r>
          </w:p>
        </w:tc>
      </w:tr>
      <w:tr>
        <w:trPr>
          <w:trHeight w:val="245"/>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Rizzo</w:t>
            </w:r>
          </w:p>
        </w:tc>
        <w:tc>
          <w:tcPr>
            <w:tcW w:w="1220" w:type="dxa"/>
            <w:vAlign w:val="bottom"/>
            <w:gridSpan w:val="2"/>
          </w:tcPr>
          <w:p>
            <w:pPr>
              <w:spacing w:after="0"/>
              <w:rPr>
                <w:sz w:val="21"/>
                <w:szCs w:val="21"/>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720" w:type="dxa"/>
            <w:vAlign w:val="bottom"/>
          </w:tcPr>
          <w:p>
            <w:pPr>
              <w:spacing w:after="0"/>
              <w:rPr>
                <w:sz w:val="20"/>
                <w:szCs w:val="20"/>
                <w:color w:val="auto"/>
              </w:rPr>
            </w:pPr>
            <w:r>
              <w:rPr>
                <w:rFonts w:ascii="Arial" w:cs="Arial" w:eastAsia="Arial" w:hAnsi="Arial"/>
                <w:sz w:val="18"/>
                <w:szCs w:val="18"/>
                <w:color w:val="auto"/>
              </w:rPr>
              <w:t>Member</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ectPr>
          <w:pgSz w:w="11900" w:h="16838" w:orient="portrait"/>
          <w:cols w:equalWidth="0" w:num="1">
            <w:col w:w="9019"/>
          </w:cols>
          <w:pgMar w:left="1440" w:top="1440" w:right="1440" w:bottom="1440" w:gutter="0" w:footer="0" w:header="0"/>
        </w:sectPr>
      </w:pPr>
    </w:p>
    <w:bookmarkStart w:id="56" w:name="page57"/>
    <w:bookmarkEnd w:id="56"/>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ROYALTY &amp; CREDIT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the Administrative Agent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gridSpan w:val="2"/>
          </w:tcPr>
          <w:p>
            <w:pPr>
              <w:spacing w:after="0"/>
              <w:rPr>
                <w:sz w:val="20"/>
                <w:szCs w:val="20"/>
                <w:color w:val="auto"/>
              </w:rPr>
            </w:pPr>
            <w:r>
              <w:rPr>
                <w:rFonts w:ascii="Arial" w:cs="Arial" w:eastAsia="Arial" w:hAnsi="Arial"/>
                <w:sz w:val="18"/>
                <w:szCs w:val="18"/>
                <w:color w:val="auto"/>
              </w:rPr>
              <w:t>OrbiMed ROF IV LLC,</w:t>
            </w:r>
          </w:p>
        </w:tc>
      </w:tr>
      <w:tr>
        <w:trPr>
          <w:trHeight w:val="239"/>
        </w:trPr>
        <w:tc>
          <w:tcPr>
            <w:tcW w:w="840" w:type="dxa"/>
            <w:vAlign w:val="bottom"/>
          </w:tcPr>
          <w:p>
            <w:pPr>
              <w:spacing w:after="0"/>
              <w:rPr>
                <w:sz w:val="20"/>
                <w:szCs w:val="20"/>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369"/>
        </w:trPr>
        <w:tc>
          <w:tcPr>
            <w:tcW w:w="8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By:   OrbiMed Advisors LLC,</w:t>
            </w:r>
          </w:p>
        </w:tc>
      </w:tr>
      <w:tr>
        <w:trPr>
          <w:trHeight w:val="239"/>
        </w:trPr>
        <w:tc>
          <w:tcPr>
            <w:tcW w:w="840" w:type="dxa"/>
            <w:vAlign w:val="bottom"/>
          </w:tcPr>
          <w:p>
            <w:pPr>
              <w:spacing w:after="0"/>
              <w:rPr>
                <w:sz w:val="20"/>
                <w:szCs w:val="20"/>
                <w:color w:val="auto"/>
              </w:rPr>
            </w:pPr>
          </w:p>
        </w:tc>
        <w:tc>
          <w:tcPr>
            <w:tcW w:w="2420" w:type="dxa"/>
            <w:vAlign w:val="bottom"/>
            <w:gridSpan w:val="2"/>
          </w:tcPr>
          <w:p>
            <w:pPr>
              <w:ind w:left="580"/>
              <w:spacing w:after="0"/>
              <w:rPr>
                <w:sz w:val="20"/>
                <w:szCs w:val="20"/>
                <w:color w:val="auto"/>
              </w:rPr>
            </w:pPr>
            <w:r>
              <w:rPr>
                <w:rFonts w:ascii="Arial" w:cs="Arial" w:eastAsia="Arial" w:hAnsi="Arial"/>
                <w:sz w:val="18"/>
                <w:szCs w:val="18"/>
                <w:color w:val="auto"/>
              </w:rPr>
              <w:t>its Managing Member</w:t>
            </w:r>
          </w:p>
        </w:tc>
      </w:tr>
      <w:tr>
        <w:trPr>
          <w:trHeight w:val="33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2420" w:type="dxa"/>
            <w:vAlign w:val="bottom"/>
            <w:gridSpan w:val="2"/>
          </w:tcPr>
          <w:p>
            <w:pPr>
              <w:spacing w:after="0"/>
              <w:rPr>
                <w:sz w:val="20"/>
                <w:szCs w:val="20"/>
                <w:color w:val="auto"/>
              </w:rPr>
            </w:pPr>
            <w:r>
              <w:rPr>
                <w:rFonts w:ascii="Arial" w:cs="Arial" w:eastAsia="Arial" w:hAnsi="Arial"/>
                <w:sz w:val="18"/>
                <w:szCs w:val="18"/>
                <w:color w:val="auto"/>
              </w:rPr>
              <w:t>/s/ Matthew Rizzo</w:t>
            </w:r>
          </w:p>
        </w:tc>
      </w:tr>
      <w:tr>
        <w:trPr>
          <w:trHeight w:val="245"/>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Rizzo</w:t>
            </w:r>
          </w:p>
        </w:tc>
        <w:tc>
          <w:tcPr>
            <w:tcW w:w="1000" w:type="dxa"/>
            <w:vAlign w:val="bottom"/>
          </w:tcPr>
          <w:p>
            <w:pPr>
              <w:spacing w:after="0"/>
              <w:rPr>
                <w:sz w:val="21"/>
                <w:szCs w:val="21"/>
                <w:color w:val="auto"/>
              </w:rPr>
            </w:pP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242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ectPr>
          <w:pgSz w:w="11900" w:h="16838" w:orient="portrait"/>
          <w:cols w:equalWidth="0" w:num="1">
            <w:col w:w="10119"/>
          </w:cols>
          <w:pgMar w:left="340" w:top="1440"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Certain information in this document has been omitted from this exhibit because it is both (i) not material and (ii) would be</w:t>
      </w:r>
    </w:p>
    <w:p>
      <w:pPr>
        <w:ind w:left="740" w:hanging="714"/>
        <w:spacing w:after="0" w:line="183" w:lineRule="auto"/>
        <w:tabs>
          <w:tab w:leader="none" w:pos="740" w:val="left"/>
        </w:tabs>
        <w:numPr>
          <w:ilvl w:val="0"/>
          <w:numId w:val="39"/>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8"/>
          <w:szCs w:val="18"/>
          <w:color w:val="auto"/>
        </w:rPr>
        <w:t>competitively harmful if publicly disclosed.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D2D2D"/>
        </w:rPr>
        <w:t>AMENDMENT No. 1 TO STRATEGIC COLLABORATION AGREEMENT</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Amendment No. 1 to the March 2, 2021 Strategic Collaboration Agreement ( "Amendment 1") is effective as of February 25, 2025 ("Amendment Effective Date") by and between The University of Texas M. D. Anderson Cancer Center, with a place of business located at 1515 Holcombe Blvd., Houston, TX 77030, USA ("MD Anderson"), a member institution of The University of Texas System ("System") and Surefire Medical Inc., dba TriSalus Life Sciences, with a place of business located at 6272 W. 91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Avenue, Westminster, CO 80031 USA (“Company”). MD Anderson and Company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3D3D3D"/>
        </w:rPr>
        <w:t>.</w:t>
      </w:r>
    </w:p>
    <w:p>
      <w:pPr>
        <w:spacing w:after="0" w:line="121" w:lineRule="exact"/>
        <w:rPr>
          <w:sz w:val="20"/>
          <w:szCs w:val="20"/>
          <w:color w:val="auto"/>
        </w:rPr>
      </w:pPr>
    </w:p>
    <w:p>
      <w:pPr>
        <w:ind w:right="1220"/>
        <w:spacing w:after="0" w:line="399" w:lineRule="auto"/>
        <w:rPr>
          <w:sz w:val="20"/>
          <w:szCs w:val="20"/>
          <w:color w:val="auto"/>
        </w:rPr>
      </w:pPr>
      <w:r>
        <w:rPr>
          <w:rFonts w:ascii="Times New Roman" w:cs="Times New Roman" w:eastAsia="Times New Roman" w:hAnsi="Times New Roman"/>
          <w:sz w:val="20"/>
          <w:szCs w:val="20"/>
          <w:color w:val="2D2D2D"/>
        </w:rPr>
        <w:t xml:space="preserve">WHEREAS, the Parties entered into a certain Strategic Collaboration Agreement </w:t>
      </w:r>
      <w:r>
        <w:rPr>
          <w:rFonts w:ascii="Times New Roman" w:cs="Times New Roman" w:eastAsia="Times New Roman" w:hAnsi="Times New Roman"/>
          <w:sz w:val="20"/>
          <w:szCs w:val="20"/>
          <w:color w:val="000000"/>
        </w:rPr>
        <w:t>dated March 2, 2021 (the “Agreement”)</w:t>
      </w:r>
      <w:r>
        <w:rPr>
          <w:rFonts w:ascii="Times New Roman" w:cs="Times New Roman" w:eastAsia="Times New Roman" w:hAnsi="Times New Roman"/>
          <w:sz w:val="20"/>
          <w:szCs w:val="20"/>
          <w:color w:val="2D2D2D"/>
        </w:rPr>
        <w:t>; and WHEREAS, the Parties have desire to amend the payment schedule in the Agreement as set forth below.</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2D2D2D"/>
        </w:rPr>
        <w:t xml:space="preserve">NOW, THEREFORE </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b w:val="1"/>
          <w:bCs w:val="1"/>
          <w:color w:val="2D2D2D"/>
        </w:rPr>
        <w:t xml:space="preserve"> </w:t>
      </w:r>
      <w:r>
        <w:rPr>
          <w:rFonts w:ascii="Times New Roman" w:cs="Times New Roman" w:eastAsia="Times New Roman" w:hAnsi="Times New Roman"/>
          <w:sz w:val="20"/>
          <w:szCs w:val="20"/>
          <w:color w:val="2D2D2D"/>
        </w:rPr>
        <w:t>it is hereby agreed</w:t>
      </w:r>
      <w:r>
        <w:rPr>
          <w:rFonts w:ascii="Times New Roman" w:cs="Times New Roman" w:eastAsia="Times New Roman" w:hAnsi="Times New Roman"/>
          <w:sz w:val="20"/>
          <w:szCs w:val="20"/>
          <w:b w:val="1"/>
          <w:bCs w:val="1"/>
          <w:color w:val="2D2D2D"/>
        </w:rPr>
        <w:t xml:space="preserve"> </w:t>
      </w:r>
      <w:r>
        <w:rPr>
          <w:rFonts w:ascii="Times New Roman" w:cs="Times New Roman" w:eastAsia="Times New Roman" w:hAnsi="Times New Roman"/>
          <w:sz w:val="20"/>
          <w:szCs w:val="20"/>
          <w:color w:val="3D3D3D"/>
        </w:rPr>
        <w:t>as</w:t>
      </w:r>
      <w:r>
        <w:rPr>
          <w:rFonts w:ascii="Times New Roman" w:cs="Times New Roman" w:eastAsia="Times New Roman" w:hAnsi="Times New Roman"/>
          <w:sz w:val="20"/>
          <w:szCs w:val="20"/>
          <w:b w:val="1"/>
          <w:bCs w:val="1"/>
          <w:color w:val="2D2D2D"/>
        </w:rPr>
        <w:t xml:space="preserve"> </w:t>
      </w:r>
      <w:r>
        <w:rPr>
          <w:rFonts w:ascii="Times New Roman" w:cs="Times New Roman" w:eastAsia="Times New Roman" w:hAnsi="Times New Roman"/>
          <w:sz w:val="20"/>
          <w:szCs w:val="20"/>
          <w:color w:val="2D2D2D"/>
        </w:rPr>
        <w:t>follows:</w:t>
      </w:r>
    </w:p>
    <w:p>
      <w:pPr>
        <w:spacing w:after="0" w:line="14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b w:val="1"/>
          <w:bCs w:val="1"/>
          <w:u w:val="single" w:color="auto"/>
          <w:color w:val="auto"/>
        </w:rPr>
        <w:t>Section 1.4</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Section 1.4 of the Agreement shall be deleted in its entirety and replaced with the following:</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“1.4 The [***] for the Studies shall be due and payable to MD Anderson according to the schedule below: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60" w:right="100" w:hanging="328"/>
        <w:spacing w:after="0" w:line="261"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defined herein, any capitalized terms utilized in this Amendment 1 shall have the meaning set forth in the Agreement as the context so requires. Except as specifically amended above, all terms and conditions of the Agreement shall remain in full force and effect and are hereby ratified and confirmed.</w:t>
      </w:r>
    </w:p>
    <w:p>
      <w:pPr>
        <w:spacing w:after="0" w:line="96" w:lineRule="exact"/>
        <w:rPr>
          <w:sz w:val="20"/>
          <w:szCs w:val="20"/>
          <w:color w:val="auto"/>
        </w:rPr>
      </w:pPr>
    </w:p>
    <w:p>
      <w:pPr>
        <w:ind w:firstLine="5"/>
        <w:spacing w:after="0" w:line="287" w:lineRule="auto"/>
        <w:rPr>
          <w:sz w:val="20"/>
          <w:szCs w:val="20"/>
          <w:color w:val="auto"/>
        </w:rPr>
      </w:pPr>
      <w:r>
        <w:rPr>
          <w:rFonts w:ascii="Times New Roman" w:cs="Times New Roman" w:eastAsia="Times New Roman" w:hAnsi="Times New Roman"/>
          <w:sz w:val="20"/>
          <w:szCs w:val="20"/>
          <w:b w:val="1"/>
          <w:bCs w:val="1"/>
          <w:color w:val="2D2D2D"/>
        </w:rPr>
        <w:t>IN WITNESS WHEREOF</w:t>
      </w:r>
      <w:r>
        <w:rPr>
          <w:rFonts w:ascii="Times New Roman" w:cs="Times New Roman" w:eastAsia="Times New Roman" w:hAnsi="Times New Roman"/>
          <w:sz w:val="20"/>
          <w:szCs w:val="20"/>
          <w:color w:val="2D2D2D"/>
        </w:rPr>
        <w:t>, the Parties hereto have caused this Amendment 1 to be executed by their duly authorized</w:t>
      </w:r>
      <w:r>
        <w:rPr>
          <w:rFonts w:ascii="Times New Roman" w:cs="Times New Roman" w:eastAsia="Times New Roman" w:hAnsi="Times New Roman"/>
          <w:sz w:val="20"/>
          <w:szCs w:val="20"/>
          <w:b w:val="1"/>
          <w:bCs w:val="1"/>
          <w:color w:val="2D2D2D"/>
        </w:rPr>
        <w:t xml:space="preserve"> </w:t>
      </w:r>
      <w:r>
        <w:rPr>
          <w:rFonts w:ascii="Times New Roman" w:cs="Times New Roman" w:eastAsia="Times New Roman" w:hAnsi="Times New Roman"/>
          <w:sz w:val="20"/>
          <w:szCs w:val="20"/>
          <w:color w:val="1A1A1A"/>
        </w:rPr>
        <w:t>representative</w:t>
      </w:r>
      <w:r>
        <w:rPr>
          <w:rFonts w:ascii="Times New Roman" w:cs="Times New Roman" w:eastAsia="Times New Roman" w:hAnsi="Times New Roman"/>
          <w:sz w:val="20"/>
          <w:szCs w:val="20"/>
          <w:color w:val="3D3D3D"/>
        </w:rPr>
        <w:t>s</w:t>
      </w:r>
      <w:r>
        <w:rPr>
          <w:rFonts w:ascii="Times New Roman" w:cs="Times New Roman" w:eastAsia="Times New Roman" w:hAnsi="Times New Roman"/>
          <w:sz w:val="20"/>
          <w:szCs w:val="20"/>
          <w:b w:val="1"/>
          <w:bCs w:val="1"/>
          <w:color w:val="2D2D2D"/>
        </w:rPr>
        <w:t xml:space="preserve"> </w:t>
      </w:r>
      <w:r>
        <w:rPr>
          <w:rFonts w:ascii="Times New Roman" w:cs="Times New Roman" w:eastAsia="Times New Roman" w:hAnsi="Times New Roman"/>
          <w:sz w:val="20"/>
          <w:szCs w:val="20"/>
          <w:color w:val="2D2D2D"/>
        </w:rPr>
        <w:t>to be</w:t>
      </w:r>
      <w:r>
        <w:rPr>
          <w:rFonts w:ascii="Times New Roman" w:cs="Times New Roman" w:eastAsia="Times New Roman" w:hAnsi="Times New Roman"/>
          <w:sz w:val="20"/>
          <w:szCs w:val="20"/>
          <w:b w:val="1"/>
          <w:bCs w:val="1"/>
          <w:color w:val="2D2D2D"/>
        </w:rPr>
        <w:t xml:space="preserve"> </w:t>
      </w:r>
      <w:r>
        <w:rPr>
          <w:rFonts w:ascii="Times New Roman" w:cs="Times New Roman" w:eastAsia="Times New Roman" w:hAnsi="Times New Roman"/>
          <w:sz w:val="20"/>
          <w:szCs w:val="20"/>
          <w:color w:val="2D2D2D"/>
        </w:rPr>
        <w:t xml:space="preserve">effective as of the Amendment </w:t>
      </w:r>
      <w:r>
        <w:rPr>
          <w:rFonts w:ascii="Times New Roman" w:cs="Times New Roman" w:eastAsia="Times New Roman" w:hAnsi="Times New Roman"/>
          <w:sz w:val="20"/>
          <w:szCs w:val="20"/>
          <w:color w:val="3D3D3D"/>
        </w:rPr>
        <w:t>Effective</w:t>
      </w:r>
      <w:r>
        <w:rPr>
          <w:rFonts w:ascii="Times New Roman" w:cs="Times New Roman" w:eastAsia="Times New Roman" w:hAnsi="Times New Roman"/>
          <w:sz w:val="20"/>
          <w:szCs w:val="20"/>
          <w:color w:val="2D2D2D"/>
        </w:rPr>
        <w:t xml:space="preserve"> Date.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The University of Texas M. D. Anderson Cancer Center</w:t>
            </w: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20"/>
                <w:szCs w:val="20"/>
                <w:b w:val="1"/>
                <w:bCs w:val="1"/>
                <w:color w:val="auto"/>
                <w:w w:val="97"/>
              </w:rPr>
              <w:t>Surefire Medical Inc. dba TriSalus Life</w:t>
            </w:r>
          </w:p>
        </w:tc>
      </w:tr>
      <w:tr>
        <w:trPr>
          <w:trHeight w:val="262"/>
        </w:trPr>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20"/>
                <w:szCs w:val="20"/>
                <w:b w:val="1"/>
                <w:bCs w:val="1"/>
                <w:color w:val="auto"/>
              </w:rPr>
              <w:t>Sciences</w:t>
            </w:r>
          </w:p>
        </w:tc>
      </w:tr>
      <w:tr>
        <w:trPr>
          <w:trHeight w:val="440"/>
        </w:trPr>
        <w:tc>
          <w:tcPr>
            <w:tcW w:w="5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Date: 05/12/2025</w:t>
            </w: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Date: 05/13/2025</w:t>
            </w:r>
          </w:p>
        </w:tc>
      </w:tr>
      <w:tr>
        <w:trPr>
          <w:trHeight w:val="20"/>
        </w:trPr>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93"/>
        </w:trPr>
        <w:tc>
          <w:tcPr>
            <w:tcW w:w="5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Omer F. Sultan</w:t>
            </w: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/s/ James Young</w:t>
            </w:r>
          </w:p>
        </w:tc>
      </w:tr>
      <w:tr>
        <w:trPr>
          <w:trHeight w:val="20"/>
        </w:trPr>
        <w:tc>
          <w:tcPr>
            <w:tcW w:w="1440" w:type="dxa"/>
            <w:vAlign w:val="bottom"/>
            <w:gridSpan w:val="3"/>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r>
      <w:tr>
        <w:trPr>
          <w:trHeight w:val="256"/>
        </w:trPr>
        <w:tc>
          <w:tcPr>
            <w:tcW w:w="1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Omer F. Sultan</w:t>
            </w:r>
          </w:p>
        </w:tc>
        <w:tc>
          <w:tcPr>
            <w:tcW w:w="3560" w:type="dxa"/>
            <w:vAlign w:val="bottom"/>
          </w:tcPr>
          <w:p>
            <w:pPr>
              <w:spacing w:after="0"/>
              <w:rPr>
                <w:sz w:val="22"/>
                <w:szCs w:val="22"/>
                <w:color w:val="auto"/>
              </w:rPr>
            </w:pP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Name: James Young</w:t>
            </w:r>
          </w:p>
        </w:tc>
      </w:tr>
      <w:tr>
        <w:trPr>
          <w:trHeight w:val="270"/>
        </w:trPr>
        <w:tc>
          <w:tcPr>
            <w:tcW w:w="5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Sr. Vice President and Chief Financial Officer</w:t>
            </w:r>
          </w:p>
        </w:tc>
        <w:tc>
          <w:tcPr>
            <w:tcW w:w="362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auto"/>
              </w:rPr>
              <w:t>Title: Chief Financial Officer</w:t>
            </w:r>
          </w:p>
        </w:tc>
      </w:tr>
    </w:tbl>
    <w:p>
      <w:pPr>
        <w:sectPr>
          <w:pgSz w:w="11900" w:h="16838" w:orient="portrait"/>
          <w:cols w:equalWidth="0" w:num="1">
            <w:col w:w="11240"/>
          </w:cols>
          <w:pgMar w:left="320" w:top="117"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t>CERTIFICATION THE PRINCIPAL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13a-14(a) AND RULE 15d-14(a) UNDER THE SECURITIES EXCHANGE ACT OF 1934,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Szela, certify that:</w:t>
      </w:r>
    </w:p>
    <w:p>
      <w:pPr>
        <w:spacing w:after="0" w:line="19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TriSalus Life Sciences, Inc.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5"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2"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Times New Roman" w:cs="Times New Roman" w:eastAsia="Times New Roman" w:hAnsi="Times New Roman"/>
          <w:sz w:val="18"/>
          <w:szCs w:val="18"/>
          <w:color w:val="auto"/>
        </w:rPr>
      </w:pPr>
    </w:p>
    <w:p>
      <w:pPr>
        <w:ind w:left="1300" w:right="40" w:hanging="320"/>
        <w:spacing w:after="0" w:line="24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15,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Szela</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9" w:name="page60"/>
    <w:bookmarkEnd w:id="59"/>
    <w:p>
      <w:pPr>
        <w:ind w:left="3240"/>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PURSUANT TO RULE 13a-14(a) AND RULE 15d-14(a) UNDER THE SECURITIES EXCHANGE ACT OF 1934, AS ADOPTED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Young, certify that:</w:t>
      </w:r>
    </w:p>
    <w:p>
      <w:pPr>
        <w:spacing w:after="0" w:line="198"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TriSalus Life Sciences, Inc.</w:t>
      </w:r>
    </w:p>
    <w:p>
      <w:pPr>
        <w:spacing w:after="0" w:line="18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5"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2"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15, 2025</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54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Young</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line="329" w:lineRule="auto"/>
        <w:rPr>
          <w:sz w:val="20"/>
          <w:szCs w:val="20"/>
          <w:color w:val="auto"/>
        </w:rPr>
      </w:pPr>
      <w:r>
        <w:rPr>
          <w:rFonts w:ascii="Times New Roman" w:cs="Times New Roman" w:eastAsia="Times New Roman" w:hAnsi="Times New Roman"/>
          <w:sz w:val="18"/>
          <w:szCs w:val="18"/>
          <w:color w:val="auto"/>
        </w:rPr>
        <w:t>CERTIFICATION OF THE CHIEF EXECUTIVE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Mary Szela, Chief Executive Officer of TriSalus Life Sciences, Inc. (the “Company”) certifies that, to the best of her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(1)</w:t>
            </w:r>
          </w:p>
        </w:tc>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w:t>
            </w:r>
          </w:p>
        </w:tc>
      </w:tr>
      <w:tr>
        <w:trPr>
          <w:trHeight w:val="216"/>
        </w:trPr>
        <w:tc>
          <w:tcPr>
            <w:tcW w:w="940" w:type="dxa"/>
            <w:vAlign w:val="bottom"/>
          </w:tcPr>
          <w:p>
            <w:pPr>
              <w:spacing w:after="0"/>
              <w:rPr>
                <w:sz w:val="18"/>
                <w:szCs w:val="18"/>
                <w:color w:val="auto"/>
              </w:rPr>
            </w:pPr>
          </w:p>
        </w:tc>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attached as Exhibit 32.1 (the “Report”), fully complies with the requirements of Section 13(a) or 15(d) of the Exchange</w:t>
            </w:r>
          </w:p>
        </w:tc>
      </w:tr>
      <w:tr>
        <w:trPr>
          <w:trHeight w:val="234"/>
        </w:trPr>
        <w:tc>
          <w:tcPr>
            <w:tcW w:w="940" w:type="dxa"/>
            <w:vAlign w:val="bottom"/>
          </w:tcPr>
          <w:p>
            <w:pPr>
              <w:spacing w:after="0"/>
              <w:rPr>
                <w:sz w:val="20"/>
                <w:szCs w:val="20"/>
                <w:color w:val="auto"/>
              </w:rPr>
            </w:pPr>
          </w:p>
        </w:tc>
        <w:tc>
          <w:tcPr>
            <w:tcW w:w="9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Act of 1934; and</w:t>
            </w:r>
          </w:p>
        </w:tc>
      </w:tr>
      <w:tr>
        <w:trPr>
          <w:trHeight w:val="738"/>
        </w:trPr>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(2)</w:t>
            </w:r>
          </w:p>
        </w:tc>
        <w:tc>
          <w:tcPr>
            <w:tcW w:w="9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940" w:type="dxa"/>
            <w:vAlign w:val="bottom"/>
          </w:tcPr>
          <w:p>
            <w:pPr>
              <w:spacing w:after="0"/>
              <w:rPr>
                <w:sz w:val="20"/>
                <w:szCs w:val="20"/>
                <w:color w:val="auto"/>
              </w:rPr>
            </w:pPr>
          </w:p>
        </w:tc>
        <w:tc>
          <w:tcPr>
            <w:tcW w:w="9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May 15, 2025</w:t>
            </w: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Mary Szela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Mary Szela</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ind w:left="5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35" w:right="339" w:bottom="1440" w:gutter="0" w:footer="0" w:header="0"/>
        </w:sectPr>
      </w:pPr>
    </w:p>
    <w:bookmarkStart w:id="61" w:name="page62"/>
    <w:bookmarkEnd w:id="61"/>
    <w:p>
      <w:pPr>
        <w:jc w:val="center"/>
        <w:spacing w:after="0" w:line="329" w:lineRule="auto"/>
        <w:rPr>
          <w:sz w:val="20"/>
          <w:szCs w:val="20"/>
          <w:color w:val="auto"/>
        </w:rPr>
      </w:pPr>
      <w:r>
        <w:rPr>
          <w:rFonts w:ascii="Times New Roman" w:cs="Times New Roman" w:eastAsia="Times New Roman" w:hAnsi="Times New Roman"/>
          <w:sz w:val="18"/>
          <w:szCs w:val="18"/>
          <w:color w:val="auto"/>
        </w:rPr>
        <w:t>CERTIFICATION OF THE CHIEF FINANCIAL OFFICER PURSUANT TO 18 U.S. 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James Young, Chief Financial Officer of TriSalus Life Sciences, Inc. (the “Company”) certifies that, to the best of his knowledge:</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(1)</w:t>
            </w: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w:t>
            </w:r>
          </w:p>
        </w:tc>
      </w:tr>
      <w:tr>
        <w:trPr>
          <w:trHeight w:val="216"/>
        </w:trPr>
        <w:tc>
          <w:tcPr>
            <w:tcW w:w="1000" w:type="dxa"/>
            <w:vAlign w:val="bottom"/>
          </w:tcPr>
          <w:p>
            <w:pPr>
              <w:spacing w:after="0"/>
              <w:rPr>
                <w:sz w:val="18"/>
                <w:szCs w:val="18"/>
                <w:color w:val="auto"/>
              </w:rPr>
            </w:pP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attached as Exhibit 32.1 (the “Report”), fully complies with the requirements of Section 13(a) or 15(d) of the Exchange</w:t>
            </w:r>
          </w:p>
        </w:tc>
      </w:tr>
      <w:tr>
        <w:trPr>
          <w:trHeight w:val="234"/>
        </w:trPr>
        <w:tc>
          <w:tcPr>
            <w:tcW w:w="1000" w:type="dxa"/>
            <w:vAlign w:val="bottom"/>
          </w:tcPr>
          <w:p>
            <w:pPr>
              <w:spacing w:after="0"/>
              <w:rPr>
                <w:sz w:val="20"/>
                <w:szCs w:val="20"/>
                <w:color w:val="auto"/>
              </w:rPr>
            </w:pP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Act of 1934; and</w:t>
            </w:r>
          </w:p>
        </w:tc>
      </w:tr>
      <w:tr>
        <w:trPr>
          <w:trHeight w:val="738"/>
        </w:trPr>
        <w:tc>
          <w:tcPr>
            <w:tcW w:w="1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5"/>
              </w:rPr>
              <w:t>(2)</w:t>
            </w: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w:t>
            </w:r>
          </w:p>
        </w:tc>
      </w:tr>
      <w:tr>
        <w:trPr>
          <w:trHeight w:val="234"/>
        </w:trPr>
        <w:tc>
          <w:tcPr>
            <w:tcW w:w="1000" w:type="dxa"/>
            <w:vAlign w:val="bottom"/>
          </w:tcPr>
          <w:p>
            <w:pPr>
              <w:spacing w:after="0"/>
              <w:rPr>
                <w:sz w:val="20"/>
                <w:szCs w:val="20"/>
                <w:color w:val="auto"/>
              </w:rPr>
            </w:pPr>
          </w:p>
        </w:tc>
        <w:tc>
          <w:tcPr>
            <w:tcW w:w="94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operations of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May 15, 2025</w:t>
            </w:r>
          </w:p>
        </w:tc>
      </w:tr>
    </w:tbl>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James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3840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James Young</w:t>
      </w:r>
    </w:p>
    <w:p>
      <w:pPr>
        <w:spacing w:after="0" w:line="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ind w:left="5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TriSalus Life 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lvl w:ilvl="1">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3"/>
    </w:lvl>
  </w:abstractNum>
  <w:abstractNum w:abstractNumId="5">
    <w:nsid w:val="75A2A8D4"/>
    <w:multiLevelType w:val="hybridMultilevel"/>
    <w:lvl w:ilvl="0">
      <w:lvlJc w:val="left"/>
      <w:lvlText w:val="(%1)"/>
      <w:numFmt w:val="decimal"/>
      <w:start w:val="2"/>
    </w:lvl>
  </w:abstractNum>
  <w:abstractNum w:abstractNumId="6">
    <w:nsid w:val="8EDBDAB"/>
    <w:multiLevelType w:val="hybridMultilevel"/>
    <w:lvl w:ilvl="0">
      <w:lvlJc w:val="left"/>
      <w:lvlText w:val="(%1)"/>
      <w:numFmt w:val="lowerLetter"/>
      <w:start w:val="2"/>
    </w:lvl>
  </w:abstractNum>
  <w:abstractNum w:abstractNumId="7">
    <w:nsid w:val="79838CB2"/>
    <w:multiLevelType w:val="hybridMultilevel"/>
    <w:lvl w:ilvl="0">
      <w:lvlJc w:val="left"/>
      <w:lvlText w:val="(%1)"/>
      <w:numFmt w:val="lowerLetter"/>
      <w:start w:val="6"/>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6"/>
    </w:lvl>
  </w:abstractNum>
  <w:abstractNum w:abstractNumId="10">
    <w:nsid w:val="189A769B"/>
    <w:multiLevelType w:val="hybridMultilevel"/>
    <w:lvl w:ilvl="0">
      <w:lvlJc w:val="left"/>
      <w:lvlText w:val="%1."/>
      <w:numFmt w:val="lowerLetter"/>
      <w:start w:val="7"/>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1."/>
      <w:numFmt w:val="lowerLetter"/>
      <w:start w:val="10"/>
    </w:lvl>
  </w:abstractNum>
  <w:abstractNum w:abstractNumId="13">
    <w:nsid w:val="2CA88611"/>
    <w:multiLevelType w:val="hybridMultilevel"/>
    <w:lvl w:ilvl="0">
      <w:lvlJc w:val="left"/>
      <w:lvlText w:val="(%1)"/>
      <w:numFmt w:val="decimal"/>
      <w:start w:val="16"/>
    </w:lvl>
  </w:abstractNum>
  <w:abstractNum w:abstractNumId="14">
    <w:nsid w:val="836C40E"/>
    <w:multiLevelType w:val="hybridMultilevel"/>
    <w:lvl w:ilvl="0">
      <w:lvlJc w:val="left"/>
      <w:lvlText w:val="%1."/>
      <w:numFmt w:val="lowerLetter"/>
      <w:start w:val="11"/>
    </w:lvl>
  </w:abstractNum>
  <w:abstractNum w:abstractNumId="15">
    <w:nsid w:val="2901D82"/>
    <w:multiLevelType w:val="hybridMultilevel"/>
    <w:lvl w:ilvl="0">
      <w:lvlJc w:val="left"/>
      <w:lvlText w:val="(%1)"/>
      <w:numFmt w:val="decimal"/>
      <w:start w:val="3"/>
    </w:lvl>
  </w:abstractNum>
  <w:abstractNum w:abstractNumId="16">
    <w:nsid w:val="3A95F874"/>
    <w:multiLevelType w:val="hybridMultilevel"/>
    <w:lvl w:ilvl="0">
      <w:lvlJc w:val="left"/>
      <w:lvlText w:val="(%1)"/>
      <w:numFmt w:val="decimal"/>
      <w:start w:val="4"/>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lowerLetter"/>
      <w:start w:val="9"/>
    </w:lvl>
    <w:lvl w:ilvl="1">
      <w:lvlJc w:val="left"/>
      <w:lvlText w:val="(%2)"/>
      <w:numFmt w:val="lowerLetter"/>
      <w:start w:val="1"/>
    </w:lvl>
  </w:abstractNum>
  <w:abstractNum w:abstractNumId="24">
    <w:nsid w:val="3006C83E"/>
    <w:multiLevelType w:val="hybridMultilevel"/>
    <w:lvl w:ilvl="0">
      <w:lvlJc w:val="left"/>
      <w:lvlText w:val="(%1)"/>
      <w:numFmt w:val="lowerLetter"/>
      <w:start w:val="2"/>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29">
    <w:nsid w:val="5072367"/>
    <w:multiLevelType w:val="hybridMultilevel"/>
    <w:lvl w:ilvl="0">
      <w:lvlJc w:val="left"/>
      <w:lvlText w:val="(%1)"/>
      <w:numFmt w:val="lowerRoman"/>
      <w:start w:val="5"/>
    </w:lvl>
  </w:abstractNum>
  <w:abstractNum w:abstractNumId="30">
    <w:nsid w:val="3804823E"/>
    <w:multiLevelType w:val="hybridMultilevel"/>
    <w:lvl w:ilvl="0">
      <w:lvlJc w:val="left"/>
      <w:lvlText w:val="%1"/>
      <w:numFmt w:val="decimal"/>
      <w:start w:val="104"/>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Letter"/>
      <w:start w:val="1"/>
    </w:lvl>
    <w:lvl w:ilvl="1">
      <w:lvlJc w:val="left"/>
      <w:lvlText w:val="(%2)"/>
      <w:numFmt w:val="lowerLetter"/>
      <w:start w:val="1"/>
    </w:lvl>
  </w:abstractNum>
  <w:abstractNum w:abstractNumId="33">
    <w:nsid w:val="5C482A97"/>
    <w:multiLevelType w:val="hybridMultilevel"/>
    <w:lvl w:ilvl="0">
      <w:lvlJc w:val="left"/>
      <w:lvlText w:val="(%1)"/>
      <w:numFmt w:val="lowerLetter"/>
      <w:start w:val="7"/>
    </w:lvl>
    <w:lvl w:ilvl="1">
      <w:lvlJc w:val="left"/>
      <w:lvlText w:val="%2"/>
      <w:numFmt w:val="lowerLetter"/>
      <w:start w:val="1"/>
    </w:lvl>
  </w:abstractNum>
  <w:abstractNum w:abstractNumId="34">
    <w:nsid w:val="2463B9EA"/>
    <w:multiLevelType w:val="hybridMultilevel"/>
    <w:lvl w:ilvl="0">
      <w:lvlJc w:val="left"/>
      <w:lvlText w:val="%1."/>
      <w:numFmt w:val="decimal"/>
      <w:start w:val="3"/>
    </w:lvl>
    <w:lvl w:ilvl="1">
      <w:lvlJc w:val="left"/>
      <w:lvlText w:val="(%2)"/>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5"/>
    </w:lvl>
  </w:abstractNum>
  <w:abstractNum w:abstractNumId="37">
    <w:nsid w:val="2D517796"/>
    <w:multiLevelType w:val="hybridMultilevel"/>
    <w:lvl w:ilvl="0">
      <w:lvlJc w:val="left"/>
      <w:lvlText w:val="%1."/>
      <w:numFmt w:val="decimal"/>
      <w:start w:val="8"/>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2"/>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17" Type="http://schemas.openxmlformats.org/officeDocument/2006/relationships/hyperlink" Target="https://www.sec.gov/Archives/edgar/data/1826667/000110465925041862/tm2513482d1_ex10-1.htm" TargetMode="External"/><Relationship Id="rId118" Type="http://schemas.openxmlformats.org/officeDocument/2006/relationships/hyperlink" Target="https://www.sec.gov/Archives/edgar/data/1826667/000110465925041862/tm2513482d1_ex10-2.htm" TargetMode="External"/><Relationship Id="rId119" Type="http://schemas.openxmlformats.org/officeDocument/2006/relationships/hyperlink" Target="https://www.sec.gov/Archives/edgar/data/1826667/000110465925041862/tm2513482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2025-05-15T07:01:04Z</dcterms:created>
  <dcterms:modified xsi:type="dcterms:W3CDTF">2025-05-15T07:01:04Z</dcterms:modified>
</cp:coreProperties>
</file>